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2"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00" w:lineRule="exact"/>
        <w:rPr>
          <w:sz w:val="24"/>
          <w:szCs w:val="24"/>
          <w:color w:val="auto"/>
        </w:rPr>
      </w:pPr>
    </w:p>
    <w:p>
      <w:pPr>
        <w:ind w:left="440" w:right="30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40" w:right="28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40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001-35410</w:t>
      </w:r>
    </w:p>
    <w:p>
      <w:pPr>
        <w:spacing w:after="0" w:line="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6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48" w:lineRule="exact"/>
        <w:rPr>
          <w:sz w:val="24"/>
          <w:szCs w:val="24"/>
          <w:color w:val="auto"/>
        </w:rPr>
      </w:pPr>
    </w:p>
    <w:tbl>
      <w:tblPr>
        <w:tblLayout w:type="fixed"/>
        <w:tblInd w:w="1640" w:type="dxa"/>
        <w:tblCellMar>
          <w:top w:w="0" w:type="dxa"/>
          <w:left w:w="0" w:type="dxa"/>
          <w:bottom w:w="0" w:type="dxa"/>
          <w:right w:w="0" w:type="dxa"/>
        </w:tblCellMar>
      </w:tblPr>
      <w:tr>
        <w:trPr>
          <w:trHeight w:val="227"/>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27-4662601</w:t>
            </w:r>
          </w:p>
        </w:tc>
        <w:tc>
          <w:tcPr>
            <w:tcW w:w="0" w:type="dxa"/>
            <w:vAlign w:val="bottom"/>
          </w:tcPr>
          <w:p>
            <w:pPr>
              <w:spacing w:after="0"/>
              <w:rPr>
                <w:sz w:val="1"/>
                <w:szCs w:val="1"/>
                <w:color w:val="auto"/>
              </w:rPr>
            </w:pPr>
          </w:p>
        </w:tc>
      </w:tr>
      <w:tr>
        <w:trPr>
          <w:trHeight w:val="146"/>
        </w:trPr>
        <w:tc>
          <w:tcPr>
            <w:tcW w:w="5920" w:type="dxa"/>
            <w:vAlign w:val="bottom"/>
          </w:tcPr>
          <w:p>
            <w:pPr>
              <w:jc w:val="center"/>
              <w:ind w:right="347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5400 LBJ Freeway, Suite 1500</w:t>
            </w:r>
          </w:p>
        </w:tc>
        <w:tc>
          <w:tcPr>
            <w:tcW w:w="14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75240</w:t>
            </w:r>
          </w:p>
        </w:tc>
        <w:tc>
          <w:tcPr>
            <w:tcW w:w="0" w:type="dxa"/>
            <w:vAlign w:val="bottom"/>
          </w:tcPr>
          <w:p>
            <w:pPr>
              <w:spacing w:after="0"/>
              <w:rPr>
                <w:sz w:val="1"/>
                <w:szCs w:val="1"/>
                <w:color w:val="auto"/>
              </w:rPr>
            </w:pPr>
          </w:p>
        </w:tc>
      </w:tr>
      <w:tr>
        <w:trPr>
          <w:trHeight w:val="23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8"/>
        </w:trPr>
        <w:tc>
          <w:tcPr>
            <w:tcW w:w="5920" w:type="dxa"/>
            <w:vAlign w:val="bottom"/>
          </w:tcPr>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880" w:type="dxa"/>
        <w:tblCellMar>
          <w:top w:w="0" w:type="dxa"/>
          <w:left w:w="0" w:type="dxa"/>
          <w:bottom w:w="0" w:type="dxa"/>
          <w:right w:w="0" w:type="dxa"/>
        </w:tblCellMar>
      </w:tblPr>
      <w:tr>
        <w:trPr>
          <w:trHeight w:val="190"/>
        </w:trPr>
        <w:tc>
          <w:tcPr>
            <w:tcW w:w="4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MTDR</w:t>
            </w:r>
          </w:p>
        </w:tc>
        <w:tc>
          <w:tcPr>
            <w:tcW w:w="24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days.</w:t>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69" w:lineRule="exact"/>
        <w:rPr>
          <w:sz w:val="24"/>
          <w:szCs w:val="24"/>
          <w:color w:val="auto"/>
        </w:rPr>
      </w:pPr>
    </w:p>
    <w:p>
      <w:pPr>
        <w:ind w:right="2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9"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2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22, 2025, there were 124,494,423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20" w:type="dxa"/>
            <w:vAlign w:val="bottom"/>
            <w:gridSpan w:val="7"/>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FOR THE QUARTER ENDED JUNE 30, 2025</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20" w:type="dxa"/>
            <w:vAlign w:val="bottom"/>
            <w:gridSpan w:val="7"/>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103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480" w:type="dxa"/>
            <w:vAlign w:val="bottom"/>
            <w:tcBorders>
              <w:top w:val="single" w:sz="8" w:color="auto"/>
            </w:tcBorders>
            <w:gridSpan w:val="2"/>
          </w:tcPr>
          <w:p>
            <w:pPr>
              <w:jc w:val="center"/>
              <w:ind w:left="310"/>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Financial Statements — Unaudited</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June 30, 2025 and December 31, 2024</w:t>
            </w:r>
          </w:p>
        </w:tc>
        <w:tc>
          <w:tcPr>
            <w:tcW w:w="3840" w:type="dxa"/>
            <w:vAlign w:val="bottom"/>
            <w:gridSpan w:val="5"/>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Six Months Ended June 30, 2025 and 2024</w:t>
            </w:r>
          </w:p>
        </w:tc>
        <w:tc>
          <w:tcPr>
            <w:tcW w:w="1920" w:type="dxa"/>
            <w:vAlign w:val="bottom"/>
            <w:gridSpan w:val="2"/>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and Six Months Ended June 30, 2025 and 2024</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100" w:type="dxa"/>
            <w:vAlign w:val="bottom"/>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400" w:type="dxa"/>
            <w:vAlign w:val="bottom"/>
            <w:gridSpan w:val="3"/>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23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80" w:type="dxa"/>
            <w:vAlign w:val="bottom"/>
            <w:gridSpan w:val="5"/>
          </w:tcPr>
          <w:p>
            <w:pPr>
              <w:spacing w:after="0"/>
              <w:rPr>
                <w:sz w:val="18"/>
                <w:szCs w:val="18"/>
                <w:color w:val="auto"/>
              </w:rPr>
            </w:pP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Item 1. Legal Proceedings</w:t>
            </w:r>
          </w:p>
        </w:tc>
        <w:tc>
          <w:tcPr>
            <w:tcW w:w="680" w:type="dxa"/>
            <w:vAlign w:val="bottom"/>
            <w:gridSpan w:val="2"/>
          </w:tcPr>
          <w:p>
            <w:pPr>
              <w:spacing w:after="0"/>
              <w:rPr>
                <w:sz w:val="18"/>
                <w:szCs w:val="18"/>
                <w:color w:val="auto"/>
              </w:rPr>
            </w:pP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22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2. Repurchase of Equity by the Company or Affiliates</w:t>
            </w:r>
          </w:p>
        </w:tc>
        <w:tc>
          <w:tcPr>
            <w:tcW w:w="582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0" w:type="dxa"/>
            <w:vAlign w:val="bottom"/>
            <w:tcBorders>
              <w:left w:val="single" w:sz="8" w:color="0000FF"/>
            </w:tcBorders>
            <w:gridSpan w:val="5"/>
            <w:shd w:val="clear" w:color="auto" w:fill="0000FF"/>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2400" w:type="dxa"/>
            <w:vAlign w:val="bottom"/>
            <w:gridSpan w:val="5"/>
          </w:tcPr>
          <w:p>
            <w:pPr>
              <w:spacing w:after="0"/>
              <w:rPr>
                <w:sz w:val="18"/>
                <w:szCs w:val="18"/>
                <w:color w:val="auto"/>
              </w:rPr>
            </w:pPr>
          </w:p>
        </w:tc>
        <w:tc>
          <w:tcPr>
            <w:tcW w:w="582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22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23,033</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71,709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Oil and natural gas revenues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331,590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Joint interest billings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260,555</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62,584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15,968</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110,992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123,437</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927,345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and natural gas properties, full-cost method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Evaluated</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13,383,014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12,534,290</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Unproved and unevaluated</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1,699,414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1,702,203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properties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1,854,094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1,683,334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47,532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(6,784,277)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(6,203,263)</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10,201,951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9,764,096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159,246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158,668</w:t>
            </w: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4"/>
                <w:szCs w:val="14"/>
                <w:color w:val="auto"/>
              </w:rPr>
              <w:t>Total other assets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162,105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158,668</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11,279,910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10,850,109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143,735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147,139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441,484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Royalties payable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227,865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Amounts due to affiliates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83,338</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69,678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64,987</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1,071,846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995,357</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595,500</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615,000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2,118,005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2,114,908</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114,237</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847,666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110,009</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4,481,542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4,397,320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Common stock - $0.01 par value, 160,000,000 shares authorized; 125,416,303 and 125,101,268 shares issued;</w:t>
            </w:r>
          </w:p>
        </w:tc>
        <w:tc>
          <w:tcPr>
            <w:tcW w:w="2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and 124,176,688 and 125,048,396 shares outstanding, respectively</w:t>
            </w:r>
          </w:p>
        </w:tc>
        <w:tc>
          <w:tcPr>
            <w:tcW w:w="2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2,546,557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2,533,247</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2,556,987</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Treasury stock, at cost, 1,239,615 and 52,872 shares, respectively</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(50,785)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Matador Resources Company shareholders’ equity</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5,366,173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5,089,149</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360,349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368,283</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5,726,522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5,457,432</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11,279,910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10,850,109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6160" w:type="dxa"/>
            <w:vAlign w:val="bottom"/>
            <w:gridSpan w:val="5"/>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80" w:type="dxa"/>
            <w:vAlign w:val="bottom"/>
          </w:tcPr>
          <w:p>
            <w:pPr>
              <w:spacing w:after="0"/>
              <w:rPr>
                <w:sz w:val="24"/>
                <w:szCs w:val="24"/>
                <w:color w:val="auto"/>
              </w:rPr>
            </w:pPr>
          </w:p>
        </w:tc>
        <w:tc>
          <w:tcPr>
            <w:tcW w:w="7700" w:type="dxa"/>
            <w:vAlign w:val="bottom"/>
            <w:gridSpan w:val="9"/>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 UNAUDITED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160" w:type="dxa"/>
            <w:vAlign w:val="bottom"/>
            <w:gridSpan w:val="5"/>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2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1,725,692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1,479,819</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95,711</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1,634,829</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146,965</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operating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155,325</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Purchased natural gas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74,672</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438,245</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57,566</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606,648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952,256</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682,573</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(77,092)</w:t>
            </w:r>
          </w:p>
        </w:tc>
        <w:tc>
          <w:tcPr>
            <w:tcW w:w="0" w:type="dxa"/>
            <w:vAlign w:val="bottom"/>
          </w:tcPr>
          <w:p>
            <w:pPr>
              <w:spacing w:after="0"/>
              <w:rPr>
                <w:sz w:val="1"/>
                <w:szCs w:val="1"/>
                <w:color w:val="auto"/>
              </w:rPr>
            </w:pPr>
          </w:p>
        </w:tc>
      </w:tr>
      <w:tr>
        <w:trPr>
          <w:trHeight w:val="223"/>
        </w:trPr>
        <w:tc>
          <w:tcPr>
            <w:tcW w:w="6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605,481</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47,376</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144,764</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460,717</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(38,219)</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422,498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124,418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124,786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124,804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122,253</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w:t>
      </w:r>
    </w:p>
    <w:p>
      <w:pPr>
        <w:spacing w:after="0" w:line="13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22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p>
      <w:pPr>
        <w:ind w:left="8560"/>
        <w:spacing w:after="0" w:line="221" w:lineRule="auto"/>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29"/>
        </w:trPr>
        <w:tc>
          <w:tcPr>
            <w:tcW w:w="3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920" w:type="dxa"/>
            <w:vAlign w:val="bottom"/>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84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8"/>
                <w:szCs w:val="8"/>
                <w:color w:val="auto"/>
              </w:rPr>
            </w:pPr>
          </w:p>
        </w:tc>
        <w:tc>
          <w:tcPr>
            <w:tcW w:w="84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8"/>
                <w:szCs w:val="8"/>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$ 2,533,247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2,556,987</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5,089,149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368,283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5,457,432</w:t>
            </w:r>
          </w:p>
        </w:tc>
        <w:tc>
          <w:tcPr>
            <w:tcW w:w="0" w:type="dxa"/>
            <w:vAlign w:val="bottom"/>
          </w:tcPr>
          <w:p>
            <w:pPr>
              <w:spacing w:after="0"/>
              <w:rPr>
                <w:sz w:val="1"/>
                <w:szCs w:val="1"/>
                <w:color w:val="auto"/>
              </w:rPr>
            </w:pPr>
          </w:p>
        </w:tc>
      </w:tr>
      <w:tr>
        <w:trPr>
          <w:trHeight w:val="19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($0.3125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(39,180)</w:t>
            </w: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(39,180)</w:t>
            </w:r>
          </w:p>
        </w:tc>
        <w:tc>
          <w:tcPr>
            <w:tcW w:w="0" w:type="dxa"/>
            <w:vAlign w:val="bottom"/>
          </w:tcPr>
          <w:p>
            <w:pPr>
              <w:spacing w:after="0"/>
              <w:rPr>
                <w:sz w:val="1"/>
                <w:szCs w:val="1"/>
                <w:color w:val="auto"/>
              </w:rPr>
            </w:pPr>
          </w:p>
        </w:tc>
      </w:tr>
      <w:tr>
        <w:trPr>
          <w:trHeight w:val="142"/>
        </w:trPr>
        <w:tc>
          <w:tcPr>
            <w:tcW w:w="3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0" w:type="dxa"/>
            <w:vAlign w:val="bottom"/>
          </w:tcPr>
          <w:p>
            <w:pPr>
              <w:spacing w:after="0"/>
              <w:rPr>
                <w:sz w:val="1"/>
                <w:szCs w:val="1"/>
                <w:color w:val="auto"/>
              </w:rPr>
            </w:pPr>
          </w:p>
        </w:tc>
      </w:tr>
      <w:tr>
        <w:trPr>
          <w:trHeight w:val="19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142"/>
        </w:trPr>
        <w:tc>
          <w:tcPr>
            <w:tcW w:w="3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$0.6</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7)</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(33,810)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(33,810)</w:t>
            </w:r>
          </w:p>
        </w:tc>
        <w:tc>
          <w:tcPr>
            <w:tcW w:w="0" w:type="dxa"/>
            <w:vAlign w:val="bottom"/>
          </w:tcPr>
          <w:p>
            <w:pPr>
              <w:spacing w:after="0"/>
              <w:rPr>
                <w:sz w:val="1"/>
                <w:szCs w:val="1"/>
                <w:color w:val="auto"/>
              </w:rPr>
            </w:pPr>
          </w:p>
        </w:tc>
      </w:tr>
      <w:tr>
        <w:trPr>
          <w:trHeight w:val="19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240,085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262,247</w:t>
            </w:r>
          </w:p>
        </w:tc>
        <w:tc>
          <w:tcPr>
            <w:tcW w:w="0" w:type="dxa"/>
            <w:vAlign w:val="bottom"/>
          </w:tcPr>
          <w:p>
            <w:pPr>
              <w:spacing w:after="0"/>
              <w:rPr>
                <w:sz w:val="1"/>
                <w:szCs w:val="1"/>
                <w:color w:val="auto"/>
              </w:rPr>
            </w:pPr>
          </w:p>
        </w:tc>
      </w:tr>
      <w:tr>
        <w:trPr>
          <w:trHeight w:val="18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125,329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$ 2,534,016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2,757,892</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5,287,492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356,635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5,644,127</w:t>
            </w:r>
          </w:p>
        </w:tc>
        <w:tc>
          <w:tcPr>
            <w:tcW w:w="0" w:type="dxa"/>
            <w:vAlign w:val="bottom"/>
          </w:tcPr>
          <w:p>
            <w:pPr>
              <w:spacing w:after="0"/>
              <w:rPr>
                <w:sz w:val="1"/>
                <w:szCs w:val="1"/>
                <w:color w:val="auto"/>
              </w:rPr>
            </w:pPr>
          </w:p>
        </w:tc>
      </w:tr>
      <w:tr>
        <w:trPr>
          <w:trHeight w:val="21"/>
        </w:trPr>
        <w:tc>
          <w:tcPr>
            <w:tcW w:w="39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($0.3125 per share)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(38,970)</w:t>
            </w: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0" w:type="dxa"/>
            <w:vAlign w:val="bottom"/>
          </w:tcPr>
          <w:p>
            <w:pPr>
              <w:spacing w:after="0"/>
              <w:rPr>
                <w:sz w:val="1"/>
                <w:szCs w:val="1"/>
                <w:color w:val="auto"/>
              </w:rPr>
            </w:pPr>
          </w:p>
        </w:tc>
      </w:tr>
      <w:tr>
        <w:trPr>
          <w:trHeight w:val="19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directors’ compensation</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6,378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6,378</w:t>
            </w:r>
          </w:p>
        </w:tc>
        <w:tc>
          <w:tcPr>
            <w:tcW w:w="0" w:type="dxa"/>
            <w:vAlign w:val="bottom"/>
          </w:tcPr>
          <w:p>
            <w:pPr>
              <w:spacing w:after="0"/>
              <w:rPr>
                <w:sz w:val="1"/>
                <w:szCs w:val="1"/>
                <w:color w:val="auto"/>
              </w:rPr>
            </w:pPr>
          </w:p>
        </w:tc>
      </w:tr>
      <w:tr>
        <w:trPr>
          <w:trHeight w:val="19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42"/>
        </w:trPr>
        <w:tc>
          <w:tcPr>
            <w:tcW w:w="3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$1.3</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7)</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(28,420)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(28,420)</w:t>
            </w:r>
          </w:p>
        </w:tc>
        <w:tc>
          <w:tcPr>
            <w:tcW w:w="0" w:type="dxa"/>
            <w:vAlign w:val="bottom"/>
          </w:tcPr>
          <w:p>
            <w:pPr>
              <w:spacing w:after="0"/>
              <w:rPr>
                <w:sz w:val="1"/>
                <w:szCs w:val="1"/>
                <w:color w:val="auto"/>
              </w:rPr>
            </w:pPr>
          </w:p>
        </w:tc>
      </w:tr>
      <w:tr>
        <w:trPr>
          <w:trHeight w:val="19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(44,691)</w:t>
            </w:r>
          </w:p>
        </w:tc>
        <w:tc>
          <w:tcPr>
            <w:tcW w:w="0" w:type="dxa"/>
            <w:vAlign w:val="bottom"/>
          </w:tcPr>
          <w:p>
            <w:pPr>
              <w:spacing w:after="0"/>
              <w:rPr>
                <w:sz w:val="1"/>
                <w:szCs w:val="1"/>
                <w:color w:val="auto"/>
              </w:rPr>
            </w:pPr>
          </w:p>
        </w:tc>
      </w:tr>
      <w:tr>
        <w:trPr>
          <w:trHeight w:val="19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150,225</w:t>
            </w:r>
          </w:p>
        </w:tc>
        <w:tc>
          <w:tcPr>
            <w:tcW w:w="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182,359</w:t>
            </w:r>
          </w:p>
        </w:tc>
        <w:tc>
          <w:tcPr>
            <w:tcW w:w="0" w:type="dxa"/>
            <w:vAlign w:val="bottom"/>
          </w:tcPr>
          <w:p>
            <w:pPr>
              <w:spacing w:after="0"/>
              <w:rPr>
                <w:sz w:val="1"/>
                <w:szCs w:val="1"/>
                <w:color w:val="auto"/>
              </w:rPr>
            </w:pPr>
          </w:p>
        </w:tc>
      </w:tr>
      <w:tr>
        <w:trPr>
          <w:trHeight w:val="221"/>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$ 2,546,557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2,869,147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5,366,173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5,726,522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5"/>
                <w:szCs w:val="15"/>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84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5"/>
                <w:szCs w:val="5"/>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4"/>
        </w:trPr>
        <w:tc>
          <w:tcPr>
            <w:tcW w:w="4020" w:type="dxa"/>
            <w:vAlign w:val="bottom"/>
          </w:tcPr>
          <w:p>
            <w:pPr>
              <w:spacing w:after="0"/>
              <w:rPr>
                <w:sz w:val="2"/>
                <w:szCs w:val="2"/>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0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8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119,478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$ 2,133,172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1,776,541</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3,910,862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216,826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4,127,688</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(23,858)</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(23,858)</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(11,381)</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pursuant to public offering</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344,663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to issue equity</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$0.3</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7)</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(25,725)</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193,729</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213,190</w:t>
            </w:r>
          </w:p>
        </w:tc>
        <w:tc>
          <w:tcPr>
            <w:tcW w:w="0" w:type="dxa"/>
            <w:vAlign w:val="bottom"/>
          </w:tcPr>
          <w:p>
            <w:pPr>
              <w:spacing w:after="0"/>
              <w:rPr>
                <w:sz w:val="1"/>
                <w:szCs w:val="1"/>
                <w:color w:val="auto"/>
              </w:rPr>
            </w:pPr>
          </w:p>
        </w:tc>
      </w:tr>
      <w:tr>
        <w:trPr>
          <w:trHeight w:val="221"/>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$ 2,472,681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1,946,412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4,418,250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4,636,162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tcBorders>
              <w:top w:val="single" w:sz="8" w:color="CCEEFF"/>
            </w:tcBorders>
            <w:vMerge w:val="continue"/>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(24,889)</w:t>
            </w:r>
          </w:p>
        </w:tc>
        <w:tc>
          <w:tcPr>
            <w:tcW w:w="8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to issue equity</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pursuant to directors' compensation 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$1.8</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6,913</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million (see Note 7)</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11,760</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(24,451)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(24,451)</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228,769</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247,527</w:t>
            </w:r>
          </w:p>
        </w:tc>
        <w:tc>
          <w:tcPr>
            <w:tcW w:w="0" w:type="dxa"/>
            <w:vAlign w:val="bottom"/>
          </w:tcPr>
          <w:p>
            <w:pPr>
              <w:spacing w:after="0"/>
              <w:rPr>
                <w:sz w:val="1"/>
                <w:szCs w:val="1"/>
                <w:color w:val="auto"/>
              </w:rPr>
            </w:pPr>
          </w:p>
        </w:tc>
      </w:tr>
      <w:tr>
        <w:trPr>
          <w:trHeight w:val="19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124,886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$ 2,483,075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2,150,292</w:t>
            </w: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4,631,626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223,979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4,855,605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7780" w:type="dxa"/>
            <w:vAlign w:val="bottom"/>
          </w:tcPr>
          <w:p>
            <w:pPr>
              <w:jc w:val="center"/>
              <w:ind w:left="839"/>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2"/>
        </w:trPr>
        <w:tc>
          <w:tcPr>
            <w:tcW w:w="1280" w:type="dxa"/>
            <w:vAlign w:val="bottom"/>
          </w:tcPr>
          <w:p>
            <w:pPr>
              <w:spacing w:after="0"/>
              <w:rPr>
                <w:sz w:val="24"/>
                <w:szCs w:val="24"/>
                <w:color w:val="auto"/>
              </w:rPr>
            </w:pPr>
          </w:p>
        </w:tc>
        <w:tc>
          <w:tcPr>
            <w:tcW w:w="7780" w:type="dxa"/>
            <w:vAlign w:val="bottom"/>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 UNAUDITED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780" w:type="dxa"/>
            <w:vAlign w:val="bottom"/>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88"/>
        </w:trPr>
        <w:tc>
          <w:tcPr>
            <w:tcW w:w="1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4"/>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444,606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460,717</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Unrealized loss on derivatives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32,242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9,754</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584,493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438,245</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3,494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8,460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Deferred income tax provision</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93,313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97,388</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debt issuance cost and other debt-related costs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7,336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9,586</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Other non-cash changes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(55,086)</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(7,380)</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payable, accrued liabilities and other current liabilities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6,281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28,678</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Royalties payable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49,694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33,811</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26,112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36,485</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r>
      <w:tr>
        <w:trPr>
          <w:trHeight w:val="189"/>
        </w:trPr>
        <w:tc>
          <w:tcPr>
            <w:tcW w:w="1280" w:type="dxa"/>
            <w:vAlign w:val="bottom"/>
          </w:tcPr>
          <w:p>
            <w:pPr>
              <w:spacing w:after="0"/>
              <w:rPr>
                <w:sz w:val="16"/>
                <w:szCs w:val="16"/>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1,228,906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1,061,489</w:t>
            </w:r>
          </w:p>
        </w:tc>
      </w:tr>
      <w:tr>
        <w:trPr>
          <w:trHeight w:val="21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Drilling, completion and equipping capital expenditures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(745,476)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(611,715)</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Ameredev</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(95,250)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(256,110)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capital expenditures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(157,201)</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Expenditures for other property and equipment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22,257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196"/>
        </w:trPr>
        <w:tc>
          <w:tcPr>
            <w:tcW w:w="90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Proceeds from sale of equity method investment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3,263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280" w:type="dxa"/>
            <w:vAlign w:val="bottom"/>
            <w:shd w:val="clear" w:color="auto" w:fill="CCEEFF"/>
          </w:tcPr>
          <w:p>
            <w:pPr>
              <w:spacing w:after="0"/>
              <w:rPr>
                <w:sz w:val="17"/>
                <w:szCs w:val="17"/>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(1,006,674)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(1,120,147)</w:t>
            </w:r>
          </w:p>
        </w:tc>
      </w:tr>
      <w:tr>
        <w:trPr>
          <w:trHeight w:val="195"/>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Credit Agreement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(1,720,000)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1,030,000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San Mateo Credit Facility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328,000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to amend credit facilities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(11,424)</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Proceeds from issuance of senior unsecured notes</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to issue senior unsecured notes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(15,621)</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Purchase of senior unsecured notes</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(699,191)</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344,663</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Dividends paid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(48,747)</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Contributions related to formation of San Mateo</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9,200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from non-controlling interest owners of less-than-wholly-owned subsidiaries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(50,176)</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paid related to net share settlement of stock-based compensation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(14,440)</w:t>
            </w:r>
          </w:p>
        </w:tc>
      </w:tr>
      <w:tr>
        <w:trPr>
          <w:trHeight w:val="196"/>
        </w:trPr>
        <w:tc>
          <w:tcPr>
            <w:tcW w:w="90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(3,161)</w:t>
            </w:r>
          </w:p>
        </w:tc>
      </w:tr>
      <w:tr>
        <w:trPr>
          <w:trHeight w:val="203"/>
        </w:trPr>
        <w:tc>
          <w:tcPr>
            <w:tcW w:w="1280" w:type="dxa"/>
            <w:vAlign w:val="bottom"/>
            <w:shd w:val="clear" w:color="auto" w:fill="CCEEFF"/>
          </w:tcPr>
          <w:p>
            <w:pPr>
              <w:spacing w:after="0"/>
              <w:rPr>
                <w:sz w:val="17"/>
                <w:szCs w:val="17"/>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(230,188)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16,263</w:t>
            </w:r>
          </w:p>
        </w:tc>
      </w:tr>
      <w:tr>
        <w:trPr>
          <w:trHeight w:val="18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cash and restricted cash</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(42,395)</w:t>
            </w:r>
          </w:p>
        </w:tc>
      </w:tr>
      <w:tr>
        <w:trPr>
          <w:trHeight w:val="21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94,742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106,298</w:t>
            </w:r>
          </w:p>
        </w:tc>
      </w:tr>
      <w:tr>
        <w:trPr>
          <w:trHeight w:val="19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86,786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63,903</w:t>
            </w:r>
          </w:p>
        </w:tc>
      </w:tr>
      <w:tr>
        <w:trPr>
          <w:trHeight w:val="27"/>
        </w:trPr>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 (see Note 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has operations in the Haynesville shale and Cotton Valley plays in Northwest Louisiana. Additionally, the Company conducts midstream operations primarily through its midstream joint venture, San Mateo Midstream, LLC and its subsidiaries (“San Mateo”), in support of, and to provide flow assurance for, the Company’s exploration, development and production operations, and San Mateo provides natural gas processing, oil transportation services, oil, natural gas and produced water gathering services and produced water disposal services to third parties.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Interim Financial Statements, Basis of Presentation, Consolidation and Significant Estimates</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2024 filed with the SEC on February 25, 2025 (the “Annual Report”).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The Company proportionately consolidates certain joint ventures that are less-than-wholly-owned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June 30, 2025. Amounts as of December 31, 2024 are derived from the Company’s audited consolidated financial statements included in the Annual Report.</w:t>
      </w:r>
    </w:p>
    <w:p>
      <w:pPr>
        <w:spacing w:after="0" w:line="8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in the purchase price allocations and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revenues and revenues from contracts with customers on a disaggregated basis for the three and six months ended June 30, 2025 and 2024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1,640,538</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r>
      <w:tr>
        <w:trPr>
          <w:trHeight w:val="223"/>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895,312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1,909,270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1,634,829</w:t>
            </w: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1,304,064</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revenues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175,755</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95,711</w:t>
            </w:r>
          </w:p>
        </w:tc>
      </w:tr>
      <w:tr>
        <w:trPr>
          <w:trHeight w:val="248"/>
        </w:trPr>
        <w:tc>
          <w:tcPr>
            <w:tcW w:w="52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and six months ended June 30, 2025 and 2024, the cost center ceiling was higher than the capitalized costs of oil and natural gas properties, and, as a result, no impairment charge was necessary.</w:t>
      </w:r>
    </w:p>
    <w:p>
      <w:pPr>
        <w:spacing w:after="0" w:line="75" w:lineRule="exact"/>
        <w:rPr>
          <w:sz w:val="20"/>
          <w:szCs w:val="20"/>
          <w:color w:val="auto"/>
        </w:rPr>
      </w:pPr>
    </w:p>
    <w:p>
      <w:pPr>
        <w:jc w:val="both"/>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Company capitalized approximately $18.2 million and $15.1 million of its general and administrative costs for the three months ended June 30, 2025 and 2024, respectively, and $35.7 million and $32.2 million of its general and administrative costs for the six months ended June 30, 2025 and 2024, respectively. The Company capitalized approximately $6.2 million and $9.3 million of its interest expense for the three months ended June 30, 2025 and 2024, respectively, and $14.9 million and $15.2 million of its interest expense for the six months ended June 30, 2025 and 2024,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11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weighted average common shares outstanding for the three and six months ended June 30, 2025 and 2024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20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0"/>
                <w:szCs w:val="20"/>
                <w:color w:val="auto"/>
              </w:rPr>
            </w:pPr>
          </w:p>
        </w:tc>
      </w:tr>
      <w:tr>
        <w:trPr>
          <w:trHeight w:val="239"/>
        </w:trPr>
        <w:tc>
          <w:tcPr>
            <w:tcW w:w="5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122,253</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options and restricted stock units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122,438</w:t>
            </w: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117" w:lineRule="exact"/>
        <w:rPr>
          <w:sz w:val="20"/>
          <w:szCs w:val="20"/>
          <w:color w:val="auto"/>
        </w:rPr>
      </w:pPr>
    </w:p>
    <w:p>
      <w:pPr>
        <w:ind w:right="60" w:firstLine="445"/>
        <w:spacing w:after="0" w:line="24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Financial Accounting Standards Board (“FASB”) issued ASU 2023-09,</w:t>
      </w:r>
      <w:r>
        <w:rPr>
          <w:rFonts w:ascii="Times New Roman" w:cs="Times New Roman" w:eastAsia="Times New Roman" w:hAnsi="Times New Roman"/>
          <w:sz w:val="18"/>
          <w:szCs w:val="18"/>
          <w:i w:val="1"/>
          <w:iCs w:val="1"/>
          <w:color w:val="auto"/>
        </w:rPr>
        <w:t xml:space="preserve"> Income Taxes (Topic 740): Improvements to Income Tax Disclosures</w:t>
      </w:r>
      <w:r>
        <w:rPr>
          <w:rFonts w:ascii="Times New Roman" w:cs="Times New Roman" w:eastAsia="Times New Roman" w:hAnsi="Times New Roman"/>
          <w:sz w:val="18"/>
          <w:szCs w:val="18"/>
          <w:color w:val="auto"/>
        </w:rPr>
        <w:t>, which is intended to enhance the transparency and decision usefulness of income tax disclosures.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standard provide for enhanced income tax information primarily through changes to the rate reconciliation and income taxes paid. This ASU is effective for the Company prospectively to all annual periods beginning after December 15, 2024, and interim reporting periods beginning after December 15, 2025. While the adoption of this ASU will modify the Company’s disclosures, it will not have an impact on the Company’s consolidated balance sheets or statements of income or cash flows in its consolidated financial statements.</w:t>
      </w:r>
    </w:p>
    <w:p>
      <w:pPr>
        <w:spacing w:after="0" w:line="87" w:lineRule="exact"/>
        <w:rPr>
          <w:sz w:val="20"/>
          <w:szCs w:val="20"/>
          <w:color w:val="auto"/>
        </w:rPr>
      </w:pPr>
    </w:p>
    <w:p>
      <w:pPr>
        <w:ind w:right="160" w:firstLine="445"/>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Disaggregation of Income Statement Expenses. </w:t>
      </w:r>
      <w:r>
        <w:rPr>
          <w:rFonts w:ascii="Times New Roman" w:cs="Times New Roman" w:eastAsia="Times New Roman" w:hAnsi="Times New Roman"/>
          <w:sz w:val="17"/>
          <w:szCs w:val="17"/>
          <w:color w:val="auto"/>
        </w:rPr>
        <w:t>In November 2024, the FASB issued ASU 2024-03,</w:t>
      </w:r>
      <w:r>
        <w:rPr>
          <w:rFonts w:ascii="Times New Roman" w:cs="Times New Roman" w:eastAsia="Times New Roman" w:hAnsi="Times New Roman"/>
          <w:sz w:val="17"/>
          <w:szCs w:val="17"/>
          <w:i w:val="1"/>
          <w:iCs w:val="1"/>
          <w:color w:val="auto"/>
        </w:rPr>
        <w:t xml:space="preserve"> Income Statement – Reporting Comprehensive Income – Expense Disaggregation Disclosures (Subtopic 220-40): Disaggregation of Income Statement Expenses</w:t>
      </w:r>
      <w:r>
        <w:rPr>
          <w:rFonts w:ascii="Times New Roman" w:cs="Times New Roman" w:eastAsia="Times New Roman" w:hAnsi="Times New Roman"/>
          <w:sz w:val="17"/>
          <w:szCs w:val="17"/>
          <w:color w:val="auto"/>
        </w:rPr>
        <w:t>. The amendments in this update require</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disclosure in the Company’s annual and interim consolidated financial statements of specified information about certain costs and expenses, including depreciation, depletion and amortization recognized as part of oil and natural gas producing activities and employee compensation. This ASU is effective for the Company to all annual periods beginning after December 15, 2026, and interim reporting periods beginning after December 15, 2027. While the adoption of this ASU will modify the Company’s disclosures, it will not have an impact on the Company’s consolidated balance sheets or statements of income or cash flows in its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 AND DIVESTITURES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Ameredev Acquisition</w:t>
      </w:r>
    </w:p>
    <w:p>
      <w:pPr>
        <w:spacing w:after="0" w:line="106"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18"/>
          <w:szCs w:val="18"/>
          <w:color w:val="auto"/>
        </w:rPr>
        <w:t xml:space="preserve">On September 18, 2024, a wholly-owned subsidiary of the Company completed the acquisition (the “Ameredev Acquisition”) of Ameredev Stateline II, LLC (“Ameredev”) from affiliates of EnCap Investments L.P., including (i) certain oil and natural gas producing properties and undeveloped acreage located in Lea County, New Mexico and Loving and Winkler Counties, Texas, and (ii) an approximate 19% stake (the “Piñon Investment”) in the parent company of Piñon Midstream, LLC. Refer to </w:t>
      </w:r>
      <w:r>
        <w:rPr>
          <w:rFonts w:ascii="Times New Roman" w:cs="Times New Roman" w:eastAsia="Times New Roman" w:hAnsi="Times New Roman"/>
          <w:sz w:val="18"/>
          <w:szCs w:val="18"/>
          <w:i w:val="1"/>
          <w:iCs w:val="1"/>
          <w:color w:val="auto"/>
        </w:rPr>
        <w:t>Note 6—Business Combinations and Divestitures</w:t>
      </w:r>
      <w:r>
        <w:rPr>
          <w:rFonts w:ascii="Times New Roman" w:cs="Times New Roman" w:eastAsia="Times New Roman" w:hAnsi="Times New Roman"/>
          <w:sz w:val="18"/>
          <w:szCs w:val="18"/>
          <w:color w:val="auto"/>
        </w:rPr>
        <w:t xml:space="preserve"> in the notes to the consolidated financial statements in the Annual Report for additional details regarding the Ameredev Acquisition, including information regarding the Company’s accounting treatment of the Ameredev Acquisition.</w:t>
      </w:r>
    </w:p>
    <w:p>
      <w:pPr>
        <w:spacing w:after="0" w:line="72"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8"/>
          <w:szCs w:val="18"/>
          <w:color w:val="auto"/>
        </w:rPr>
        <w:t>The preliminary allocation of the total purchase price for the Ameredev Acquisition is set forth below (in thousands). As of the date of this filing, the valuation of the Piñon Investment and certain working capital adjustments in connection with the final settlement remain ongoing and adjustments may be made. The Company expects to complete the final purchase price allocation during the 12-month period subsequent to the Ameredev Acquisition closing date.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w:t>
            </w: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 — CONTINUED</w:t>
            </w: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 AND DIVESTITURES — Continued</w:t>
            </w: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2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20" w:type="dxa"/>
            <w:vAlign w:val="bottom"/>
          </w:tcPr>
          <w:p>
            <w:pPr>
              <w:spacing w:after="0"/>
              <w:rPr>
                <w:sz w:val="24"/>
                <w:szCs w:val="24"/>
                <w:color w:val="auto"/>
              </w:rPr>
            </w:pPr>
          </w:p>
        </w:tc>
        <w:tc>
          <w:tcPr>
            <w:tcW w:w="18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8980" w:type="dxa"/>
            <w:vAlign w:val="bottom"/>
            <w:tcBorders>
              <w:bottom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consideration given</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1,831,214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98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898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Evaluated</w:t>
            </w: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Unproved and unevaluated</w:t>
            </w: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Midstream assets</w:t>
            </w: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4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Information</w:t>
      </w:r>
    </w:p>
    <w:p>
      <w:pPr>
        <w:spacing w:after="0" w:line="119" w:lineRule="exact"/>
        <w:rPr>
          <w:sz w:val="20"/>
          <w:szCs w:val="20"/>
          <w:color w:val="auto"/>
        </w:rPr>
      </w:pPr>
    </w:p>
    <w:p>
      <w:pPr>
        <w:ind w:right="60" w:firstLine="486"/>
        <w:spacing w:after="0" w:line="274" w:lineRule="auto"/>
        <w:rPr>
          <w:sz w:val="20"/>
          <w:szCs w:val="20"/>
          <w:color w:val="auto"/>
        </w:rPr>
      </w:pPr>
      <w:r>
        <w:rPr>
          <w:rFonts w:ascii="Times New Roman" w:cs="Times New Roman" w:eastAsia="Times New Roman" w:hAnsi="Times New Roman"/>
          <w:sz w:val="17"/>
          <w:szCs w:val="17"/>
          <w:color w:val="auto"/>
        </w:rPr>
        <w:t>The results of Ameredev’s operations have been included in the Company’s consolidated financial statements since September 18, 2024. The following unaudited pro forma financial information represents a summary of the condensed consolidated results of operations for the three and six months ended June 30, 2024, assuming the Ameredev Acquisition had been completed as of January 1, 2023. The pro forma financial information is provided for illustrative purposes only and does not purport to represent what the actual consolidated results of operations or the consolidated financial position of the Company would have been had the Ameredev Acquisition occurred on the dates noted above, nor is it necessarily indicative of the future results of operations or consolidated financial position of the Company. Future results may vary significantly from the results reflected because of various factors.</w:t>
      </w:r>
    </w:p>
    <w:p>
      <w:pPr>
        <w:spacing w:after="0" w:line="6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information below reflects certain nonrecurring pro forma adjustments that were directly related to the business combination based on currently available information and certain estimates and assumptions that the Company believes provide a reasonable basis for presenting the significant effects of the Ameredev Acquisition, including (i) the increase in depletion reflecting the relative fair values and production volumes attributable to Ameredev’s properties and the revision to the depletion rate reflecting the reserve volumes acquired, (ii) adjustments to interest expense as a result of the incremental borrowings necessary to finance the Ameredev Acquisition and (iii) the estimated tax impacts of the pro-forma adjustments. The pro forma financial information does not reflect the benefits of projected synergies, potential cost savings or the costs that may be necessary to achieve such savings, opportunities to increase revenue generation or other factors that may result from the Ameredev Acquisition and, accordingly, does not attempt to predict or suggest future results. Management cannot identify the timing, nature and amount of such savings, costs or other factors, any of which could affect the future consolidated results of operations or consolidated financial position of the Company.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18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20"/>
                <w:szCs w:val="20"/>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25"/>
        </w:trPr>
        <w:tc>
          <w:tcPr>
            <w:tcW w:w="5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1,810,566</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232,048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405,172</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60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3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 AND DIVESTITURES — Continued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Divestitures</w:t>
      </w:r>
    </w:p>
    <w:p>
      <w:pPr>
        <w:spacing w:after="0" w:line="11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sold its remaining South Texas assets in the Eagle Ford shale for $22.2 million, which amount is subject to customary post-closing adjustments.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ASSET RETIREMENT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for the six months ended June 30, 2025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122,668</w:t>
            </w:r>
          </w:p>
        </w:tc>
      </w:tr>
      <w:tr>
        <w:trPr>
          <w:trHeight w:val="229"/>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r>
      <w:tr>
        <w:trPr>
          <w:trHeight w:val="230"/>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settled during period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Divestitures during period</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r>
      <w:tr>
        <w:trPr>
          <w:trHeight w:val="229"/>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expense</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r>
      <w:tr>
        <w:trPr>
          <w:trHeight w:val="22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123,557</w:t>
            </w:r>
          </w:p>
        </w:tc>
      </w:tr>
      <w:tr>
        <w:trPr>
          <w:trHeight w:val="229"/>
        </w:trPr>
        <w:tc>
          <w:tcPr>
            <w:tcW w:w="10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asset retirement obligations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r>
      <w:tr>
        <w:trPr>
          <w:trHeight w:val="22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116,960</w:t>
            </w:r>
          </w:p>
        </w:tc>
      </w:tr>
      <w:tr>
        <w:trPr>
          <w:trHeight w:val="20"/>
        </w:trPr>
        <w:tc>
          <w:tcPr>
            <w:tcW w:w="10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_______________</w:t>
      </w:r>
    </w:p>
    <w:p>
      <w:pPr>
        <w:spacing w:after="0" w:line="106"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liabilities in the Company’s interim unaudited condensed consolidated balance sheet at June 30,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2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components of debt, including the effects of issuance costs and discounts, net as of June 30, 2025 and December 31, 2024, are set forth below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agreements: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 Agreement due 2029</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595,500</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San Mateo Credit Facility due 2029</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6.875% senior notes due 2028 (the “2028 Notes”)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6.500% senior notes due 2032 (the “2032 Notes”)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6.250% senior notes due 2033 (the “2033 Notes”)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7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Issuance costs and discounts, net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(35,092)</w:t>
            </w:r>
          </w:p>
        </w:tc>
      </w:tr>
      <w:tr>
        <w:trPr>
          <w:trHeight w:val="223"/>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senior unsecured notes payable</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2,114,908</w:t>
            </w:r>
          </w:p>
        </w:tc>
      </w:tr>
      <w:tr>
        <w:trPr>
          <w:trHeight w:val="223"/>
        </w:trPr>
        <w:tc>
          <w:tcPr>
            <w:tcW w:w="76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long-term debt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3,286,005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3,325,408</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MRC Energy Company</w:t>
      </w:r>
    </w:p>
    <w:p>
      <w:pPr>
        <w:spacing w:after="0" w:line="119"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At June 30, 2025, the Company had $390.0 million in borrowings outstanding under the Company’s reserves-based revolving credit facility (the “Credit Agreement”) and approximately $52.9 million in outstanding letters of credit issued pursuant to the Credit Agreement. Since June 30, 2025, the Company repaid $30.0 million of borrowings under the Credit Agreement, and at July 22, 2025, the Company had $360.0 million in borrowings outstanding under the Credit Agreement.</w:t>
      </w:r>
    </w:p>
    <w:p>
      <w:pPr>
        <w:spacing w:after="0" w:line="7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outstanding borrowings under the Credit Agreement mature on March 22, 2029. 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 — Continued</w:t>
      </w:r>
    </w:p>
    <w:p>
      <w:pPr>
        <w:spacing w:after="0" w:line="200" w:lineRule="exact"/>
        <w:rPr>
          <w:sz w:val="20"/>
          <w:szCs w:val="20"/>
          <w:color w:val="auto"/>
        </w:rPr>
      </w:pPr>
    </w:p>
    <w:p>
      <w:pPr>
        <w:spacing w:after="0" w:line="259" w:lineRule="exact"/>
        <w:rPr>
          <w:sz w:val="20"/>
          <w:szCs w:val="20"/>
          <w:color w:val="auto"/>
        </w:rPr>
      </w:pPr>
    </w:p>
    <w:p>
      <w:pPr>
        <w:jc w:val="both"/>
        <w:ind w:right="980" w:firstLine="445"/>
        <w:spacing w:after="0" w:line="312" w:lineRule="auto"/>
        <w:rPr>
          <w:sz w:val="20"/>
          <w:szCs w:val="20"/>
          <w:color w:val="auto"/>
        </w:rPr>
      </w:pPr>
      <w:r>
        <w:rPr>
          <w:rFonts w:ascii="Times New Roman" w:cs="Times New Roman" w:eastAsia="Times New Roman" w:hAnsi="Times New Roman"/>
          <w:sz w:val="17"/>
          <w:szCs w:val="17"/>
          <w:color w:val="auto"/>
        </w:rPr>
        <w:t>In May 2025, the borrowing base of the Credit Agreement was reaffirmed at $3.25 billion, and the Company kept the elected borrowing commitments at $2.25 billion. This May 2025 reaffirmation of the borrowing base constituted the regularly scheduled May 1 redetermination.</w:t>
      </w:r>
    </w:p>
    <w:p>
      <w:pPr>
        <w:spacing w:after="0" w:line="32" w:lineRule="exact"/>
        <w:rPr>
          <w:sz w:val="20"/>
          <w:szCs w:val="20"/>
          <w:color w:val="auto"/>
        </w:rPr>
      </w:pPr>
    </w:p>
    <w:p>
      <w:pPr>
        <w:jc w:val="both"/>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$150.0 million or 10% of the elected borrowing commitments of unrestricted cash and cash equivalents), divided by a rolling four quarter EBITDA calculation, of 3.5 or less at the end of each fiscal quarter. The Company believes that it was in compliance with the terms of the Credit Agreement at June 30, 2025.</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Midstream, LLC</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At June 30, 2025, San Mateo had $778.0 million in borrowings outstanding under its secured revolving credit facility (the “San Mateo Credit Facility”) and approximately $15.4 million in outstanding letters of credit issued pursuant to the San Mateo Credit Facility. Since June 30, 2025, San Mateo repaid $85.0 million of borrowings under the San Mateo Credit Facility, and at July 22, 2025, San Mateo had $693.0 million in borrowings outstanding under the San Mateo Credit Facility.</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June 2025, San Mateo and certain of its lenders modified the San Mateo Credit Facility to (i) increase the lender commitments from</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$800.0 million to $850.0 million and (ii) add one new bank to San Mateo’s lending group. The San Mateo Credit Facility includes an accordion feature, which provides for potential increases in lender commitments of up to $1.05 billion. The San Mateo Credit Facility is non-recourse with respect to Matador and its other subsidiaries but is guaranteed by San Mateo’s subsidiaries and secured by substantially all of San Mateo’s assets, including real property. The outstanding borrowings under the San Mateo Credit Facility mature on November 26, 2029.</w:t>
      </w:r>
    </w:p>
    <w:p>
      <w:pPr>
        <w:spacing w:after="0" w:line="8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debt to EBITDA ratio is greater than 4.5 or San Mateo’s liquidity is less than 10% of the lender commitments under the San Mateo Credit Facility. The Company believes that San Mateo was in compliance with the terms of the San Mateo Credit Facility at June 30,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21"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recorded a current income tax provision of $23.1 million and $46.1 million and a deferred income tax provision of $33.4 million and $93.3 million for the three and six months ended June 30, 2025, respectively. The Company recorded a current income tax provision of $30.1 million and $47.4 million and a deferred income tax provision of $47.9 million and $97.4 million for the three and six months ended June 30, 2024, respectively.</w:t>
      </w:r>
    </w:p>
    <w:p>
      <w:pPr>
        <w:spacing w:after="0" w:line="6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of 27% and 25% for the three months ended June 30, 2025 and 2024, respectively, and 26% for each of the six months ended June 30, 2025 and 2024, differed from the U.S. federal statutory rate due primarily to state taxes in New Mexico.</w:t>
      </w:r>
    </w:p>
    <w:p>
      <w:pPr>
        <w:spacing w:after="0" w:line="5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July 4, 2025, the President of the United States signed into law the One Big Beautiful Bill Act. The legislation, among other things, makes permanent, extends or modifies certain provisions under the 2017 Tax Cuts and Jobs Act, including a permanent extension of 100% bonus depreciation for certain capital expenditures and immediate deduction of domestic research or experimental expenditures. Pursuant to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effects of changes in tax law are recognized in the period of enactment. As such, this legislation is not reflected in the Company’s unaudited condensed consolidated financial statements for the periods ended June 30, 2025. The Company is currently evaluating the full impact of this new legislation on its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0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awards to certain of its employees of 239,750 service-based restricted stock units to be settled in cash, which are liability instruments, and 278,000 performance-based stock units and 56,200 service-based shares of restricted stock, which are equity instruments. The performance-based stock units vest in an amount between zero and 200% of the target units granted based on the Company’s relative total shareholder return over the three-year period ending December 31, 2027, as compared to a designated peer group. The service-based restricted stock and restricted stock units vest over a three-year period. The fair value of these awards was approximately $32.4 million on their respective grant dates.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Dividend</w:t>
      </w:r>
    </w:p>
    <w:p>
      <w:pPr>
        <w:spacing w:after="0" w:line="1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Matador’s Board of Directors (the “Board”) declared a quarterly cash dividend of $0.3125 per share of common stock in each of the first and second quarters of 2025. The first quarter dividend, which totaled $39.2 million, was paid on March 14, 2025 to shareholders of record as of February 28, 2025. The second quarter dividend, which totaled $39.0 million, was paid on June 6, 2025 to shareholders of record as of May 9, 2025. On July 15, 2025, the Board declared a quarterly cash dividend of $0.3125 per share of common stock payable on September 5, 2025 to shareholders of record as of August 15,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9"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On April 16, 2025, the Board authorized a share repurchase program (the “Share Repurchase Program”) of up to $400.0 million of common stock. These repurchases may be conducted through a variety of methods, including open market purchases, 10b5-1 trading plans, privately negotiated transactions or other means.</w:t>
      </w:r>
    </w:p>
    <w:p>
      <w:pPr>
        <w:spacing w:after="0" w:line="6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repurchased 1,095,667 shares of common stock under the Share Repurchase Program at a weighted average price of $40.37 per common share for a total cost of $44.2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San Mateo Distributions and Contributions</w:t>
      </w:r>
    </w:p>
    <w:p>
      <w:pPr>
        <w:spacing w:after="0" w:line="119" w:lineRule="exact"/>
        <w:rPr>
          <w:sz w:val="20"/>
          <w:szCs w:val="20"/>
          <w:color w:val="auto"/>
        </w:rPr>
      </w:pPr>
    </w:p>
    <w:p>
      <w:pPr>
        <w:jc w:val="both"/>
        <w:ind w:right="320" w:firstLine="405"/>
        <w:spacing w:after="0" w:line="272" w:lineRule="auto"/>
        <w:rPr>
          <w:sz w:val="20"/>
          <w:szCs w:val="20"/>
          <w:color w:val="auto"/>
        </w:rPr>
      </w:pPr>
      <w:r>
        <w:rPr>
          <w:rFonts w:ascii="Times New Roman" w:cs="Times New Roman" w:eastAsia="Times New Roman" w:hAnsi="Times New Roman"/>
          <w:sz w:val="17"/>
          <w:szCs w:val="17"/>
          <w:color w:val="auto"/>
        </w:rPr>
        <w:t>During the three months ended June 30, 2025 and 2024, San Mateo distributed $29.6 million and $25.4 million, respectively, to the Company and $28.4 million and $24.5 million, respectively, to a subsidiary of Five Point Infrastructure LLC (previously, Five Point Energy LLC) (“Five Point”), the Company’s joint venture partner in San Mateo. During the six months ended June 30, 2025 and 2024, San Mateo distributed $64.8 million and</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$52.2 million, respectively, to the Company and $62.2 million and $50.2 million, respectively, to a subsidiary of Five Point. During the three and six months ended June 30, 2025, there were no contributions to San Mateo by either the Company or Five Point. During the three months ended June 30, 2024, the Company contributed $12.2 million and Five Point contributed $11.8 million of cash to San Mateo. During the six months ended June 30, 2024, the Company contributed $19.9 million and Five Point contributed $19.1 million of cash to San Mateo.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Incentives</w:t>
      </w:r>
    </w:p>
    <w:p>
      <w:pPr>
        <w:spacing w:after="0" w:line="119" w:lineRule="exact"/>
        <w:rPr>
          <w:sz w:val="20"/>
          <w:szCs w:val="20"/>
          <w:color w:val="auto"/>
        </w:rPr>
      </w:pPr>
    </w:p>
    <w:p>
      <w:pPr>
        <w:ind w:firstLine="405"/>
        <w:spacing w:after="0" w:line="273" w:lineRule="auto"/>
        <w:rPr>
          <w:sz w:val="20"/>
          <w:szCs w:val="20"/>
          <w:color w:val="auto"/>
        </w:rPr>
      </w:pPr>
      <w:r>
        <w:rPr>
          <w:rFonts w:ascii="Times New Roman" w:cs="Times New Roman" w:eastAsia="Times New Roman" w:hAnsi="Times New Roman"/>
          <w:sz w:val="17"/>
          <w:szCs w:val="17"/>
          <w:color w:val="auto"/>
        </w:rPr>
        <w:t>Five Point paid the Company $6.4 million and $8.8 million of performance incentives during the three months ended June 30, 2025 and 2024, respectively. Five Point paid the Company $9.2 million and $10.3 million of performance incentives during the six months ended June 30, 2025 and 2024, respectively. These performance incentives are recorded when received, net of the $1.3 million and $1.8 million deferred tax impact to the Company for the three months ended June 30, 2025 and 2024, respectively, and $1.9 million and $2.1 million deferred tax impact to the Company for the six months ended June 30, 2025 and 2024, respectively, in “Additional paid-in capital” in the Company’s interim unaudited condensed consolidated balance sheets. These performance incentives for the three and six months ended June 30, 2025 and 2024 are also denoted as “Contributions related to formation of San Mateo” under “Financing activities” in the Company’s interim unaudited condensed consolidated statements of cash flows and changes in shareholders’ equity.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FINANCIAL INSTRUMENTS</w:t>
      </w:r>
    </w:p>
    <w:p>
      <w:pPr>
        <w:spacing w:after="0" w:line="12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At June 30, 2025, the Company had various costless collar contracts open and in place to mitigate its exposure to oil and natural gas price volatility, each with an established price floor and ceiling. At June 30, 2025, the Company had natural gas basis differential swap contracts open and in place to mitigate its exposure to natural gas price volatility, with a specific term (calculation period), notional quantity (volume hedged) and fixed price. The Company had no open contracts associated with natural gas liquids prices at June 30, 2025.</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FINANCIAL INSTRUMENTS — Continued</w:t>
      </w:r>
    </w:p>
    <w:p>
      <w:pPr>
        <w:spacing w:after="0" w:line="200" w:lineRule="exact"/>
        <w:rPr>
          <w:sz w:val="20"/>
          <w:szCs w:val="20"/>
          <w:color w:val="auto"/>
        </w:rPr>
      </w:pPr>
    </w:p>
    <w:p>
      <w:pPr>
        <w:spacing w:after="0" w:line="2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costless collar contracts at June 30,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 w:type="dxa"/>
            <w:vAlign w:val="bottom"/>
          </w:tcPr>
          <w:p>
            <w:pPr>
              <w:spacing w:after="0"/>
              <w:rPr>
                <w:sz w:val="17"/>
                <w:szCs w:val="17"/>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Fair Value of</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1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0" w:type="dxa"/>
            <w:vAlign w:val="bottom"/>
          </w:tcPr>
          <w:p>
            <w:pPr>
              <w:spacing w:after="0"/>
              <w:rPr>
                <w:sz w:val="1"/>
                <w:szCs w:val="1"/>
                <w:color w:val="auto"/>
              </w:rPr>
            </w:pPr>
          </w:p>
        </w:tc>
      </w:tr>
      <w:tr>
        <w:trPr>
          <w:trHeight w:val="176"/>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1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Price Floor</w:t>
            </w:r>
          </w:p>
        </w:tc>
        <w:tc>
          <w:tcPr>
            <w:tcW w:w="100" w:type="dxa"/>
            <w:vAlign w:val="bottom"/>
          </w:tcPr>
          <w:p>
            <w:pPr>
              <w:spacing w:after="0"/>
              <w:rPr>
                <w:sz w:val="15"/>
                <w:szCs w:val="15"/>
                <w:color w:val="auto"/>
              </w:rPr>
            </w:pPr>
          </w:p>
        </w:tc>
        <w:tc>
          <w:tcPr>
            <w:tcW w:w="16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Ceiling</w:t>
            </w:r>
          </w:p>
        </w:tc>
        <w:tc>
          <w:tcPr>
            <w:tcW w:w="16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43"/>
        </w:trPr>
        <w:tc>
          <w:tcPr>
            <w:tcW w:w="2000" w:type="dxa"/>
            <w:vAlign w:val="bottom"/>
            <w:gridSpan w:val="2"/>
            <w:vMerge w:val="continue"/>
          </w:tcPr>
          <w:p>
            <w:pPr>
              <w:spacing w:after="0"/>
              <w:rPr>
                <w:sz w:val="21"/>
                <w:szCs w:val="21"/>
                <w:color w:val="auto"/>
              </w:rPr>
            </w:pPr>
          </w:p>
        </w:tc>
        <w:tc>
          <w:tcPr>
            <w:tcW w:w="2400" w:type="dxa"/>
            <w:vAlign w:val="bottom"/>
            <w:gridSpan w:val="2"/>
            <w:vMerge w:val="continue"/>
          </w:tcPr>
          <w:p>
            <w:pPr>
              <w:spacing w:after="0"/>
              <w:rPr>
                <w:sz w:val="21"/>
                <w:szCs w:val="21"/>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(Bbl or MMBtu)</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($/Bbl or $/MMBtu)</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($/Bbl or $/MMBtu)</w:t>
            </w:r>
          </w:p>
        </w:tc>
        <w:tc>
          <w:tcPr>
            <w:tcW w:w="160" w:type="dxa"/>
            <w:vAlign w:val="bottom"/>
          </w:tcPr>
          <w:p>
            <w:pPr>
              <w:spacing w:after="0"/>
              <w:rPr>
                <w:sz w:val="21"/>
                <w:szCs w:val="21"/>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9"/>
              </w:rPr>
              <w:t>07/01/2025 - 12/31/2025</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12,880,000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320" w:type="dxa"/>
            <w:vAlign w:val="bottom"/>
            <w:tcBorders>
              <w:bottom w:val="single" w:sz="8" w:color="CCEEFF"/>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01/01/2026 - 12/31/2026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54,750,000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open costless collar contracts</w:t>
            </w:r>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basis differential swap contracts at June 30,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60" w:type="dxa"/>
            <w:vAlign w:val="bottom"/>
          </w:tcPr>
          <w:p>
            <w:pPr>
              <w:spacing w:after="0"/>
              <w:rPr>
                <w:sz w:val="16"/>
                <w:szCs w:val="16"/>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80" w:type="dxa"/>
            <w:vAlign w:val="bottom"/>
          </w:tcPr>
          <w:p>
            <w:pPr>
              <w:spacing w:after="0"/>
              <w:rPr>
                <w:sz w:val="16"/>
                <w:szCs w:val="16"/>
                <w:color w:val="auto"/>
              </w:rPr>
            </w:pPr>
          </w:p>
        </w:tc>
        <w:tc>
          <w:tcPr>
            <w:tcW w:w="126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0" w:type="dxa"/>
            <w:vAlign w:val="bottom"/>
          </w:tcPr>
          <w:p>
            <w:pPr>
              <w:spacing w:after="0"/>
              <w:rPr>
                <w:sz w:val="1"/>
                <w:szCs w:val="1"/>
                <w:color w:val="auto"/>
              </w:rPr>
            </w:pPr>
          </w:p>
        </w:tc>
      </w:tr>
      <w:tr>
        <w:trPr>
          <w:trHeight w:val="176"/>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9"/>
        </w:trPr>
        <w:tc>
          <w:tcPr>
            <w:tcW w:w="360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260" w:type="dxa"/>
            <w:vAlign w:val="bottom"/>
          </w:tcPr>
          <w:p>
            <w:pPr>
              <w:spacing w:after="0"/>
              <w:rPr>
                <w:sz w:val="19"/>
                <w:szCs w:val="19"/>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8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Basis Differential</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07/01/2025 - 12/31/2025</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Natural Gas Basis Differential</w:t>
            </w:r>
          </w:p>
        </w:tc>
        <w:tc>
          <w:tcPr>
            <w:tcW w:w="2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01/01/2026 - 12/31/2026</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54,750,000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(35,307)</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open basis differential swap contracts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68" w:lineRule="exact"/>
        <w:rPr>
          <w:sz w:val="20"/>
          <w:szCs w:val="20"/>
          <w:color w:val="auto"/>
        </w:rPr>
      </w:pPr>
    </w:p>
    <w:p>
      <w:pPr>
        <w:jc w:val="both"/>
        <w:ind w:right="460" w:firstLine="445"/>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gross asset and liability fair values of the Company’s commodity price derivative financial instruments and the location of these balances in the interim unaudited condensed consolidated balance sheets as of June 30, 2025 and December 31, 2024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netted in the</w:t>
            </w: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presented in the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160" w:type="dxa"/>
            <w:vAlign w:val="bottom"/>
          </w:tcPr>
          <w:p>
            <w:pPr>
              <w:spacing w:after="0"/>
              <w:rPr>
                <w:sz w:val="16"/>
                <w:szCs w:val="16"/>
                <w:color w:val="auto"/>
              </w:rPr>
            </w:pPr>
          </w:p>
        </w:tc>
        <w:tc>
          <w:tcPr>
            <w:tcW w:w="15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0" w:type="dxa"/>
            <w:vAlign w:val="bottom"/>
          </w:tcPr>
          <w:p>
            <w:pPr>
              <w:spacing w:after="0"/>
              <w:rPr>
                <w:sz w:val="1"/>
                <w:szCs w:val="1"/>
                <w:color w:val="auto"/>
              </w:rPr>
            </w:pPr>
          </w:p>
        </w:tc>
      </w:tr>
      <w:tr>
        <w:trPr>
          <w:trHeight w:val="175"/>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60" w:type="dxa"/>
            <w:vAlign w:val="bottom"/>
          </w:tcPr>
          <w:p>
            <w:pPr>
              <w:spacing w:after="0"/>
              <w:rPr>
                <w:sz w:val="15"/>
                <w:szCs w:val="15"/>
                <w:color w:val="auto"/>
              </w:rPr>
            </w:pPr>
          </w:p>
        </w:tc>
        <w:tc>
          <w:tcPr>
            <w:tcW w:w="150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rPr>
                <w:sz w:val="1"/>
                <w:szCs w:val="1"/>
                <w:color w:val="auto"/>
              </w:rPr>
            </w:pPr>
          </w:p>
        </w:tc>
      </w:tr>
      <w:tr>
        <w:trPr>
          <w:trHeight w:val="243"/>
        </w:trPr>
        <w:tc>
          <w:tcPr>
            <w:tcW w:w="60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60" w:type="dxa"/>
            <w:vAlign w:val="bottom"/>
          </w:tcPr>
          <w:p>
            <w:pPr>
              <w:spacing w:after="0"/>
              <w:rPr>
                <w:sz w:val="21"/>
                <w:szCs w:val="21"/>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0" w:type="dxa"/>
            <w:vAlign w:val="bottom"/>
          </w:tcPr>
          <w:p>
            <w:pPr>
              <w:spacing w:after="0"/>
              <w:rPr>
                <w:sz w:val="21"/>
                <w:szCs w:val="21"/>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3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(24,179)</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FINANCIAL INSTRUMENTS — Continued</w:t>
      </w:r>
    </w:p>
    <w:p>
      <w:pPr>
        <w:spacing w:after="0" w:line="364"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aggregate gain (loss) of all derivative financial instruments recorded in the interim unaudited condensed consolidated statements of income for the periods presented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20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43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8"/>
                <w:szCs w:val="18"/>
                <w:b w:val="1"/>
                <w:bCs w:val="1"/>
                <w:color w:val="auto"/>
                <w:w w:val="99"/>
              </w:rPr>
              <w:t>Location in Condensed Consolidated</w:t>
            </w:r>
          </w:p>
        </w:tc>
        <w:tc>
          <w:tcPr>
            <w:tcW w:w="180" w:type="dxa"/>
            <w:vAlign w:val="bottom"/>
          </w:tcPr>
          <w:p>
            <w:pPr>
              <w:spacing w:after="0"/>
              <w:rPr>
                <w:sz w:val="13"/>
                <w:szCs w:val="13"/>
                <w:color w:val="auto"/>
              </w:rPr>
            </w:pPr>
          </w:p>
        </w:tc>
        <w:tc>
          <w:tcPr>
            <w:tcW w:w="8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3"/>
        </w:trPr>
        <w:tc>
          <w:tcPr>
            <w:tcW w:w="2300" w:type="dxa"/>
            <w:vAlign w:val="bottom"/>
            <w:gridSpan w:val="2"/>
            <w:vMerge w:val="continue"/>
          </w:tcPr>
          <w:p>
            <w:pPr>
              <w:spacing w:after="0"/>
              <w:rPr>
                <w:sz w:val="21"/>
                <w:szCs w:val="21"/>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w:t>
            </w:r>
          </w:p>
        </w:tc>
        <w:tc>
          <w:tcPr>
            <w:tcW w:w="100" w:type="dxa"/>
            <w:vAlign w:val="bottom"/>
            <w:tcBorders>
              <w:top w:val="single" w:sz="8" w:color="CCEEFF"/>
            </w:tcBorders>
            <w:shd w:val="clear" w:color="auto" w:fill="CCEEFF"/>
          </w:tcPr>
          <w:p>
            <w:pPr>
              <w:spacing w:after="0"/>
              <w:rPr>
                <w:sz w:val="19"/>
                <w:szCs w:val="19"/>
                <w:color w:val="auto"/>
              </w:rPr>
            </w:pPr>
          </w:p>
        </w:tc>
        <w:tc>
          <w:tcPr>
            <w:tcW w:w="4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Revenues: Realized gain on derivatives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23"/>
        </w:trPr>
        <w:tc>
          <w:tcPr>
            <w:tcW w:w="668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23"/>
        </w:trPr>
        <w:tc>
          <w:tcPr>
            <w:tcW w:w="2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Unrealized gain (loss) on derivatives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0" w:type="dxa"/>
            <w:vAlign w:val="bottom"/>
          </w:tcPr>
          <w:p>
            <w:pPr>
              <w:spacing w:after="0"/>
              <w:rPr>
                <w:sz w:val="1"/>
                <w:szCs w:val="1"/>
                <w:color w:val="auto"/>
              </w:rPr>
            </w:pPr>
          </w:p>
        </w:tc>
      </w:tr>
      <w:tr>
        <w:trPr>
          <w:trHeight w:val="229"/>
        </w:trPr>
        <w:tc>
          <w:tcPr>
            <w:tcW w:w="2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Unrealized (loss) gain on derivatives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gridSpan w:val="4"/>
          </w:tcPr>
          <w:p>
            <w:pPr>
              <w:ind w:left="56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2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for identical, unrestricted assets or liabilities in active markets.</w:t>
      </w:r>
    </w:p>
    <w:p>
      <w:pPr>
        <w:spacing w:after="0" w:line="117"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not corroborated by market data that reflect a company’s own market assumptions.</w:t>
      </w:r>
    </w:p>
    <w:p>
      <w:pPr>
        <w:spacing w:after="0" w:line="11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68"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valuation of the Company’s financial assets and liabilities that were accounted for at fair value on a recurring basis in accordance with the classifications provided above as of June 30, 2025 and December 31, 2024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2025 using</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costless collars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costless collars</w:t>
            </w: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Natural gas basis differential swaps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 — Continued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8"/>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 2024 using</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8"/>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30"/>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 costless collars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29"/>
        </w:trPr>
        <w:tc>
          <w:tcPr>
            <w:tcW w:w="6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basis differential swaps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r>
      <w:tr>
        <w:trPr>
          <w:trHeight w:val="223"/>
        </w:trPr>
        <w:tc>
          <w:tcPr>
            <w:tcW w:w="6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w:t>
            </w: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disclosures related to derivative financial instruments are provided in Note 8.</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119"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6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68"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fair value of the 2028 Notes was $509.9 million and $505.4 million, respectively, based on quoted market prices, which represent Level 1 inputs in the fair value hierarchy.</w:t>
      </w:r>
    </w:p>
    <w:p>
      <w:pPr>
        <w:spacing w:after="0" w:line="54"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fair value of the 2032 Notes was $901.1 million and $890.7 million, respectively, based on quoted market prices, which represent Level 1 inputs in the fair value hierarchy.</w:t>
      </w:r>
    </w:p>
    <w:p>
      <w:pPr>
        <w:spacing w:after="0" w:line="54"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fair value of the 2033 Notes was $742.5 million and $730.6 million, respectively, based on quoted market prices, which represent Level 1 inputs in the fair value hierarchy.</w:t>
      </w:r>
    </w:p>
    <w:p>
      <w:pPr>
        <w:spacing w:after="0" w:line="54"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119"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$22.0 million and $16.3 million for services under these agreements during the three months ended June 30, 2025 and 2024, respectively, and $43.4 million and $31.7 million for services under these agreements during the six months ended June 30, 2025 and 2024,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June 30, 2025, the total deficiencies required to be paid by the Company under these agreements would be approximately $719.4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 — Continued</w:t>
      </w: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Commitments</w:t>
      </w:r>
    </w:p>
    <w:p>
      <w:pPr>
        <w:spacing w:after="0" w:line="11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Company dedicated to San Mateo its current and certain future leasehold interests in the Rustler Breaks asset area and the Wolf portion of the West Texas asset area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In 2024, the Company also dedicated to San Mateo certain of its current and future leasehold interests in the Ranger and Antelope Ridge asset areas pursuant to 15-year, fixed-fee natural gas gathering, compression, treating and processing agreements (collectively with the transportation, gathering, produced water disposal and natural gas processing agreements, the “Operational Agreements”). San Mateo provides the Company with firm service under each of the Operational Agreements in exchange for certain minimum volume commitments. The remaining minimum contractual obligation under the Operational Agreements at June 30, 2025 was approximately $773.3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SUPPLEMENTAL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Accrued Liabilities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current accrued liabilities at June 30, 2025 and December 31, 2024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evaluated and unproved and unevaluated property costs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midstream properties costs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debt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partners’ share of joint interest charges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payable related to purchased natural gas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25,831</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SUPPLEMENTAL DISCLOSURES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Cash Flow Information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supplemental disclosures of cash flow information for the six months ended June 30, 2025 and 2024 (in thousands).</w:t>
      </w:r>
    </w:p>
    <w:p>
      <w:pPr>
        <w:spacing w:after="0" w:line="23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expense, net of amounts capitalized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asset retirement obligations related to mineral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midstream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drilling, completion and equipping capital expenditures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liabilities for acquisition of oil and natural gas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liabilities for midstream properties capital expenditures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 as a liability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of inventory to oil and natural gas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r>
    </w:tbl>
    <w:p>
      <w:pPr>
        <w:spacing w:after="0" w:line="360"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7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48,661</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Company has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has operations in the Haynesville shale and Cotton Valley plays in Northwest Louisiana. The midstream segment conducts midstream operations in support of, and provides flow assurance for,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Delaware Basin are conducted through San Mateo.</w:t>
      </w:r>
    </w:p>
    <w:p>
      <w:pPr>
        <w:spacing w:after="0" w:line="8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Chairman and Chief Executive Officer. The CODM uses operating income to assess income generated from each segment to allocate resources by either reinvesting profits as midstream or drilling and completion capital expenditures, or for determining the appropriate amounts for acquisition spend, the repayment of debt and the payment of dividends.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 — Continued</w:t>
      </w:r>
    </w:p>
    <w:p>
      <w:pPr>
        <w:spacing w:after="0" w:line="200" w:lineRule="exact"/>
        <w:rPr>
          <w:sz w:val="20"/>
          <w:szCs w:val="20"/>
          <w:color w:val="auto"/>
        </w:rPr>
      </w:pPr>
    </w:p>
    <w:p>
      <w:pPr>
        <w:spacing w:after="0" w:line="313" w:lineRule="exact"/>
        <w:rPr>
          <w:sz w:val="20"/>
          <w:szCs w:val="20"/>
          <w:color w:val="auto"/>
        </w:rPr>
      </w:pPr>
    </w:p>
    <w:p>
      <w:pPr>
        <w:ind w:right="200" w:firstLine="445"/>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815,774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(95,118)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67,897</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(46,299)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151,365</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(48,819)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455,283</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233,671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81,788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(26,795)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288,664</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9,405,046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1,770,840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104,024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11,279,910</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491,414</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operating expense for the exploration and production segment and plant and other midstream operating expense for the midstream segment.</w:t>
      </w:r>
    </w:p>
    <w:p>
      <w:pPr>
        <w:spacing w:after="0" w:line="122" w:lineRule="exact"/>
        <w:rPr>
          <w:rFonts w:ascii="Times New Roman" w:cs="Times New Roman" w:eastAsia="Times New Roman" w:hAnsi="Times New Roman"/>
          <w:sz w:val="14"/>
          <w:szCs w:val="14"/>
          <w:color w:val="auto"/>
        </w:rPr>
      </w:pPr>
    </w:p>
    <w:p>
      <w:pPr>
        <w:ind w:left="340" w:right="40" w:hanging="332"/>
        <w:spacing w:after="0" w:line="271"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$289.0 million and $13.1 million for the exploration and production and midstream segments, respectively. Also includes corporate depletion, depreciation and amortization expenses of $0.4 million. Other expenses for each reportable segment also include (i) production taxes, transportation and processing, (ii) general and administrative expenses, (iii) accretion of asset retirement obligations and (iv) purchased natural gas.</w:t>
      </w:r>
    </w:p>
    <w:p>
      <w:pPr>
        <w:spacing w:after="0" w:line="7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$32.1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340" w:right="200" w:hanging="332"/>
        <w:spacing w:after="0" w:line="28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$43.8 million attributable to land and seismic acquisition expenditures related to the exploration and production segment and $45.3 million in capital expenditures attributable to non-controlling interest in subsidiaries related to the midstream segment.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776,279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(71,694)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(39,051)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116,288</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(32,643)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367,228</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332,369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55,883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(24,632)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363,620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7,102,714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1,369,461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46,216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8,518,391</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523,933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90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operating expense for the exploration and production segment and plant and other midstream operating expense for the midstream segment.</w:t>
      </w:r>
    </w:p>
    <w:p>
      <w:pPr>
        <w:spacing w:after="0" w:line="163" w:lineRule="exact"/>
        <w:rPr>
          <w:rFonts w:ascii="Times New Roman" w:cs="Times New Roman" w:eastAsia="Times New Roman" w:hAnsi="Times New Roman"/>
          <w:sz w:val="14"/>
          <w:szCs w:val="14"/>
          <w:color w:val="auto"/>
        </w:rPr>
      </w:pPr>
    </w:p>
    <w:p>
      <w:pPr>
        <w:ind w:left="340" w:right="60" w:hanging="332"/>
        <w:spacing w:after="0" w:line="28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$214.7 million and $10.9 million for the exploration and production and midstream segments, respectively. Also includes corporate depletion, depreciation and amortization expenses of $0.3 million. Other expenses for each reportable segment also include (i) production taxes, transportation and processing, (ii) general and administrative expenses, (iii) accretion of asset retirement obligations and (iv) purchased natural gas.</w:t>
      </w:r>
    </w:p>
    <w:p>
      <w:pPr>
        <w:spacing w:after="0" w:line="6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$18.7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340" w:right="22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$157.3 million attributable to land and seismic acquisition expenditures related to the exploration and production segment and $6.3 million in capital expenditures attributable to non-controlling interest in subsidiaries related to the midstream segment.</w:t>
      </w: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1,725,692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75,506</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310,844</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920,611</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595,758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137,707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(55,650)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677,815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9,405,046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1,770,840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104,024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11,279,910</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1,045,692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operating expense for the exploration and production segment and plant and other midstream operating expense for the midstream segment.</w:t>
      </w:r>
    </w:p>
    <w:p>
      <w:pPr>
        <w:spacing w:after="0" w:line="122" w:lineRule="exact"/>
        <w:rPr>
          <w:rFonts w:ascii="Times New Roman" w:cs="Times New Roman" w:eastAsia="Times New Roman" w:hAnsi="Times New Roman"/>
          <w:sz w:val="14"/>
          <w:szCs w:val="14"/>
          <w:color w:val="auto"/>
        </w:rPr>
      </w:pPr>
    </w:p>
    <w:p>
      <w:pPr>
        <w:ind w:left="340" w:hanging="332"/>
        <w:spacing w:after="0" w:line="281"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$558.5 million and $25.2 million for the exploration and production and midstream segments, respectively. Also includes corporate depletion, depreciation and amortization expenses of $0.8 million. Other expenses for each reportable segment also includes (i) production taxes, transportation and processing, (ii) general and administrative expenses, (iii) accretion of asset retirement obligations and (iv) purchased natural gas.</w:t>
      </w:r>
    </w:p>
    <w:p>
      <w:pPr>
        <w:spacing w:after="0" w:line="6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$54.3 million in net income attributable to non-controlling interest in subsidiaries related to the midstream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 — Continued</w:t>
      </w:r>
    </w:p>
    <w:p>
      <w:pPr>
        <w:spacing w:after="0" w:line="200" w:lineRule="exact"/>
        <w:rPr>
          <w:sz w:val="20"/>
          <w:szCs w:val="20"/>
          <w:color w:val="auto"/>
        </w:rPr>
      </w:pPr>
    </w:p>
    <w:p>
      <w:pPr>
        <w:spacing w:after="0" w:line="308"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09" w:lineRule="exact"/>
        <w:rPr>
          <w:rFonts w:ascii="Times New Roman" w:cs="Times New Roman" w:eastAsia="Times New Roman" w:hAnsi="Times New Roman"/>
          <w:sz w:val="14"/>
          <w:szCs w:val="14"/>
          <w:color w:val="auto"/>
        </w:rPr>
      </w:pPr>
    </w:p>
    <w:p>
      <w:pPr>
        <w:ind w:left="340" w:right="12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$125.6 million attributable to land and seismic acquisition expenditures related to the exploration and production segment and $76.1 million in capital expenditures attributable to non-controlling interest in subsidiaries related to the midstream segment.</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1,479,819</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95,711</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232,206</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720,050</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624,724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108,653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(50,804)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682,573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7,102,714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1,369,461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46,216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8,518,391</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1,162,491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operating expense for the exploration and production segment and plant and other midstream operating expense for the midstream segment.</w:t>
      </w:r>
    </w:p>
    <w:p>
      <w:pPr>
        <w:spacing w:after="0" w:line="122" w:lineRule="exact"/>
        <w:rPr>
          <w:rFonts w:ascii="Times New Roman" w:cs="Times New Roman" w:eastAsia="Times New Roman" w:hAnsi="Times New Roman"/>
          <w:sz w:val="14"/>
          <w:szCs w:val="14"/>
          <w:color w:val="auto"/>
        </w:rPr>
      </w:pPr>
    </w:p>
    <w:p>
      <w:pPr>
        <w:ind w:left="340" w:right="40" w:hanging="332"/>
        <w:spacing w:after="0" w:line="271"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$415.9 million and $21.7 million for the exploration and production and midstream segments, respectively. Also includes corporate depletion, depreciation and amortization expenses of $0.6 million. Other expenses for each reportable segment also include (i) production taxes, transportation and processing, (ii) general and administrative expenses, (iii) accretion of asset retirement obligations and (iv) purchased natural gas.</w:t>
      </w:r>
    </w:p>
    <w:p>
      <w:pPr>
        <w:spacing w:after="0" w:line="7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$38.2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340" w:right="120" w:hanging="332"/>
        <w:spacing w:after="0" w:line="30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$358.6 million attributable to land and seismic acquisition expenditures related to the exploration and production segment and $13.4 million in capital expenditures attributable to non-controlling interest in subsidiaries related to the midstream segment.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2024 (the “Annual Report”) filed with the Securities and Exchange Commission (the “SEC”) on February 25, 2025, along with Management’s Discussion and Analysis of Financial Condition and Results of Operations contained in the Annual Report. The Annual Report is accessible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and on our website at </w:t>
      </w:r>
      <w:r>
        <w:rPr>
          <w:rFonts w:ascii="Times New Roman" w:cs="Times New Roman" w:eastAsia="Times New Roman" w:hAnsi="Times New Roman"/>
          <w:sz w:val="18"/>
          <w:szCs w:val="18"/>
          <w:i w:val="1"/>
          <w:iCs w:val="1"/>
          <w:u w:val="single" w:color="auto"/>
          <w:color w:val="auto"/>
        </w:rPr>
        <w:t>www.matadorresources.com</w:t>
      </w:r>
      <w:r>
        <w:rPr>
          <w:rFonts w:ascii="Times New Roman" w:cs="Times New Roman" w:eastAsia="Times New Roman" w:hAnsi="Times New Roman"/>
          <w:sz w:val="18"/>
          <w:szCs w:val="18"/>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77"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(iv) references to “Ameredev” refer to Ameredev Stateline II, LLC, and (v) references to the “Ameredev Acquisition” refer to the acquisition of Ameredev from affiliates of EnCap Investments L.P., including (a) certain oil and natural gas producing properties and undeveloped acreage located in Lea County, New Mexico and Loving and Winkler Counties, Texas, and (b) an approximate 19% stake in the parent company of Piñon Midstream, LLC, which was completed by a subsidiary of the Company on September 18, 2024. For certain oil and natural gas terms used in this Quarterly Report, please see the “Glossary of Oil and Natural Gas Terms” included with the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79"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capital markets,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and environmental conditions; disruption from our acquisitions making it more difficult to maintain business and operational relationships; significant transaction costs associated with our acquisitions; the risk of litigation and/or regulatory actions related to our acquisitions; and the other factors discussed below and elsewhere in this Quarterly Report and in other documents that we file with or furnish to the SEC, all of which are difficult to predict. Forward-looking statements may include statements about:</w:t>
      </w:r>
    </w:p>
    <w:p>
      <w:pPr>
        <w:spacing w:after="0" w:line="8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reserves and the present value thereof, including whether or not a full-cost ceiling impairment could be realized;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and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payment of dividends,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strategy, budget, projections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of oil, natural gas and NGLs;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prices, including our realized prices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future production of oil and natural gas;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and production equipment;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storage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field labor;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nature and timing of capital expenditures, including future exploration and development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drilling of wells;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consummate acquisition and divestiture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with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taxation of the oil and natural gas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exploitation projects or property acquisitions;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construct, maintain and operate midstream pipelines and facilities, including the operation of cryogenic natural gas processing plants and the drilling of additional salt water disposal wells;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attract third-party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exploiting and developing our properties and conducting other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 including in both the exploration and production and midstream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and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initiatives and efforts relating to environmental, social and governance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developments in oil-producing and natural gas-producing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Inflation Reduction Act of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One Big Beautiful Bill Act of 2025 (the “OBBBA”);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Quarterly Report or in our other filings with the SEC that are not historical.</w:t>
      </w:r>
    </w:p>
    <w:p>
      <w:pPr>
        <w:spacing w:after="0" w:line="9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54"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Highlights</w:t>
      </w:r>
    </w:p>
    <w:p>
      <w:pPr>
        <w:spacing w:after="0" w:line="11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our total oil equivalent production was 19.0 million BOE, and our average daily oil equivalent production was 209,013 BOE per day, of which 122,875 Bbl per day, or 59%, was oil and 516.8 MMcf per day, or 41%, was natural gas. Our average daily oil production of 122,875 Bbl per day for the three months ended June 30, 2025 increased 29% year-over-year from 95,488 Bbl per day for the three months ended June 30, 2024. Our average daily natural gas production of 516.8 MMcf per day for the three months ended June 30, 2025 increased 33% year-over-year from 388.9 MMcf per day for the three months ended June 30, 2024.</w:t>
      </w:r>
    </w:p>
    <w:p>
      <w:pPr>
        <w:spacing w:after="0" w:line="75"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Delaware Basin contributed approximately 100% of our daily oil production and approximately 97% of our daily natural gas production in the second quarter of 2025, as compared to approximately 99% of our daily oil production and approximately 95% of our daily natural gas production in the second quarter of 2024.</w:t>
      </w:r>
    </w:p>
    <w:p>
      <w:pPr>
        <w:spacing w:after="0" w:line="68"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For the second quarter of 2025, we reported net income attributable to Matador shareholders of $150.2 million, or $1.21 per diluted common share, on a GAAP basis, as compared to net income attributable to Matador shareholders of $228.8 million, or $1.83 per diluted common share, for the second quarter of 2024. For the second quarter of 2025, our Adjusted EBITDA, a non-GAAP financial measure, was $594.2 million, as compared to Adjusted EBITDA of $578.1 million during the second quarter of 2024.</w:t>
      </w:r>
    </w:p>
    <w:p>
      <w:pPr>
        <w:spacing w:after="0" w:line="72"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we reported net income attributable to Matador shareholders of $390.3 million, or $3.12 per diluted common share, on a GAAP basis, as compared to net income attributable to Matador shareholders of $422.5 million, or $3.45 per diluted common share, for the six months ended June 30, 2024. For the six months ended June 30, 2025, our Adjusted EBITDA, a non-GAAP financial measure, was $1.24 billion, as compared to Adjusted EBITDA of $1.08 billion during the six months ended June 30, 2024.</w:t>
      </w:r>
    </w:p>
    <w:p>
      <w:pPr>
        <w:spacing w:after="0" w:line="72"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For a definition of Adjusted EBITDA and a reconciliation of Adjusted EBITDA to our net income and net cash provided by operating activities, see “—Liquidity and Capital Resources—Non-GAAP Financial Measures.” For more information regarding our financial results for the three and six months ended June 30, 2025, see “—Results of Operations”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color w:val="auto"/>
        </w:rPr>
        <w:t>perations Update</w:t>
      </w:r>
    </w:p>
    <w:p>
      <w:pPr>
        <w:spacing w:after="0" w:line="119"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We began 2025 operating nine drilling rigs in the Delaware Basin and expect to operate eight drilling rigs by August 1, 2025. We have built significant optionality into our drilling program, which should generally allow us to decrease or increase the number of rigs we operate as necessary based on changing commodity prices and other factors.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Update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February and April 2025, Matador’s Board of Directors (the “Board”) declared quarterly cash dividends of $0.3125 per share of common stock. On July 15, 2025, the Board declared a quarterly cash dividend of $0.3125 per share of common stock payable on September 5, 2025 to shareholders of record as of August 15, 2025.</w:t>
      </w:r>
    </w:p>
    <w:p>
      <w:pPr>
        <w:spacing w:after="0" w:line="6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On April 16, 2025, the Board authorized a share repurchase program (the “Share Repurchase Program”) of up to $400.0 million of common stock. During the three and six months ended June 30, 2025, the Company repurchased 1,095,667 shares of common stock under the Share Repurchase Program at a weighted average price of $40.37 per common share for a total cost of $44.2 million.</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2025, we had (i) $390.0 million in borrowings outstanding under our secured revolving credit facility (the “Credit Agreement”),</w:t>
      </w:r>
    </w:p>
    <w:p>
      <w:pPr>
        <w:spacing w:after="0" w:line="27" w:lineRule="exact"/>
        <w:rPr>
          <w:sz w:val="20"/>
          <w:szCs w:val="20"/>
          <w:color w:val="auto"/>
        </w:rPr>
      </w:pPr>
    </w:p>
    <w:p>
      <w:pPr>
        <w:ind w:right="20" w:firstLine="8"/>
        <w:spacing w:after="0" w:line="253"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$52.9 million in outstanding letters of credit issued pursuant to the Credit Agreement, (iii) $500.0 million of outstanding 6.875% senior notes due 2028 (the “2028 Notes”), (iv) $900.0 million of outstanding 6.50% senior notes due 2032 (the “2032 Notes”) and (v) $750.0 million of outstanding 6.25% senior notes due 2033 (the “2033 Notes”). Since June 30, 2025, we repaid $30.0 million of borrowings under the Credit Agreement, and at July 22, 2025, we had $360.0 million in borrowings outstanding under the Credit Agreement.</w:t>
      </w:r>
    </w:p>
    <w:p>
      <w:pPr>
        <w:spacing w:after="0" w:line="8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In June 2025, San Mateo and certain of its lenders modified San Mateo’s secured revolving credit facility (the “San Mateo Credit Facility”) to (i) increase the lender commitments from $800.0 million to $850.0 million and (ii) add one new bank to San Mateo’s lending group. At June 30, 2025, San Mateo had $778.0 million in borrowings outstanding under the San Mateo Credit Facility and approximately $15.4 million in outstanding letters of credit issued pursuant to the San Mateo Credit Facility. Since June 30, 2025, San Mateo repaid $85.0 million of borrowings under the San Mateo Credit Facility, and at July 22, 2025, San Mateo had $693.0 million in borrowings outstanding under the San Mateo Credit Facility.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from those set forth in the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See Note 2 to the interim unaudited condensed consolidated financial statements in this Quarterly Report for a description of recent accounting pronouncements.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revenues and production data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Revenues (in thousands)</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1,304,064</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175,755</w:t>
            </w:r>
          </w:p>
        </w:tc>
      </w:tr>
      <w:tr>
        <w:trPr>
          <w:trHeight w:val="223"/>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oil and natural gas revenues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1,725,692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1,479,819</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w:t>
            </w: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95,711</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r>
      <w:tr>
        <w:trPr>
          <w:trHeight w:val="229"/>
        </w:trPr>
        <w:tc>
          <w:tcPr>
            <w:tcW w:w="6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r>
      <w:tr>
        <w:trPr>
          <w:trHeight w:val="223"/>
        </w:trPr>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1,634,829</w:t>
            </w:r>
          </w:p>
        </w:tc>
      </w:tr>
      <w:tr>
        <w:trPr>
          <w:trHeight w:val="229"/>
        </w:trPr>
        <w:tc>
          <w:tcPr>
            <w:tcW w:w="6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Net Production Volumes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3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Oil (MBbl)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r>
      <w:tr>
        <w:trPr>
          <w:trHeight w:val="230"/>
        </w:trPr>
        <w:tc>
          <w:tcPr>
            <w:tcW w:w="63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Natural gas (Bcf)</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9"/>
        </w:trPr>
        <w:tc>
          <w:tcPr>
            <w:tcW w:w="6380" w:type="dxa"/>
            <w:vAlign w:val="bottom"/>
            <w:shd w:val="clear" w:color="auto" w:fill="CCEEFF"/>
          </w:tcPr>
          <w:p>
            <w:pPr>
              <w:ind w:left="760"/>
              <w:spacing w:after="0" w:line="230" w:lineRule="exact"/>
              <w:rPr>
                <w:sz w:val="20"/>
                <w:szCs w:val="20"/>
                <w:color w:val="auto"/>
              </w:rPr>
            </w:pPr>
            <w:r>
              <w:rPr>
                <w:rFonts w:ascii="Times New Roman" w:cs="Times New Roman" w:eastAsia="Times New Roman" w:hAnsi="Times New Roman"/>
                <w:sz w:val="18"/>
                <w:szCs w:val="18"/>
                <w:color w:val="auto"/>
              </w:rPr>
              <w:t>Total oil equivalent (MBOE)</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r>
      <w:tr>
        <w:trPr>
          <w:trHeight w:val="230"/>
        </w:trPr>
        <w:tc>
          <w:tcPr>
            <w:tcW w:w="6380" w:type="dxa"/>
            <w:vAlign w:val="bottom"/>
          </w:tcPr>
          <w:p>
            <w:pPr>
              <w:ind w:left="760"/>
              <w:spacing w:after="0" w:line="230" w:lineRule="exact"/>
              <w:rPr>
                <w:sz w:val="20"/>
                <w:szCs w:val="20"/>
                <w:color w:val="auto"/>
              </w:rPr>
            </w:pPr>
            <w:r>
              <w:rPr>
                <w:rFonts w:ascii="Times New Roman" w:cs="Times New Roman" w:eastAsia="Times New Roman" w:hAnsi="Times New Roman"/>
                <w:sz w:val="18"/>
                <w:szCs w:val="18"/>
                <w:color w:val="auto"/>
              </w:rPr>
              <w:t>Average daily production (BOE/d)</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155,032</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without realized derivatives (per Bbl)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with realized derivatives (per Bbl)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without realized derivatives (per Mcf)</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with realized derivatives (per Mcf)</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340" w:right="320" w:hanging="332"/>
        <w:spacing w:after="0" w:line="30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report our production volumes in two streams: oil and natural gas, including both dry and liquids-rich natural gas. Revenues associated with NGLs are included with our natural gas revenues.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billion cubic feet of natural gas.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 equivalent, estimated using a conversion ratio of one Bbl of oil per six Mcf of natural gas.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Barrels of oil equivalent per day, estimated using a conversion ratio of one Bbl of oil per six Mcf of natural gas.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June 30, 2025 as Compared to Three Months Ended June 30, 2024</w:t>
      </w:r>
    </w:p>
    <w:p>
      <w:pPr>
        <w:spacing w:after="0" w:line="117"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increased $39.5 million, or 5%, to $815.8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$776.3 million for the three months ended June 30, 2024. Our oil revenues increased $13.8 million, or 2%, to $719.4 million for the three months ended June 30, 2025, as compared to $705.6 million for the three months ended June 30, 2024. The increase in oil revenues resulted from a 29% increase in our oil production to 11.2 million Bbl for the three months ended June 30, 2025, as compared to 8.7 million Bbl for the three months ended June 30, 2024, which was partially offset by a 21% decrease in the weighted average oil price realized for the three months ended June 30, 2025 to $64.34 per Bbl, as compared to $81.20 per Bbl for the three months ended June 30, 2024. Our natural gas revenues increased $25.7 million, or 36%, to $96.4 million for the three months ended June 30, 2025, as compared to $70.7 million for the three months ended June 30, 2024. The increase in natural gas revenues primarily resulted from a 33% increase in our natural gas production to 47.0 Bcf for the three months ended June 30, 2025, as compared to 35.4 Bcf for the three months ended June 30, 2024.</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$9.4 million, or 29%, to $42.0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as compared to $32.7 million for the three months ended June 30, 2024. Third-party midstream services revenues are those revenues from midstream operations related to third parties, including working interest owners in our operated wells. This increase was primarily attributable to (i) an increase in our third-party natural gas gathering and processing revenues to $24.2 million for the three months ended June 30, 2025, as compared to $15.9 million for the three months ended June 30, 2024, and (ii) an increase in our oil transportation revenues to $5.8 million for the three months ended June 30, 2025, as compared to $3.4 million for the three months ended June 30, 2024.</w:t>
      </w:r>
    </w:p>
    <w:p>
      <w:pPr>
        <w:spacing w:after="0" w:line="7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increased $21.6 million, or 47%, to $67.9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as compared to $46.3 million for the three months ended June 30, 2024. This increase was primarily the result of a 35% increase in natural gas price realized in those sales and a 9% increase in natural gas volumes sold.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interim unaudited condensed consolidated statements of income.</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Realized gain on derivatives. </w:t>
      </w:r>
      <w:r>
        <w:rPr>
          <w:rFonts w:ascii="Times New Roman" w:cs="Times New Roman" w:eastAsia="Times New Roman" w:hAnsi="Times New Roman"/>
          <w:sz w:val="18"/>
          <w:szCs w:val="18"/>
          <w:color w:val="auto"/>
        </w:rPr>
        <w:t>Our realized gain on derivatives was $6.9 million for the three months ended June 30, 2025, as compared to a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of $3.8 million for the three months ended June 30, 2024. We realized a net gain of $6.9 million related to our natural gas basis differential swap contracts for the three months ended June 30, 2025, resulting primarily from natural gas basis differentials that were below the fixed prices of certain of our natural gas basis differential swap contracts. For the three months ended June 30, 2024, we realized a net gain of $3.8 million related to our natural gas basis differential swap contracts, resulting primarily from natural gas basis differentials that were below the fixed prices of certain of our natural gas basis differential swap contracts. We realized an average gain on our natural gas derivatives of approximately $0.15 per Mcf produced during the three months ended June 30, 2025, as compared to an average gain of approximately $0.11 per Mcf produced during the three months ended June 30, 2024.</w:t>
      </w:r>
    </w:p>
    <w:p>
      <w:pPr>
        <w:spacing w:after="0" w:line="7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Unrealized loss on derivatives. </w:t>
      </w:r>
      <w:r>
        <w:rPr>
          <w:rFonts w:ascii="Times New Roman" w:cs="Times New Roman" w:eastAsia="Times New Roman" w:hAnsi="Times New Roman"/>
          <w:sz w:val="18"/>
          <w:szCs w:val="18"/>
          <w:color w:val="auto"/>
        </w:rPr>
        <w:t>During the three months ended June 30, 2025, the aggregate net fair value of our open oil and natural gas costless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collars and natural gas basis differential swap contracts changed to a net liability of $16.3 million from a net asset of $21.0 million at March 31, 2025, resulting in an unrealized loss on derivatives of $37.3 million for the three months ended June 30, 2025. During the three months ended June 30, 2024, the aggregate net fair value of our open natural gas basis differential swap contracts changed to a net liability of $7.1 million from a net asset of $4.7 million at March 31, 2024, resulting in an unrealized loss on derivatives of $11.8 million for the three months ended June 30, 2024.</w:t>
      </w:r>
    </w:p>
    <w:p>
      <w:pPr>
        <w:spacing w:after="0" w:line="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Six Months Ended June 30, 2025 as Compared to Six Months Ended June 30, 2024</w:t>
      </w:r>
    </w:p>
    <w:p>
      <w:pPr>
        <w:spacing w:after="0" w:line="11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increased $245.9 million, or 17%, to $1.73 billion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$1.48 billion for the six months ended June 30, 2024. Our oil revenues increased $164.6 million, or 13%, to $1.47 billion for the six months ended June 30, 2025, as compared to $1.30 billion for the six months ended June 30, 2024. This increase in oil revenues resulted from a 31% increase in our oil production to 21.5 million Bbl for the six months ended June 30, 2025, as compared to 16.4 million Bbl for the six months ended June 30, 2024, which was partially offset by a 14% decrease in the weighted average oil price realized for the six months ended June 30, 2025 to $68.20 per Bbl, as compared to $79.50 per Bbl for the six months ended June 30, 2024. Our natural gas revenues increased by $81.2 million, or 46%, to $257.0 million for the six months ended June 30, 2025, as compared to $175.8 million for the six months ended June 30, 2024. The increase in natural gas revenues resulted from a 30% increase in our natural gas production to 92.2 Bcf for the six months ended June 30, 2025, as compared to 70.9 Bcf for the six months ended June 30, 2024 and a 13% increase in the weighted average natural gas price realized for the six months ended June 30, 2025 to $2.79 per Mcf, as compared to a weighted average natural gas price of $2.48 per Mcf for the six months ended June 30, 2024.</w:t>
      </w:r>
    </w:p>
    <w:p>
      <w:pPr>
        <w:spacing w:after="0" w:line="77" w:lineRule="exact"/>
        <w:rPr>
          <w:sz w:val="20"/>
          <w:szCs w:val="20"/>
          <w:color w:val="auto"/>
        </w:rPr>
      </w:pPr>
    </w:p>
    <w:p>
      <w:pPr>
        <w:ind w:right="16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$10.5 million, or 16%, to $75.5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as compared to $65.0 million for the six months ended June 30, 2024. This increase was primarily attributable to (i) an increase in our third-party natural gas gathering and processing revenues to $38.9 million for the six months ended June 30, 2025, as compared to $31.0 million for the six months ended June 30, 2024, and (ii) an increase in our oil transportation revenues to $11.3 million for the six months ended June 30, 2025, as compared to $6.5 million for the six months ended June 30, 2024, which were partially offset by a decrease in our third-party water disposal revenues to $25.3 million for the six months ended June 30, 2025, as compared to $27.5 million for the six months ended June 30, 2024.</w:t>
      </w:r>
    </w:p>
    <w:p>
      <w:pPr>
        <w:spacing w:after="0" w:line="74"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increased $34.9 million, or 37%, to $130.7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as compared to $95.7 million for the six months ended June 30, 2024. This increase was the result of a 38% increase in natural gas price realized.</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Realized gain on derivatives. </w:t>
      </w:r>
      <w:r>
        <w:rPr>
          <w:rFonts w:ascii="Times New Roman" w:cs="Times New Roman" w:eastAsia="Times New Roman" w:hAnsi="Times New Roman"/>
          <w:sz w:val="18"/>
          <w:szCs w:val="18"/>
          <w:color w:val="auto"/>
        </w:rPr>
        <w:t>Our realized gain on derivatives was $9.7 million for the six months ended June 30, 2025, as compared to a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of $4.0 million for the six months ended June 30, 2024. We realized a net gain of $9.7 million related to our natural gas basis differential swap contracts for the six months ended June 30, 2025, resulting primarily from natural gas basis differentials that were below the fixed prices of our natural gas basis differential swap contracts. For the six months ended June 30, 2024, we realized a net gain of $4.0 million related to our natural gas basis differential swap contracts, resulting primarily from natural gas basis differentials that were below the fixed prices of our natural gas basis differential swap contracts. We realized an average gain on our natural gas derivatives of approximately $0.10 per Mcf produced during the six months ended June 30, 2025, as compared to an average gain of approximately $0.06 per Mcf produced during the six months ended June 30, 2024.</w:t>
      </w:r>
    </w:p>
    <w:p>
      <w:pPr>
        <w:spacing w:after="0" w:line="7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Unrealized loss on derivatives. </w:t>
      </w:r>
      <w:r>
        <w:rPr>
          <w:rFonts w:ascii="Times New Roman" w:cs="Times New Roman" w:eastAsia="Times New Roman" w:hAnsi="Times New Roman"/>
          <w:sz w:val="18"/>
          <w:szCs w:val="18"/>
          <w:color w:val="auto"/>
        </w:rPr>
        <w:t>During the six months ended June 30, 2025, the aggregate net fair value of our open oil costless collar and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differential swap contracts changed to a net liability of $16.3 million from a net asset of $16.0 million at December 31, 2024, resulting in an unrealized loss on derivatives of $32.2 million for the six months ended June 30, 2025. During the six months ended June 30, 2024, the aggregate net fair value of our open oil costless collar and natural gas basis differential swap contracts changed to a net liability of $7.1 million from a net asset of $2.7 million at December 31, 2023, resulting in an unrealized loss on derivatives of $9.8 million for the six months ended June 30,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operating expenses and other income (expense)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expenses per BOE)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146,965</w:t>
            </w:r>
          </w:p>
        </w:tc>
        <w:tc>
          <w:tcPr>
            <w:tcW w:w="0" w:type="dxa"/>
            <w:vAlign w:val="bottom"/>
          </w:tcPr>
          <w:p>
            <w:pPr>
              <w:spacing w:after="0"/>
              <w:rPr>
                <w:sz w:val="1"/>
                <w:szCs w:val="1"/>
                <w:color w:val="auto"/>
              </w:rPr>
            </w:pP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155,325</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0" w:type="dxa"/>
            <w:vAlign w:val="bottom"/>
          </w:tcPr>
          <w:p>
            <w:pPr>
              <w:spacing w:after="0"/>
              <w:rPr>
                <w:sz w:val="1"/>
                <w:szCs w:val="1"/>
                <w:color w:val="auto"/>
              </w:rPr>
            </w:pP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74,672</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438,245</w:t>
            </w:r>
          </w:p>
        </w:tc>
        <w:tc>
          <w:tcPr>
            <w:tcW w:w="0" w:type="dxa"/>
            <w:vAlign w:val="bottom"/>
          </w:tcPr>
          <w:p>
            <w:pPr>
              <w:spacing w:after="0"/>
              <w:rPr>
                <w:sz w:val="1"/>
                <w:szCs w:val="1"/>
                <w:color w:val="auto"/>
              </w:rPr>
            </w:pP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57,566</w:t>
            </w:r>
          </w:p>
        </w:tc>
        <w:tc>
          <w:tcPr>
            <w:tcW w:w="0" w:type="dxa"/>
            <w:vAlign w:val="bottom"/>
          </w:tcPr>
          <w:p>
            <w:pPr>
              <w:spacing w:after="0"/>
              <w:rPr>
                <w:sz w:val="1"/>
                <w:szCs w:val="1"/>
                <w:color w:val="auto"/>
              </w:rPr>
            </w:pPr>
          </w:p>
        </w:tc>
      </w:tr>
      <w:tr>
        <w:trPr>
          <w:trHeight w:val="223"/>
        </w:trPr>
        <w:tc>
          <w:tcPr>
            <w:tcW w:w="6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952,256</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682,573</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(75,548)</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(77,092)</w:t>
            </w:r>
          </w:p>
        </w:tc>
        <w:tc>
          <w:tcPr>
            <w:tcW w:w="0" w:type="dxa"/>
            <w:vAlign w:val="bottom"/>
          </w:tcPr>
          <w:p>
            <w:pPr>
              <w:spacing w:after="0"/>
              <w:rPr>
                <w:sz w:val="1"/>
                <w:szCs w:val="1"/>
                <w:color w:val="auto"/>
              </w:rPr>
            </w:pPr>
          </w:p>
        </w:tc>
      </w:tr>
      <w:tr>
        <w:trPr>
          <w:trHeight w:val="223"/>
        </w:trPr>
        <w:tc>
          <w:tcPr>
            <w:tcW w:w="63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605,481</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47,376</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144,764</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460,717</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(38,219)</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422,498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Expenses per BOE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0"/>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June 30, 2025 as Compared to Three Months Ended June 30, 2024</w:t>
      </w:r>
    </w:p>
    <w:p>
      <w:pPr>
        <w:spacing w:after="0" w:line="117"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and transportation and processing expenses increased $6.0 million, or 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$82.8 million for the three months ended June 30, 2025, as compared to $76.8 million for the three months ended June 30, 2024. The increase was primarily attributable to a $4.4 million increase in production taxes to $64.5 million for the three months ended June 30, 2025, as compared to $60.1 million for the three months ended June 30, 2024, and a $1.6 million increase in transportation and processing expenses to $18.3 million for the three months ended June 30, 2025, as compared to $16.7 million for the three months ended June 30, 2024. This increase in production taxes and transportation and processing expenses is primarily due to the increase in oil and natural gas revenues between the two periods. On a unit-of-production basis, our production taxes and transportation and processing expenses decreased 17% to $4.35 per BOE for the three months ended June 30, 2025, as compared to $5.27 per BOE for the three months ended June 30, 2024. This decrease per BOE was primarily attributable to a 21% decrease in realized oil prices and a 30% increase in our total oil equivalent production between the two periods.</w:t>
      </w:r>
    </w:p>
    <w:p>
      <w:pPr>
        <w:spacing w:after="0" w:line="8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 operating. </w:t>
      </w:r>
      <w:r>
        <w:rPr>
          <w:rFonts w:ascii="Times New Roman" w:cs="Times New Roman" w:eastAsia="Times New Roman" w:hAnsi="Times New Roman"/>
          <w:sz w:val="18"/>
          <w:szCs w:val="18"/>
          <w:color w:val="auto"/>
        </w:rPr>
        <w:t>Our lease operating expenses increased $26.7 million, or 34%, to $105.7 million for the three months ended June 30,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$79.0 million for the three months ended June 30, 2024. Our lease operating expenses on a unit-of-production basis increased 3% to $5.56 per BOE for the three months ended June 30, 2025, as compared to $5.42 per BOE for the three months ended June 30, 2024. These increases were primarily attributable to the increased number of wells being operated by us, including 204 wells from the Ameredev Acquisition, and other operators (where we own a working interest) for the three months ended June 30, 2025, as compared to the three months ended June 30, 2024.</w:t>
      </w:r>
    </w:p>
    <w:p>
      <w:pPr>
        <w:spacing w:after="0" w:line="75"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$8.4 million, or 23%, to $45.6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2025, as compared to $37.3 million for the three months ended June 30, 2024. This increase was primarily attributable to increased throughput volumes from Matador and other San Mateo customers, which resulted in increased expenses associated with our expanded pipeline operations of $23.3 million for the three months ended June 30, 2025, as compared to $13.4 million for the three months ended June 30, 2024, which was partially offset by decreased expenses associated with our commercial produced water disposal operations of $12.9 million for the three months ended June 30, 2025, as compared to $16.6 million for the three months ended June 30, 2024.</w:t>
      </w:r>
    </w:p>
    <w:p>
      <w:pPr>
        <w:spacing w:after="0" w:line="74"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$76.7 million, or 34%, to $302.6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June 30, 2025, as compared to $225.9 million for the three months ended June 30, 2024, primarily as a result of a 30% increase in our total oil equivalent production for the three months ended June 30, 2025, as compared to the three months ended June 30, 2024. On a unit-of-production basis, our depletion, depreciation and amortization expenses increased 3% to $15.91 per BOE for the three months ended June 30, 2025, as compared to $15.49 per BOE for the three months ended June 30, 2024.</w:t>
      </w:r>
    </w:p>
    <w:p>
      <w:pPr>
        <w:spacing w:after="0" w:line="75" w:lineRule="exact"/>
        <w:rPr>
          <w:sz w:val="20"/>
          <w:szCs w:val="20"/>
          <w:color w:val="auto"/>
        </w:rPr>
      </w:pPr>
    </w:p>
    <w:p>
      <w:pPr>
        <w:ind w:right="1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increased $4.3 million, or 15%, to $32.2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as compared to $27.9 million for the three months ended June 30, 2024, primarily due to increased compensation expenses for our existing employees as well as the addition of new employees to support the continued growth in our land, geoscience, drilling, completion, production, midstream and administration functions. Our general and administrative expenses decreased by 12% on a unit-of-production basis to $1.69 per BOE for the three months ended June 30, 2025, as compared to $1.91 per BOE for the three months ended June 30, 2024, primarily as a result of a 30% increase in our total oil equivalent production between the two periods.</w:t>
      </w:r>
    </w:p>
    <w:p>
      <w:pPr>
        <w:spacing w:after="0" w:line="74" w:lineRule="exact"/>
        <w:rPr>
          <w:sz w:val="20"/>
          <w:szCs w:val="20"/>
          <w:color w:val="auto"/>
        </w:rPr>
      </w:pPr>
    </w:p>
    <w:p>
      <w:pPr>
        <w:ind w:right="16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three months ended June 30, 2025, we incurred total interest expense of $59.6 million. We capitalized $6.2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on certain qualifying projects for the three months ended June 30, 2025 and expensed the remaining $53.3 million to operations. For the three months ended June 30, 2024, we incurred total interest expense of $45.3 million. We capitalized $9.3 million of our interest expense on certain qualifying projects for the three months ended June 30, 2024 and expensed the remaining $36.0 million to operations. The increase in interest expense for the three months ended June 30, 2025 was primarily attributable to an increase in our total senior notes outstanding to $2.15 billion at June 30, 2025, as compared to $1.40 billion at June 30, 2024.</w:t>
      </w:r>
    </w:p>
    <w:p>
      <w:pPr>
        <w:spacing w:after="0" w:line="74"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We recorded a current income tax provision of $23.1 million and a deferred income tax provision of $33.4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We recorded a current income tax provision of $30.1 million and a deferred income tax provision of $47.9 million for the three months ended June 30, 2024. Our effective income tax rates of 27% and 25% for the three months ended June 30, 2025 and 2024, respectively, differed from the U.S. federal statutory rate due primarily to state taxes in New Mexico.</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Six Months Ended June 30, 2025 as Compared to Six Months Ended June 30, 2024</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transportation and processing expenses increased $29.7 million, or 20%,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$176.6 million for the six months ended June 30, 2025, as compared to $147.0 million for the six months ended June 30, 2024. This increase was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a $22.5 million increase in production taxes to $136.6 million for the six months ended June 30, 2025, as compared to $114.1 million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June 30, 2024, primarily due to the increase in oil and natural gas revenues between the two periods. On a unit-of-production basis,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taxes, transportation and processing expenses decreased 8% to $4.79 per BOE for the six months ended June 30, 2025, as compared to $5.21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 for the six months ended June 30, 2024. This decrease per BOE was primarily attributable to a 14% decrease in realized oil prices and a 31%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total oil equivalent production between the two periods.</w:t>
      </w:r>
    </w:p>
    <w:p>
      <w:pPr>
        <w:spacing w:after="0" w:line="15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 operating expenses. </w:t>
      </w:r>
      <w:r>
        <w:rPr>
          <w:rFonts w:ascii="Times New Roman" w:cs="Times New Roman" w:eastAsia="Times New Roman" w:hAnsi="Times New Roman"/>
          <w:sz w:val="18"/>
          <w:szCs w:val="18"/>
          <w:color w:val="auto"/>
        </w:rPr>
        <w:t>Our lease operating expenses increased $57.0 million, or 37%, to $212.3 million for the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$155.3 million for the six months ended June 30, 2024. Our lease operating expenses per unit of production increased 5% to $5.75 per BOE for the six months ended June 30, 2025, as compared to $5.50 per BOE for the six months ended June 30, 2024. These increases were primarily attributable to the increased number of wells being operated by us, including 204 wells from the Ameredev Acquisition, and operated by other operators (where we own a working interest) and to operating cost inflation for the six months ended June 30, 2025, as compared to the six months ended June 30, 2024.</w:t>
      </w:r>
    </w:p>
    <w:p>
      <w:pPr>
        <w:spacing w:after="0" w:line="75"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$21.7 million, or 28%, to $98.6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2025, as compared to $76.9 million for the six months ended June 30, 2024. This increase was primarily attributable to increased throughput volumes from Matador and other San Mateo customers, which resulted in increased expenses associated with our expanded pipeline operations of $49.4 million for the six months ended June 30, 2025, as compared to $29.6 million for the six months ended June 30, 2024.</w:t>
      </w:r>
    </w:p>
    <w:p>
      <w:pPr>
        <w:spacing w:after="0" w:line="75"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$146.2 million, or 33%, to $584.5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2025, as compared to $438.2 million for the six months ended June 30, 2024, primarily as a result of the approximate 31% increase in our total oil equivalent production for the six months ended June 30, 2025, as compared to the six months ended June 30, 2024. On a unit-of-production basis, our depletion, depreciation and amortization expenses increased 2% to $15.84 per BOE for the six months ended June 30, 2025, as compared to $15.53 per BOE for the six months ended June 30, 2024, primarily as a result of the Ameredev Acquisition.</w:t>
      </w:r>
    </w:p>
    <w:p>
      <w:pPr>
        <w:spacing w:after="0" w:line="129"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increased $8.4 million, or 15%, to $65.9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as compared to $57.6 million for the six months ended June 30, 2024, primarily as a result of increased payroll for our existing employees as well as with additional employees joining Matador to support our increased land, geoscience, drilling, completion, production, midstream and administration functions as a result of our continued growth. Our general and administrative expenses decreased by 12% on a unit-of-production basis to $1.79 per BOE for the six months ended June 30, 2025, as compared to $2.04 per BOE for the six months ended June 30, 2024, primarily as a result of the approximate 31% increase in our total oil equivalent production between the two periods.</w:t>
      </w:r>
    </w:p>
    <w:p>
      <w:pPr>
        <w:spacing w:after="0" w:line="128" w:lineRule="exact"/>
        <w:rPr>
          <w:sz w:val="20"/>
          <w:szCs w:val="20"/>
          <w:color w:val="auto"/>
        </w:rPr>
      </w:pPr>
    </w:p>
    <w:p>
      <w:pPr>
        <w:ind w:right="2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six months ended June 30, 2025, we incurred total interest expense of approximately $117.8 million. We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$14.9 million of our interest expense on certain qualifying projects for the six months ended June 30, 2025 and expensed the remaining $102.8 million to operations. For the six months ended June 30, 2024, we incurred total interest expense of approximately $90.7 million. We capitalized approximately $15.2 million of our interest expense on certain qualifying projects for the six months ended June 30, 2024 and expensed the remaining $75.5 million to operations. The increase in interest expense for the six months ended June 30, 2025 was primarily attributable to an increase in our total senior notes outstanding to $2.15 billion at June 30, 2025, as compared to $1.40 billion at June 30, 2024.</w:t>
      </w:r>
    </w:p>
    <w:p>
      <w:pPr>
        <w:spacing w:after="0" w:line="12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We recorded a current income tax provision of $46.1 million and a deferred income tax provision of $93.3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We recorded a current income tax provision of $47.4 million and a deferred income tax provision of $97.4 million for the six months ended June 30, 2024. Our effective income tax rates of 26% for each of the six months ended June 30, 2025 and 2024 differed from the U.S. federal statutory rate due primarily to state taxes in New Mexico.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Our primary use of capital has been, and we expect will continue to be during the remainder of 2025 and for the foreseeable future, for the acquisition, exploration and development of oil and natural gas properties and for midstream investments. We expect to fund our 2025 capital expenditures through a combination of cash on hand, operating cash flows and performance incentives paid to us by Five Point Infrastructure LLC (previously, Five Point Energy LLC) or its affiliates. If capital expenditures were to exceed our operating cash flows during the remainder of 2025, we expect to fund any such excess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7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In February and April 2025, the Board declared quarterly cash dividends of $0.3125 per share of common stock. On July 15, 2025, the Board</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declared a quarterly cash dividend of $0.3125 per share of common stock payable on September 5, 2025 to shareholders of record as of August 15, 2025.</w:t>
      </w:r>
    </w:p>
    <w:p>
      <w:pPr>
        <w:spacing w:after="0" w:line="9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April 16, 2025, the Board authorized the Share Repurchase Program of up to $400.0 million of common stock. These repurchases may be conducted through a variety of methods, including open market purchases, 10b5-1 trading plans, privately negotiated transactions or other means. The timing and number of shares that we may purchase is subject to a variety of factors, including our stock price, market conditions, trading volume and other uses for our free cash flow. There can be no assurance regarding the exact number of shares to be repurchased by the Company, if any. Depending on market conditions and other factors, these repurchases may be commenced or suspended at any time or periodically without prior notice, and the Share Repurchase Program does not obligate the Company to acquire any amount of common stock. During the second quarter of 2025, we repurchased 1,095,667 shares of our common stock under the Share Repurchase Program at an average price of $40.37 per share, for a total cost of $44.2 million.</w:t>
      </w:r>
    </w:p>
    <w:p>
      <w:pPr>
        <w:spacing w:after="0" w:line="8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us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$150.0 million or 10% of the elected borrowing commitments of unrestricted cash and cash equivalents), divided by a rolling four quarter EBITDA calculation, of 3.5 or less at the end of each fiscal quarter. We believe that we were in compliance with the terms of the Credit Agreement at June 30, 2025.</w:t>
      </w:r>
    </w:p>
    <w:p>
      <w:pPr>
        <w:spacing w:after="0" w:line="75"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At June 30, 2025, we had cash totaling $10.5 million and restricted cash totaling $76.3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68"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At June 30, 2025, we had (i) $500.0 million of outstanding 2028 Notes, (ii) $900.0 million of outstanding 2032 Notes, (iii) $750.0 million of outstanding 2033 Notes, (iv) $390.0 million in borrowings outstanding under the Credit Agreement and (v) approximately $52.9 million in outstanding letters of credit issued pursuant to the Credit Agreement. Since June 30, 2025, we repaid $30.0 million of borrowings under the Credit Agreement, and at July 22, 2025, we had $360.0 million in borrowings outstanding under the Credit Agreement.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June 2025, San Mateo and certain of its lenders modified the San Mateo Credit Facility to (i) increase the lender commitments from $800.0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to $850.0 million and (ii) add one new bank to San Mateo’s lending group. At June 30, 2025, San Mateo had $778.0 million in borrowings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under the San Mateo Credit Facility and approximately $15.4 million in outstanding letters of credit issued pursuant to the San Mateo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Since June 30, 2025, San Mateo repaid $85.0 million of borrowings under the San Mateo Credit Facility, and at July 22, 2025, San Mateo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$693.0 million in borrowings outstanding under the San Mateo Credit Facility. The outstanding borrowings under the San Mateo Credit Facility mature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2029. The San Mateo Credit Facility includes an accordion feature, which provides for potential increases in lender commitments to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billion. The San Mateo Credit Facility is non-recourse with respect to Matador and its other subsidiaries but is guaranteed by San Mateo’s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subsidiaries and secured by substantially all of San Mateo’s assets, including real property. The San Mateo Credit Facility requires San Mateo to maintain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to EBITDA ratio, which is defined as total consolidated funded indebtedness outstanding (as defined in the San Mateo Credit Facility) divided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four quarter EBITDA calculation, of 5.00 or less, subject to certain exceptions. The San Mateo Credit Facility also requires San Mateo to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interest coverage ratio, which is defined as a rolling four quarter EBITDA calculation divided by San Mateo’s consolidated interest expense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2.50 or more. The San Mateo Credit Facility also restricts the ability of San Mateo to distribute cash to its members if San Mateo’s debt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ratio is greater than 4.50 or San Mateo’s liquidity is less than 10% of the lender commitments under the San Mateo Credit Facility. We believe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San Mateo was in compliance with the terms of the San Mateo Credit Facility at June 30, 2025.</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405"/>
        <w:spacing w:after="0" w:line="252" w:lineRule="auto"/>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for the remainder of 2025. We began 2025 operating nine drilling rigs in the Delaware Basin. In response to market and commodity price volatility in the beginning of the second quarter, we contractually released our ninth drilling rig and expect to operate eight drilling rigs by August 1, 2025. We have built significant optionality into our drilling program, which should generally allow us to decrease or increase the number of rigs we operate as necessary based on changing commodity prices and other factors. At July 22, 2025, our estimated drilling, completing and equipping (“D/C/E”) capital expenditures for 2025 remained $1.18 to $1.37 billion. At July 22, 2025, our estimated midstream capital expenditures for 2025 remained $120.0 to $180.0 million, which includes our proportionate share of San Mateo’s estimated 2025 capital expenditures as well as the estimated 2025 capital expenditures for other wholly-owned midstream projects. The midstream capital expenditure budget includes 51% of the costs associated with San Mateo’s construction of an additional natural gas processing plant with a designed inlet capacity of 200 MMcf per day, including a nitrogen rejection unit and additional related facilities, to expand its Marlan cryogenic natural gas processing plant (the “Marlan Processing Plant Expansion”), which came online in the second quarter of 2025. Substantially all of these 2025 estimated capital expenditures are expected to be allocated to (i) the further delineation and development of our leasehold position, (ii) the construction, installation and maintenance of midstream assets and (iii) our participation in certain non-operated well opportunities. Our 2025 Delaware Basin operated drilling program is expected to focus on the continued development of our various asset areas throughout the Delaware Basin, with a continued emphasis on drilling and completing a high percentage of longer horizontal wells.</w:t>
      </w:r>
    </w:p>
    <w:p>
      <w:pPr>
        <w:spacing w:after="0" w:line="89" w:lineRule="exact"/>
        <w:rPr>
          <w:sz w:val="20"/>
          <w:szCs w:val="20"/>
          <w:color w:val="auto"/>
        </w:rPr>
      </w:pPr>
    </w:p>
    <w:p>
      <w:pPr>
        <w:ind w:right="500" w:firstLine="405"/>
        <w:spacing w:after="0" w:line="261" w:lineRule="auto"/>
        <w:rPr>
          <w:sz w:val="20"/>
          <w:szCs w:val="20"/>
          <w:color w:val="auto"/>
        </w:rPr>
      </w:pPr>
      <w:r>
        <w:rPr>
          <w:rFonts w:ascii="Times New Roman" w:cs="Times New Roman" w:eastAsia="Times New Roman" w:hAnsi="Times New Roman"/>
          <w:sz w:val="18"/>
          <w:szCs w:val="18"/>
          <w:color w:val="auto"/>
        </w:rPr>
        <w:t>We intend to continue evaluating the opportunistic acquisition of producing properties, acreage and mineral interests and midstream assets, principally in the Delaware Basin. Purchase price multiples and per-acre prices can vary significantly based on the asset or prospect. As a result, it is difficult to estimate these capital expenditures with any degree of certainty; therefore, we have not provided estimated capital expenditures related to acquiring producing properties, acreage and mineral interests and midstream assets for 2025.</w:t>
      </w:r>
    </w:p>
    <w:p>
      <w:pPr>
        <w:spacing w:after="0" w:line="7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we have done in recent years, we may divest portions of our non-core assets as well as consider monetizing other assets, such as certain midstream assets and mineral and royalty interests, as value-creating opportunities arise. Divestitures and other types of monetizations are difficult to estimate with any degree of certainty. Therefore, we have not provided estimated proceeds related to divestitures or monetizations for 2025.</w:t>
      </w:r>
    </w:p>
    <w:p>
      <w:pPr>
        <w:spacing w:after="0" w:line="6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2025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8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2025 is expected to come from producing wells and development activities on currently proved properties in the Delaware Basin and the Haynesville shale in Northwest Louisiana.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2025 and the hedges we currently have in place. For further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unaudited cash flows for the six months ended June 30, 2025 and 2024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20" w:type="dxa"/>
            <w:vAlign w:val="bottom"/>
          </w:tcPr>
          <w:p>
            <w:pPr>
              <w:spacing w:after="0"/>
              <w:rPr>
                <w:sz w:val="16"/>
                <w:szCs w:val="16"/>
                <w:color w:val="auto"/>
              </w:rPr>
            </w:pPr>
          </w:p>
        </w:tc>
      </w:tr>
      <w:tr>
        <w:trPr>
          <w:trHeight w:val="212"/>
        </w:trPr>
        <w:tc>
          <w:tcPr>
            <w:tcW w:w="8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19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1,228,906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1,061,489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(1,006,674)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(1,120,147)</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(42,395)</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1,238,468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1,083,443</w:t>
            </w:r>
          </w:p>
        </w:tc>
      </w:tr>
      <w:tr>
        <w:trPr>
          <w:trHeight w:val="297"/>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85" w:lineRule="exact"/>
        <w:rPr>
          <w:sz w:val="20"/>
          <w:szCs w:val="20"/>
          <w:color w:val="auto"/>
        </w:rPr>
      </w:pPr>
    </w:p>
    <w:p>
      <w:pPr>
        <w:ind w:left="340" w:right="60" w:hanging="332"/>
        <w:spacing w:after="0" w:line="302"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For a definition of Adjusted EBITDA and a reconciliation of Adjusted EBITDA to our net income and net cash provided by operating activities, see “—Non-GAAP Financial Measures” below.</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$167.4 million to $1.23 billion for the six months ended June 30, 2025 from $1.06 billion for the six months ended June 30, 2024. Excluding changes in operating assets and liabilities, net cash provided by operating activities increased $151.6 million to $1.18 billion for the six months ended June 30, 2025 from $1.02 billion for the six months ended June 30, 2024. This increase was primarily attributable to increased oil and natural gas production and higher realized natural gas prices for the six months ended June 30, 2025, as compared to the six months ended June 30, 2024, partially offset by lower realized oil prices. Changes in our operating assets and liabilities between the two periods resulted in an increase of $15.8 million in net cash provided by operating activities for the six months ended June 30, 2025, as compared to the six months ended June 30, 2024.</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decreased $113.5 million to $1.01 billion for the six months ended June 30, 2025 from $1.12 billion for the six months ended June 30, 2024. This decrease in net cash used in investing activities was primarily due to (i) a decrease between the periods of $131.0 million in expenditures related to the acquisition of oil and natural gas properties, (ii) a decrease between the periods of $95.3 million in expenditures related to the Ameredev Acquisition and (iii) an increase between the periods of $21.4 million related to proceeds from the sale of assets. These decreases in cash used in investing activities were partially offset by an increase between the periods of $133.8 million in D/C/E capital expenditures primarily attributable to our operated and non-operated drilling, completion and equipping activities in the Delaware Basin.</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119"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increased $246.5 million to $230.2 million for the six months ended June 30, 2025 from net cash provided by financing activities of $16.3 million for the six months ended June 30, 2024. This increase in net cash used in financing activities between the periods was primarily due to (i) a $529.9 million decrease in net proceeds from debt and equity offerings in the prior period, (ii) an increase in cash used to repurchase common stock in the current period of $44.2 million, (iii) an increase in net distributions related to San Mateo of $32.2 million, and (iv) an increase in dividends paid of $29.4 million. These increases in net cash used in financing activities were partially offset by (i) a decrease in net repayments under the Credit Agreement of $199.5 million, (ii) an increase in net borrowings of $173.0 million under the San Mateo Credit Facility, and (iii) an $11.0 million decrease in costs to amend credit facilities.</w:t>
      </w:r>
    </w:p>
    <w:p>
      <w:pPr>
        <w:spacing w:after="0" w:line="81"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See Note 5 to the interim unaudited condensed consolidated financial statements in this Quarterly Report for a summary of our debt, including the Credit Agreement, the San Mateo Credit Facility, the 2028 Notes, the 2032 Notes and the 2033 Notes.</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1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We define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7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an alternative to, or more meaningful than, net income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4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228,769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422,498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38,219</w:t>
            </w:r>
          </w:p>
        </w:tc>
        <w:tc>
          <w:tcPr>
            <w:tcW w:w="0" w:type="dxa"/>
            <w:vAlign w:val="bottom"/>
          </w:tcPr>
          <w:p>
            <w:pPr>
              <w:spacing w:after="0"/>
              <w:rPr>
                <w:sz w:val="1"/>
                <w:szCs w:val="1"/>
                <w:color w:val="auto"/>
              </w:rPr>
            </w:pP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460,717</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75,548</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144,764</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438,245</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1,140,375</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(56,932)</w:t>
            </w:r>
          </w:p>
        </w:tc>
        <w:tc>
          <w:tcPr>
            <w:tcW w:w="0" w:type="dxa"/>
            <w:vAlign w:val="bottom"/>
          </w:tcPr>
          <w:p>
            <w:pPr>
              <w:spacing w:after="0"/>
              <w:rPr>
                <w:sz w:val="1"/>
                <w:szCs w:val="1"/>
                <w:color w:val="auto"/>
              </w:rPr>
            </w:pP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594,245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1,083,443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234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Unaudited Adjusted EBITDA Reconciliation to Net Cash Provided by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501,027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592,927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1,061,489</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(38,049)</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non-cash portion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65,962</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47,376</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and non-recurring (income)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(56,932)</w:t>
            </w:r>
          </w:p>
        </w:tc>
        <w:tc>
          <w:tcPr>
            <w:tcW w:w="0" w:type="dxa"/>
            <w:vAlign w:val="bottom"/>
          </w:tcPr>
          <w:p>
            <w:pPr>
              <w:spacing w:after="0"/>
              <w:rPr>
                <w:sz w:val="1"/>
                <w:szCs w:val="1"/>
                <w:color w:val="auto"/>
              </w:rPr>
            </w:pP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594,245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1,083,443</w:t>
            </w:r>
          </w:p>
        </w:tc>
        <w:tc>
          <w:tcPr>
            <w:tcW w:w="0" w:type="dxa"/>
            <w:vAlign w:val="bottom"/>
          </w:tcPr>
          <w:p>
            <w:pPr>
              <w:spacing w:after="0"/>
              <w:rPr>
                <w:sz w:val="1"/>
                <w:szCs w:val="1"/>
                <w:color w:val="auto"/>
              </w:rPr>
            </w:pPr>
          </w:p>
        </w:tc>
      </w:tr>
      <w:tr>
        <w:trPr>
          <w:trHeight w:val="21"/>
        </w:trPr>
        <w:tc>
          <w:tcPr>
            <w:tcW w:w="59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three months ended June 30, 2025, net income attributable to Matador shareholders decreased $78.5 million to $150.2 million, as compared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$228.8 million for the three months ended June 30, 2024. The decrease in net income attributable to Matador shareholders primarily resulted from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$76.7 million increase in depletion, depreciation and amortization expenses, a $26.7 million increase in lease operating expenses, a $17.4 million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interest expense and lower realized oil prices for the three months ended June 30, 2025, as compared to the three months ended June 30, 2024.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were partially offset by a $21.5 million decrease in the income tax provision between the two periods, increased oil and natural gas production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higher realized natural gas prices for the three months ended June 30, 2025, as compared to the three months ended June 30, 2024.</w:t>
      </w:r>
    </w:p>
    <w:p>
      <w:pPr>
        <w:spacing w:after="0" w:line="9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2025, net income attributable to Matador shareholders decreased $32.2 million to $390.3 million, as compared to net income attributable to Matador shareholders of $422.5 million for the six months ended June 30, 2024. The decrease in net income attributable to Matador shareholders primarily resulted from a $146.2 million increase in depletion, depreciation and amortization expenses, a $57.0 million increase in lease operating expenses, a $29.7 million increase in production taxes, transportation and processing expenses, a $27.3 million increase in interest expense, a $22.5 million increase in unrealized loss on derivatives, a $21.7 million increase in plant and other midstream services operating expenses and lower realized oil prices for the six months ended June 30, 2025, as compared to the six months ended June 30, 2024. These decreases were partially offset by increased oil and natural gas production and higher realized natural gas prices for the six months ended June 30, 2025, as compared to the six months ended June 30, 2024.</w:t>
      </w:r>
    </w:p>
    <w:p>
      <w:pPr>
        <w:spacing w:after="0" w:line="84"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Adjusted EBITDA, a non-GAAP financial measure, increased $16.2 million to $594.2 million for the three months ended June 30, 2025, as compared to $578.1 million for the three months ended June 30, 2024. This increase was primarily attributable to increased oil and natural gas production and higher realized natural gas prices, partially offset by lower realized oil prices, for the three months ended June 30, 2025, as compared to the three months ended June 30, 2024.</w:t>
      </w:r>
    </w:p>
    <w:p>
      <w:pPr>
        <w:spacing w:after="0" w:line="7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increased $155.0 million to $1.24 billion for the six months ended June 30, 2025, as compared to $1.08 billion for the six months ended June 30, 2024. This increase is primarily attributable to increased oil and natural gas production and higher realized natural gas prices, partially offset by lower realized oil prices, for the six months ended June 30, 2025, as compared to the six months ended June 30,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 to time, we enter into off-balance sheet arrangements and transactions that can give rise to material off-balance sheet obligations. As</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of June 30, 2025,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10 to the interim unaudited condensed consolidated financial statements in this Quarterly Report for more information regarding our off-balance sheet arrangements. Such information is incorporated herein by reference.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the following material contractual obligations and commitments at June 30,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22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48"/>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Borrowings, including letters of credit</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1,236,308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unsecured notes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leases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Non-operated drilling commitments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Drilling rig contracts</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retirement obligations</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111,182</w:t>
            </w:r>
          </w:p>
        </w:tc>
        <w:tc>
          <w:tcPr>
            <w:tcW w:w="0" w:type="dxa"/>
            <w:vAlign w:val="bottom"/>
          </w:tcPr>
          <w:p>
            <w:pPr>
              <w:spacing w:after="0"/>
              <w:rPr>
                <w:sz w:val="1"/>
                <w:szCs w:val="1"/>
                <w:color w:val="auto"/>
              </w:rPr>
            </w:pPr>
          </w:p>
        </w:tc>
      </w:tr>
      <w:tr>
        <w:trPr>
          <w:trHeight w:val="181"/>
        </w:trPr>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with non-affiliates</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179,768</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with San Mateo</w:t>
            </w:r>
            <w:r>
              <w:rPr>
                <w:rFonts w:ascii="Times New Roman" w:cs="Times New Roman" w:eastAsia="Times New Roman" w:hAnsi="Times New Roman"/>
                <w:sz w:val="23"/>
                <w:szCs w:val="23"/>
                <w:color w:val="auto"/>
                <w:vertAlign w:val="superscript"/>
              </w:rPr>
              <w:t>(7)</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408,015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Midstream contracts</w:t>
            </w:r>
            <w:r>
              <w:rPr>
                <w:rFonts w:ascii="Times New Roman" w:cs="Times New Roman" w:eastAsia="Times New Roman" w:hAnsi="Times New Roman"/>
                <w:sz w:val="23"/>
                <w:szCs w:val="23"/>
                <w:color w:val="auto"/>
                <w:vertAlign w:val="superscript"/>
              </w:rPr>
              <w:t>(8)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2,416,153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340" w:right="20" w:hanging="332"/>
        <w:spacing w:after="0" w:line="265"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At June 30, 2025, we had $390.0 million in borrowings outstanding under the Credit Agreement and approximately $52.9 million in outstanding letters of credit issued pursuant to the Credit Agreement. The outstanding borrowings under the Credit Agreement mature on March 22, 2029. At June 30, 2025, San Mateo had $778.0 million of borrowings outstanding under the San Mateo Credit Facility and approximately $15.4 million in outstanding letters of credit issued pursuant to the San Mateo Credit Facility. The outstanding borrowings under the San Mateo Credit Facility mature on November 26, 2029. Assuming the amounts outstanding and interest rates of 6.18% and 6.43% respectively, for the Credit Agreement and the San Mateo Credit Facility at June 30, 2025, the interest expense for such facilities is expected to be approximately $24.4 million and $50.7 million, respectively, each year until maturity.</w:t>
      </w:r>
    </w:p>
    <w:p>
      <w:pPr>
        <w:spacing w:after="0" w:line="80" w:lineRule="exact"/>
        <w:rPr>
          <w:rFonts w:ascii="Times New Roman" w:cs="Times New Roman" w:eastAsia="Times New Roman" w:hAnsi="Times New Roman"/>
          <w:sz w:val="14"/>
          <w:szCs w:val="14"/>
          <w:color w:val="auto"/>
        </w:rPr>
      </w:pPr>
    </w:p>
    <w:p>
      <w:pPr>
        <w:ind w:left="340" w:right="160" w:hanging="332"/>
        <w:spacing w:after="0" w:line="27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Interest expense on the $500.0 million of outstanding 2028 Notes as of June 30, 2025 is expected to be approximately $34.4 million each year until maturity. Interest expense on the $900.0 million of outstanding 2032 Notes as of June 30, 2025 is expected to be approximately $58.5 million. Interest expense on the $750.0 million of outstanding 2033 Notes as of June 30, 2025 is expected to be approximately $46.9 million.</w:t>
      </w:r>
    </w:p>
    <w:p>
      <w:pPr>
        <w:spacing w:after="0" w:line="7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June 30, 2025, we had outstanding commitments to participate in the drilling and completion of various non-operated wells.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own or operate our own drilling rigs, but instead we enter into contracts with third parties for such drilling rigs.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discounted cash flow estimates for future asset retirement obligations at June 30, 2025.</w:t>
      </w:r>
    </w:p>
    <w:p>
      <w:pPr>
        <w:spacing w:after="0" w:line="122" w:lineRule="exact"/>
        <w:rPr>
          <w:rFonts w:ascii="Times New Roman" w:cs="Times New Roman" w:eastAsia="Times New Roman" w:hAnsi="Times New Roman"/>
          <w:sz w:val="14"/>
          <w:szCs w:val="14"/>
          <w:color w:val="auto"/>
        </w:rPr>
      </w:pPr>
    </w:p>
    <w:p>
      <w:pPr>
        <w:ind w:left="340" w:right="60" w:hanging="332"/>
        <w:spacing w:after="0" w:line="268"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10 to the interim unaudited condensed consolidated financial statements in this Quarterly Report for more information about these contractual commitments.</w:t>
      </w:r>
    </w:p>
    <w:p>
      <w:pPr>
        <w:spacing w:after="0" w:line="77" w:lineRule="exact"/>
        <w:rPr>
          <w:rFonts w:ascii="Times New Roman" w:cs="Times New Roman" w:eastAsia="Times New Roman" w:hAnsi="Times New Roman"/>
          <w:sz w:val="14"/>
          <w:szCs w:val="14"/>
          <w:color w:val="auto"/>
        </w:rPr>
      </w:pPr>
    </w:p>
    <w:p>
      <w:pPr>
        <w:ind w:left="340" w:right="20" w:hanging="332"/>
        <w:spacing w:after="0" w:line="265"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dedicated to San Mateo our current and certain future leasehold interests in the Rustler Breaks asset area and the Wolf portion of the West Texas asset area and acreage in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In 2024, we also dedicated to San Mateo certain of our current and future leasehold interests in the Ranger and Antelope Ridge asset areas pursuant to 15-year, fixed-fee natural gas gathering, compression, treating and processing agreements with San Mateo. See Note 10 to the interim unaudited condensed consolidated financial statements in this Quarterly Report for more information about these contractual commitments.</w:t>
      </w:r>
    </w:p>
    <w:p>
      <w:pPr>
        <w:spacing w:after="0" w:line="80" w:lineRule="exact"/>
        <w:rPr>
          <w:rFonts w:ascii="Times New Roman" w:cs="Times New Roman" w:eastAsia="Times New Roman" w:hAnsi="Times New Roman"/>
          <w:sz w:val="14"/>
          <w:szCs w:val="14"/>
          <w:color w:val="auto"/>
        </w:rPr>
      </w:pPr>
    </w:p>
    <w:p>
      <w:pPr>
        <w:ind w:left="340" w:right="220" w:hanging="332"/>
        <w:spacing w:after="0" w:line="28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June 30, 2025, we had outstanding commitments related to San Mateo’s Marlan Processing Plant Expansion, in addition to commitments to purchase compressors to be utilized in San Mateo’s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Outlook and Trends</w:t>
      </w:r>
    </w:p>
    <w:p>
      <w:pPr>
        <w:spacing w:after="0" w:line="121"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Our business success and financial results are dependent on many factors beyond our control, such as economic, political and regulatory developments, as well as competition from other sources of energy. For example, the current administration and Congress has altered, and may continue to alter, our current regulatory framework and may impact our business and the oil and gas industry generally. On July 4, 2025, the President of the United States signed into law the OBBBA. The legislation makes permanent, extends or modifies certain provisions under the 2017 Tax Cuts and Jobs Act, among other things. The provisions of the OBBBA that are currently expected to most significantly impact us include (i) a permanent extension of 100% bonus depreciation for certain capital expenditures, (ii) immediate deduction of domestic research or experimental expenditures, (iii) acceleration of unamortized domestic research or development expenditures and (iv) elimination of the deduction for depreciation, amortization and depletion from the definition of “adjusted taxable income” for the purpose of calculating interest expense deductions. We now expect to make cash tax payments of approximately 0% to 5% of income before income taxes for the year ending December 31, 2025 at current commodity prices. Our cash tax payments will be dependent upon a variety of factors that will impact taxable income, including oil and natural gas prices, allowable deductions and any legislative changes thereon, and any tax credits generated that would offset tax liabilities in 2025. We will continue to evaluate the full impact of this new legislation on our consolidated financial statements.</w:t>
      </w:r>
    </w:p>
    <w:p>
      <w:pPr>
        <w:spacing w:after="0" w:line="82"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Commodity price volatility, in particular, is a significant risk to our business, cash flows and results of operations. Commodity prices are affected by changes in market supply and demand, which are impacted by overall economic activity, ongoing military conflicts, including ongoing military conflicts between Russia and Ukraine and in the Middle East, political instability, particularly in China and in the Middle East, the actions of Organization of Petroleum Exporting Countries, Russia and certain other oil-exporting countries (“OPEC+”), weather, pipeline capacity constraints, inventory storage levels, domestic or global health concerns, oil and natural gas price differentials and other factors.</w:t>
      </w:r>
    </w:p>
    <w:p>
      <w:pPr>
        <w:spacing w:after="0" w:line="7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prices we receive for oil, natural gas and NGLs heavily influence our revenues, profitability, cash flow available for capital expenditures, the repayment of debt, the payment of cash dividends, if any, and the repurchase of common stock,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spacing w:after="0" w:line="8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Oil prices were lower in the second quarter of 2025, as compared to the second quarter of 2024. For the three months ended June 30, 2025, oil prices averaged $63.68 per Bbl, ranging from a low of $57.13 per Bbl in early May to a high of $75.14 per Bbl in mid-June, based upon the West Texas Intermediate (“WTI”) oil futures contract price for the earliest delivery date. Oil prices averaged $80.66 per Bbl for the three months ended June 30, 2024. We realized a weighted average oil price of $64.34 per Bbl (with no realized gains or losses from oil derivatives) for our oil production for the three months ended June 30, 2025, as compared to $81.20 per Bbl (with no realized gains or losses from oil derivatives) for our oil production for the three months ended June 30, 2024. Oil prices have remained volatile since June 30, 2025. At July 22, 2025, the WTI oil futures contract for the earliest delivery date had increased from the average price for the second quarter of 2025 of $63.68 per Bbl, settling at $66.21 per Bbl, which was a decrease as compared to $79.78 per Bbl at July 22, 2024.</w:t>
      </w:r>
    </w:p>
    <w:p>
      <w:pPr>
        <w:spacing w:after="0" w:line="84"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Natural gas prices were higher in the second quarter of 2025, as compared to the second quarter of 2024. For the three months ended June 30, 2025, natural gas prices averaged $3.51 per MMBtu, ranging from a high of $4.14 per MMBtu in early April to a low of $2.93 per MMBtu in late April, based upon the NYMEX Henry Hub natural gas futures contract price for the earliest delivery date. Natural gas prices averaged $2.27 per MMBtu for the three months ended June 30, 2024. We report production volumes in two streams, oil and natural gas (which includes both dry gas and NGLs). Waha prices were also higher for the second quarter of 2025, as compared to the second quarter of 2024, which contributed to higher realized weighted average natural gas prices for the second quarter of 2025. We realized a weighted average natural gas price of $2.05 per Mcf ($2.20 per Mcf including realized gains from natural gas derivatives) for our natural gas production (including revenues attributable to NGLs) for the three months ended June 30, 2025, as compared to $2.00 per Mcf ($2.11 per Mcf including realized gains from natural gas derivatives) for our natural gas production (including revenues attributable to NGLs) for the three months ended June 30, 2024. Certain volumes of our natural gas production are sold at prices established at the beginning of each month by the various markets where we sell our natural gas production, and certain volumes of our natural gas production are sold at daily market prices. At July 22, 2025, the NYMEX Henry Hub natural gas futures contract price for the earliest delivery date had decreased from the average price for the second quarter of 2025 of $3.51 per MMBtu, to $3.25 per MMBtu, which was an increase as compared to $2.25 per MMBtu at July 22, 2024.</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June 30, 2025,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75" w:lineRule="exact"/>
        <w:rPr>
          <w:sz w:val="20"/>
          <w:szCs w:val="20"/>
          <w:color w:val="auto"/>
        </w:rPr>
      </w:pPr>
    </w:p>
    <w:p>
      <w:pPr>
        <w:jc w:val="both"/>
        <w:ind w:right="480" w:firstLine="445"/>
        <w:spacing w:after="0" w:line="266" w:lineRule="auto"/>
        <w:rPr>
          <w:sz w:val="20"/>
          <w:szCs w:val="20"/>
          <w:color w:val="auto"/>
        </w:rPr>
      </w:pPr>
      <w:r>
        <w:rPr>
          <w:rFonts w:ascii="Times New Roman" w:cs="Times New Roman" w:eastAsia="Times New Roman" w:hAnsi="Times New Roman"/>
          <w:sz w:val="18"/>
          <w:szCs w:val="18"/>
          <w:color w:val="auto"/>
        </w:rPr>
        <w:t>The Midland-Cushing (Oklahoma) oil price differential has been highly volatile in recent years. At July 22, 2025, this oil price differential was positive at approximately +$0.32 per Bbl. At July 22, 2025, we had no derivative contracts in place to mitigate our exposure to this Midland-Cushing (Oklahoma) oil price differential for 2025.</w:t>
      </w:r>
    </w:p>
    <w:p>
      <w:pPr>
        <w:spacing w:after="0" w:line="68"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Certain volumes of our Delaware Basin natural gas production are exposed to the Waha-Henry Hub basis differential, which has also been highly volatile in recent years. In recent years, concerns about natural gas pipeline takeaway capacity out of the Delaware Basin began to increase and as a result, the Waha-Henry Hub basis differential began to widen. The Waha-Henry Hub basis differential averaged ($2.30) per MMBtu for the six months ended June 30, 2025. Between June 30, 2025 and July 22, 2025, this natural gas price differential remained wide at approximately ($1.76) per MMBtu. A significant portion of our Delaware Basin natural gas production, however, is sold at Houston Ship Channel pricing and is not exposed to Waha pricing. During 2023 and 2024, we typically realized a narrower differential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3% of our reported natural gas production for the six months ended June 30, 2025 was attributable to the Haynesville shale play, which is not exposed to Waha pricing. In addition, as a two-stream reporter, most of our natural gas volumes in the Delaware Basin are processed for NGLs, resulting in a further reduction in the reported natural gas volumes exposed to Waha pricing.</w:t>
      </w:r>
    </w:p>
    <w:p>
      <w:pPr>
        <w:spacing w:after="0" w:line="86"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six months of 2025, we realized a net gain on our natural gas basis differential derivative contracts of approximately $9.7 million, resulting primarily from natural gas basis differentials that were below the fixed prices of certain of our natural gas basis differential swap contracts.</w:t>
      </w:r>
    </w:p>
    <w:p>
      <w:pPr>
        <w:spacing w:after="0" w:line="79"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We have at times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including in 2024, we may temporarily shut in certain high gas-oil ratio wells and take other actions to mitigate the impact on our realized natural gas prices and results.</w:t>
      </w:r>
    </w:p>
    <w:p>
      <w:pPr>
        <w:spacing w:after="0" w:line="8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have at times experienced inflation in the costs of certain oilfield services, including diesel, steel, labor, trucking, sand, personnel and completion costs, among others. Should oil prices increase, we may be subject to additional service cost inflation in future periods, which may increase our costs to drill, complete, equip and operate wells. In addition, supply chain disruptions, tariffs and trade restrictions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spacing w:after="0" w:line="7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 and Trading Relationships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April 2025, the U.S. government announced a baseline tariff of 10% on products imported from all countries and an additional individualized reciprocal tariff on the countries with which the United States has the largest trade deficits, including China. Since that time, the U.S. has expanded tariffs on key industrial inputs, including tariffs on steel and aluminum imports. Increased tariffs by the United States have led and may continue to lead to the imposition of retaliatory tariffs by foreign jurisdictions. Additionally, the U.S. government has at times announced, rescinded, modified and temporarily suspended multiple tariffs on several foreign jurisdictions, which has increased uncertainty regarding the ultimate effect of the tariffs on economic conditions. Current uncertainties about tariffs and their effects on trading relationships may affect costs for and availability of raw materials, equipment and other inputs critical to our operations, and may contribute to inflation in the markets in which we operate. Although we are continuing to monitor the economic effects of such announcements, as well as opportunities to mitigate their related impacts, costs and other effects associated with the tariffs remain uncertain.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 in the Annual Report. The following disclosures about our regulatory matters include updates to, and should be read in conjunction with, the above referenced sections of the Annual Report:</w:t>
      </w:r>
    </w:p>
    <w:p>
      <w:pPr>
        <w:spacing w:after="0" w:line="84"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On March 6,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greenhouse gas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Eighth Circuit considered the litigation. On March 27, 2025, the SEC voted to end the defense of the rules in the litigation, and on July 23, 2025, it filed a status report requesting that the Eighth Circuit proceed with the case and issue an opinion on the challenges to the climate disclosure rules.</w:t>
      </w:r>
    </w:p>
    <w:p>
      <w:pPr>
        <w:spacing w:after="0" w:line="84"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On November 18, 2024, the Environmental Protection Agency published final rules under authority of the Inflation Reduction Act of 2022 that would impose a waste emissions charge on large emitters of waste methane from the oil and gas sector. On March 14, 2025, President Trump signed a Joint Resolution of Disapproval under the Congressional Review Act to nullify and prohibit the waste emissions charge rules from taking effect. In line with the Joint Resolution of Disapproval, the Environmental Protection Agency issued a final rule on May 19, 2025, removing the waste emissions charge rules from the Code of Federal Regulations. However, the underlying law mandating the waste emissions charge remains in effect. The OBBBA delayed collection of the charge until 2034.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sources and effects of our market risk since December 31, 2024, which are disclosed in Part II, Item 7A of the Annual Report and incorporated herein by reference.</w:t>
      </w:r>
    </w:p>
    <w:p>
      <w:pPr>
        <w:spacing w:after="0" w:line="52" w:lineRule="exact"/>
        <w:rPr>
          <w:sz w:val="20"/>
          <w:szCs w:val="20"/>
          <w:color w:val="auto"/>
        </w:rPr>
      </w:pPr>
    </w:p>
    <w:p>
      <w:pPr>
        <w:jc w:val="both"/>
        <w:ind w:right="2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We are exposed to market risk as the prices of oil, natural gas and NGLs fluctuate as a result of changes in supply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w:t>
      </w:r>
    </w:p>
    <w:p>
      <w:pPr>
        <w:spacing w:after="0" w:line="84"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We record all derivative financial instruments at fair value. The fair value of our derivative financial instruments is determined using purchase and sale information available for similarly traded securities. At June 30, 2025, Bank of America, PNC Bank, Truist Bank, The Bank of Nova Scotia, Royal Bank of Canada, Comerica Bank, BOKF (or affiliates thereof), The Toronto Dominion Bank, J.P. Morgan Chase Bank and Wells Fargo Bank were the counterparties for our derivative instruments. We have considered the credit standing of the counterparties in determining the fair value of our derivative financial instruments.</w:t>
      </w:r>
    </w:p>
    <w:p>
      <w:pPr>
        <w:spacing w:after="0" w:line="75"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At June 30, 2025, we had various costless collar contracts open and in place to mitigate our exposure to oil and natural gas price volatility, each with an established price floor and ceiling. At June 30, 2025, we had natural gas basis differential swap contracts open and in place to mitigate our exposure to natural gas price volatility, with a specific term (calculation period), notional quantity (volume hedged) and fixed price. We had no open contracts associated with NGL prices at June 30, 2025.</w:t>
      </w:r>
    </w:p>
    <w:p>
      <w:pPr>
        <w:spacing w:after="0" w:line="72"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See Note 8 to the interim unaudited condensed consolidated financial statements in this Quarterly Report for a summary of our open derivative financial instruments. Such information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Procedures</w:t>
      </w:r>
    </w:p>
    <w:p>
      <w:pPr>
        <w:spacing w:after="0" w:line="119" w:lineRule="exact"/>
        <w:rPr>
          <w:sz w:val="20"/>
          <w:szCs w:val="20"/>
          <w:color w:val="auto"/>
        </w:rPr>
      </w:pPr>
    </w:p>
    <w:p>
      <w:pPr>
        <w:ind w:firstLine="445"/>
        <w:spacing w:after="0" w:line="273" w:lineRule="auto"/>
        <w:rPr>
          <w:sz w:val="20"/>
          <w:szCs w:val="20"/>
          <w:color w:val="auto"/>
        </w:rPr>
      </w:pPr>
      <w:r>
        <w:rPr>
          <w:rFonts w:ascii="Times New Roman" w:cs="Times New Roman" w:eastAsia="Times New Roman" w:hAnsi="Times New Roman"/>
          <w:sz w:val="17"/>
          <w:szCs w:val="17"/>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June 30, 2025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Internal Control over Financial Reporting</w:t>
      </w:r>
    </w:p>
    <w:p>
      <w:pPr>
        <w:spacing w:after="0" w:line="92"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there were no changes in our internal controls that have materially affected or are reasonably likely to have a material effect on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68"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there were no material changes regarding the legal proceedings we have disclosed in “Item 3. Legal Proceedings” in the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are subject to various risks and uncertainties in the course of our business. For a discussion of such risks and uncertainties, please see “Item 1A.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in the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Repurchase of Equity by the Company or Affiliates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contains information about our acquisition of equity securities during the quarter ended June 30,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Period</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 2025 to April 30,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2025 to May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 2025 to June 30, 2025</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7"/>
                <w:szCs w:val="17"/>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76"/>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00" w:type="dxa"/>
            <w:vAlign w:val="bottom"/>
          </w:tcPr>
          <w:p>
            <w:pPr>
              <w:spacing w:after="0"/>
              <w:rPr>
                <w:sz w:val="15"/>
                <w:szCs w:val="15"/>
                <w:color w:val="auto"/>
              </w:rPr>
            </w:pPr>
          </w:p>
        </w:tc>
        <w:tc>
          <w:tcPr>
            <w:tcW w:w="19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Value in thousands) of</w:t>
            </w:r>
          </w:p>
        </w:tc>
        <w:tc>
          <w:tcPr>
            <w:tcW w:w="0" w:type="dxa"/>
            <w:vAlign w:val="bottom"/>
          </w:tcPr>
          <w:p>
            <w:pPr>
              <w:spacing w:after="0"/>
              <w:rPr>
                <w:sz w:val="1"/>
                <w:szCs w:val="1"/>
                <w:color w:val="auto"/>
              </w:rPr>
            </w:pPr>
          </w:p>
        </w:tc>
      </w:tr>
      <w:tr>
        <w:trPr>
          <w:trHeight w:val="189"/>
        </w:trPr>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00" w:type="dxa"/>
            <w:vAlign w:val="bottom"/>
          </w:tcPr>
          <w:p>
            <w:pPr>
              <w:spacing w:after="0"/>
              <w:rPr>
                <w:sz w:val="16"/>
                <w:szCs w:val="16"/>
                <w:color w:val="auto"/>
              </w:rPr>
            </w:pPr>
          </w:p>
        </w:tc>
        <w:tc>
          <w:tcPr>
            <w:tcW w:w="1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5"/>
        </w:trPr>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43"/>
        </w:trPr>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Purchased</w:t>
            </w:r>
            <w:r>
              <w:rPr>
                <w:rFonts w:ascii="Times New Roman" w:cs="Times New Roman" w:eastAsia="Times New Roman" w:hAnsi="Times New Roman"/>
                <w:sz w:val="23"/>
                <w:szCs w:val="23"/>
                <w:b w:val="1"/>
                <w:bCs w:val="1"/>
                <w:color w:val="auto"/>
                <w:w w:val="92"/>
                <w:vertAlign w:val="superscript"/>
              </w:rPr>
              <w:t>(1)(2)</w:t>
            </w:r>
          </w:p>
        </w:tc>
        <w:tc>
          <w:tcPr>
            <w:tcW w:w="100" w:type="dxa"/>
            <w:vAlign w:val="bottom"/>
          </w:tcPr>
          <w:p>
            <w:pPr>
              <w:spacing w:after="0"/>
              <w:rPr>
                <w:sz w:val="21"/>
                <w:szCs w:val="21"/>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8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3"/>
              </w:rPr>
              <w:t>Programs</w:t>
            </w:r>
            <w:r>
              <w:rPr>
                <w:rFonts w:ascii="Times New Roman" w:cs="Times New Roman" w:eastAsia="Times New Roman" w:hAnsi="Times New Roman"/>
                <w:sz w:val="23"/>
                <w:szCs w:val="23"/>
                <w:b w:val="1"/>
                <w:bCs w:val="1"/>
                <w:color w:val="auto"/>
                <w:w w:val="93"/>
                <w:vertAlign w:val="superscript"/>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center"/>
              <w:ind w:right="5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Plans or Programs</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18"/>
        </w:trPr>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745,667</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745,667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369,703</w:t>
            </w:r>
          </w:p>
        </w:tc>
        <w:tc>
          <w:tcPr>
            <w:tcW w:w="0" w:type="dxa"/>
            <w:vAlign w:val="bottom"/>
          </w:tcPr>
          <w:p>
            <w:pPr>
              <w:spacing w:after="0"/>
              <w:rPr>
                <w:sz w:val="1"/>
                <w:szCs w:val="1"/>
                <w:color w:val="auto"/>
              </w:rPr>
            </w:pPr>
          </w:p>
        </w:tc>
      </w:tr>
      <w:tr>
        <w:trPr>
          <w:trHeight w:val="229"/>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357,533</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355,751</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1,105,610</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-333375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-633730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3680" w:space="720"/>
            <w:col w:w="6840"/>
          </w:cols>
          <w:pgMar w:left="320" w:top="121" w:right="339" w:bottom="1440" w:gutter="0" w:footer="0" w:header="0"/>
          <w:type w:val="continuous"/>
        </w:sectPr>
      </w:pPr>
    </w:p>
    <w:p>
      <w:pPr>
        <w:ind w:left="340" w:right="240" w:hanging="332"/>
        <w:spacing w:after="0" w:line="302"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of 2025, the Company re-acquired 9,943 shares of common stock from certain employees in order to satisfy the employees’ tax liability in connection with the vesting of restricted stock.</w:t>
      </w:r>
    </w:p>
    <w:p>
      <w:pPr>
        <w:spacing w:after="0" w:line="53" w:lineRule="exact"/>
        <w:rPr>
          <w:rFonts w:ascii="Times New Roman" w:cs="Times New Roman" w:eastAsia="Times New Roman" w:hAnsi="Times New Roman"/>
          <w:sz w:val="14"/>
          <w:szCs w:val="14"/>
          <w:color w:val="auto"/>
        </w:rPr>
      </w:pPr>
    </w:p>
    <w:p>
      <w:pPr>
        <w:ind w:left="340" w:right="80" w:hanging="332"/>
        <w:spacing w:after="0" w:line="295"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2025, the Board authorized the Share Repurchase Program covering up to $400.0 million of common stock. During the second quarter of 2025, we repurchased 1,095,667 shares of our common stock under the Share Repurchase Program at a weighted average price of $40.37 per common share for a total cost of $44.2 million, excluding accrued excise tax of $0.4 million.</w:t>
      </w:r>
    </w:p>
    <w:p>
      <w:pPr>
        <w:spacing w:after="0" w:line="226" w:lineRule="exact"/>
        <w:rPr>
          <w:sz w:val="20"/>
          <w:szCs w:val="20"/>
          <w:color w:val="auto"/>
        </w:rPr>
      </w:pPr>
    </w:p>
    <w:p>
      <w:pPr>
        <w:jc w:val="right"/>
        <w:ind w:right="92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jc w:val="right"/>
        <w:ind w:right="9240"/>
        <w:spacing w:after="0"/>
        <w:rPr>
          <w:sz w:val="20"/>
          <w:szCs w:val="20"/>
          <w:color w:val="auto"/>
        </w:rPr>
      </w:pPr>
      <w:r>
        <w:rPr>
          <w:rFonts w:ascii="Times New Roman" w:cs="Times New Roman" w:eastAsia="Times New Roman" w:hAnsi="Times New Roman"/>
          <w:sz w:val="18"/>
          <w:szCs w:val="18"/>
          <w:i w:val="1"/>
          <w:iCs w:val="1"/>
          <w:u w:val="single" w:color="auto"/>
          <w:color w:val="auto"/>
        </w:rPr>
        <w:t>Insider Trading Plans</w:t>
      </w:r>
    </w:p>
    <w:p>
      <w:pPr>
        <w:spacing w:after="0" w:line="11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940" w:type="dxa"/>
            <w:vAlign w:val="bottom"/>
            <w:gridSpan w:val="18"/>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94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560" w:type="dxa"/>
            <w:vAlign w:val="bottom"/>
            <w:tcBorders>
              <w:top w:val="single" w:sz="8" w:color="auto"/>
              <w:bottom w:val="single" w:sz="8" w:color="0000FF"/>
            </w:tcBorders>
            <w:gridSpan w:val="11"/>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Securities Purchase Agreement, dated June 12, 2024, by and among MRC Toro, LLC, MRC Energy Company (solely for the limited</w:t>
              </w:r>
            </w:hyperlink>
          </w:p>
        </w:tc>
        <w:tc>
          <w:tcPr>
            <w:tcW w:w="660" w:type="dxa"/>
            <w:vAlign w:val="bottom"/>
            <w:tcBorders>
              <w:top w:val="single" w:sz="8" w:color="auto"/>
            </w:tcBorders>
            <w:gridSpan w:val="13"/>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gridSpan w:val="24"/>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purposes stated therein), Ameredev II Parent, LLC, Ameredev Intermediate II, LLC and Ameredev Stateline II, LLC (incorporated by</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reference to Exhibit 2.1 to the Current Report on Form 8-K filed on June 12, 2024).</w:t>
              </w:r>
            </w:hyperlink>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4"/>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Amendment No. 1 to Securities Purchase Agreement, dated August 29, 2024, by and among MRC Toro, LLC, Ameredev II Parent, LLC,</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gridSpan w:val="24"/>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Ameredev Intermediate II, LLC and Ameredev Stateline II, LLC (incorporated by reference to Exhibit 2.3 to the Quarterly Report on Form</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10-Q for the quarter ended September 30, 2024).</w:t>
              </w:r>
            </w:hyperlink>
          </w:p>
        </w:tc>
        <w:tc>
          <w:tcPr>
            <w:tcW w:w="6560" w:type="dxa"/>
            <w:vAlign w:val="bottom"/>
            <w:tcBorders>
              <w:top w:val="single" w:sz="8" w:color="0000FF"/>
            </w:tcBorders>
            <w:gridSpan w:val="17"/>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4"/>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Amendment No. 2 to Securities Purchase Agreement, dated February 14, 2025, by and among MRC Toro, LLC, Ameredev II Parent, LLC</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and Ameredev Intermediate II, LLC (incorporated by reference to Exhibit 2.6 to the Annual Report on Form 10-K for the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December 31, 2024).</w:t>
              </w:r>
            </w:hyperlink>
          </w:p>
        </w:tc>
        <w:tc>
          <w:tcPr>
            <w:tcW w:w="1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4"/>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Certificate of Formation of Matador Resources Company (incorporated by reference to Exhibit 3.2 to the Quarterly</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Report on Form 10-Q for the quarter ended June 30, 2017).</w:t>
              </w:r>
            </w:hyperlink>
          </w:p>
        </w:tc>
        <w:tc>
          <w:tcPr>
            <w:tcW w:w="57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4"/>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Certificate of Amendment to the Amended and Restated Certificate of Formation of Matador Resources Company dated April 2, 2015</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(incorporated by reference to Exhibit 3.3 to the Quarterly Report on Form 10-Q for the quarter ended June 30, 2017).</w:t>
              </w:r>
            </w:hyperlink>
          </w:p>
        </w:tc>
        <w:tc>
          <w:tcPr>
            <w:tcW w:w="1240" w:type="dxa"/>
            <w:vAlign w:val="bottom"/>
            <w:tcBorders>
              <w:top w:val="single" w:sz="8" w:color="0000FF"/>
            </w:tcBorders>
            <w:gridSpan w:val="6"/>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4"/>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Certificate of Amendment to the Amended and Restated Certificate of Formation of Matador Resources Company effective June 2, 2017</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(incorporated by reference to Exhibit 3.4 to the Quarterly Report on Form 10-Q for the quarter ended June 30, 2017).</w:t>
              </w:r>
            </w:hyperlink>
          </w:p>
        </w:tc>
        <w:tc>
          <w:tcPr>
            <w:tcW w:w="144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4"/>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Amended and Restated Bylaws of Matador Resources Company, as amended (incorporated by reference to Exhibit 3.1 to the Current Report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on Form 8-K filed on February 22, 2018).</w:t>
              </w:r>
            </w:hyperlink>
          </w:p>
        </w:tc>
        <w:tc>
          <w:tcPr>
            <w:tcW w:w="7100" w:type="dxa"/>
            <w:vAlign w:val="bottom"/>
            <w:tcBorders>
              <w:top w:val="single" w:sz="8" w:color="0000FF"/>
            </w:tcBorders>
            <w:gridSpan w:val="19"/>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24"/>
                <w:szCs w:val="24"/>
                <w:color w:val="auto"/>
              </w:rPr>
            </w:pPr>
          </w:p>
        </w:tc>
        <w:tc>
          <w:tcPr>
            <w:tcW w:w="10220" w:type="dxa"/>
            <w:vAlign w:val="bottom"/>
            <w:gridSpan w:val="24"/>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Form of Employment Agreement between Matador Resources Company and each of Christopher P. Calvert, W. Thomas Elsener, Bryan A.</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Erman, William D. Lambert and Glenn W. Stetson (incorporated by reference to Exhibit 10.2 to the Quarterly Report on Form 10-Q for the</w:t>
              </w:r>
            </w:hyperlink>
          </w:p>
        </w:tc>
        <w:tc>
          <w:tcPr>
            <w:tcW w:w="40" w:type="dxa"/>
            <w:vAlign w:val="bottom"/>
            <w:tcBorders>
              <w:bottom w:val="single" w:sz="8" w:color="0000FF"/>
            </w:tcBorders>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gridSpan w:val="21"/>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quarter ended March 31, 2024)</w:t>
              </w:r>
              <w:r>
                <w:rPr>
                  <w:rFonts w:ascii="Times New Roman" w:cs="Times New Roman" w:eastAsia="Times New Roman" w:hAnsi="Times New Roman"/>
                  <w:sz w:val="18"/>
                  <w:szCs w:val="18"/>
                  <w:color w:val="000000"/>
                </w:rPr>
                <w:t>.</w:t>
              </w:r>
            </w:hyperlink>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 (filed herewith).</w:t>
            </w:r>
          </w:p>
        </w:tc>
        <w:tc>
          <w:tcPr>
            <w:tcW w:w="156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 (filed herewith).</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180" w:type="dxa"/>
            <w:vAlign w:val="bottom"/>
            <w:gridSpan w:val="6"/>
            <w:shd w:val="clear" w:color="auto" w:fill="0000FF"/>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Act of 2002 (furnished herewith).</w:t>
            </w:r>
          </w:p>
        </w:tc>
        <w:tc>
          <w:tcPr>
            <w:tcW w:w="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7520" w:type="dxa"/>
            <w:vAlign w:val="bottom"/>
            <w:gridSpan w:val="13"/>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Act of 2002 (furnished herewith).</w:t>
            </w:r>
          </w:p>
        </w:tc>
        <w:tc>
          <w:tcPr>
            <w:tcW w:w="2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20" w:right="200" w:hanging="648"/>
        <w:spacing w:after="0" w:line="22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Matador Resources Company’s Quarterly Report on Form 10-Q for the quarter ended June 30, 2025, formatted in Inline XBRL (Inline eXtensible Business Reporting Language): (i) the Condensed Consolidated Balance Sheets - Unaudited, (ii) the Condensed Consolidated Statements of Income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64" w:lineRule="exact"/>
        <w:rPr>
          <w:sz w:val="20"/>
          <w:szCs w:val="20"/>
          <w:color w:val="auto"/>
        </w:rPr>
      </w:pPr>
    </w:p>
    <w:p>
      <w:pPr>
        <w:ind w:left="1020" w:hanging="648"/>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(included as Exhibit 101).</w:t>
      </w:r>
    </w:p>
    <w:p>
      <w:pPr>
        <w:spacing w:after="0" w:line="76"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77" w:lineRule="exact"/>
        <w:rPr>
          <w:sz w:val="20"/>
          <w:szCs w:val="20"/>
          <w:color w:val="auto"/>
        </w:rPr>
      </w:pPr>
    </w:p>
    <w:p>
      <w:pPr>
        <w:ind w:left="1020" w:right="200" w:hanging="625"/>
        <w:spacing w:after="0" w:line="22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MATADOR RESOURCES COMPANY</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2025</w:t>
            </w:r>
          </w:p>
        </w:tc>
        <w:tc>
          <w:tcPr>
            <w:tcW w:w="1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234"/>
        </w:trPr>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35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2025</w:t>
            </w:r>
          </w:p>
        </w:tc>
        <w:tc>
          <w:tcPr>
            <w:tcW w:w="1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D. Lambert</w:t>
            </w:r>
          </w:p>
        </w:tc>
      </w:tr>
      <w:tr>
        <w:trPr>
          <w:trHeight w:val="218"/>
        </w:trPr>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D. Lambert</w:t>
            </w:r>
          </w:p>
        </w:tc>
      </w:tr>
      <w:tr>
        <w:trPr>
          <w:trHeight w:val="234"/>
        </w:trPr>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Head of Strategy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92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July 25, 2025</w:t>
            </w: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8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800" w:type="dxa"/>
            <w:vAlign w:val="bottom"/>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8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D. Lambert, certify that:</w:t>
      </w:r>
    </w:p>
    <w:p>
      <w:pPr>
        <w:spacing w:after="0" w:line="171" w:lineRule="exact"/>
        <w:rPr>
          <w:sz w:val="20"/>
          <w:szCs w:val="20"/>
          <w:color w:val="auto"/>
        </w:rPr>
      </w:pPr>
    </w:p>
    <w:p>
      <w:pPr>
        <w:ind w:left="640" w:hanging="187"/>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July 25, 2025</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D. Lambert</w:t>
            </w:r>
          </w:p>
        </w:tc>
      </w:tr>
      <w:tr>
        <w:trPr>
          <w:trHeight w:val="218"/>
        </w:trPr>
        <w:tc>
          <w:tcPr>
            <w:tcW w:w="47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D. Lambert</w:t>
            </w:r>
          </w:p>
        </w:tc>
      </w:tr>
      <w:tr>
        <w:trPr>
          <w:trHeight w:val="180"/>
        </w:trPr>
        <w:tc>
          <w:tcPr>
            <w:tcW w:w="4780" w:type="dxa"/>
            <w:vAlign w:val="bottom"/>
          </w:tcPr>
          <w:p>
            <w:pPr>
              <w:spacing w:after="0"/>
              <w:rPr>
                <w:sz w:val="15"/>
                <w:szCs w:val="15"/>
                <w:color w:val="auto"/>
              </w:rPr>
            </w:pP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Head of</w:t>
            </w:r>
          </w:p>
        </w:tc>
      </w:tr>
      <w:tr>
        <w:trPr>
          <w:trHeight w:val="184"/>
        </w:trPr>
        <w:tc>
          <w:tcPr>
            <w:tcW w:w="4780" w:type="dxa"/>
            <w:vAlign w:val="bottom"/>
          </w:tcPr>
          <w:p>
            <w:pPr>
              <w:spacing w:after="0"/>
              <w:rPr>
                <w:sz w:val="16"/>
                <w:szCs w:val="16"/>
                <w:color w:val="auto"/>
              </w:rPr>
            </w:pPr>
          </w:p>
        </w:tc>
        <w:tc>
          <w:tcPr>
            <w:tcW w:w="49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Strategy</w:t>
            </w:r>
          </w:p>
        </w:tc>
      </w:tr>
      <w:tr>
        <w:trPr>
          <w:trHeight w:val="234"/>
        </w:trPr>
        <w:tc>
          <w:tcPr>
            <w:tcW w:w="478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jc w:val="both"/>
        <w:ind w:right="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June 30, 2025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July 25, 2025</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5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520" w:type="dxa"/>
            <w:vAlign w:val="bottom"/>
          </w:tcPr>
          <w:p>
            <w:pPr>
              <w:spacing w:after="0"/>
              <w:rPr>
                <w:sz w:val="15"/>
                <w:szCs w:val="15"/>
                <w:color w:val="auto"/>
              </w:rPr>
            </w:pPr>
          </w:p>
        </w:tc>
        <w:tc>
          <w:tcPr>
            <w:tcW w:w="3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5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June 30, 2025 as filed with the Securities and Exchange Commission on the date hereof (the “Form 10-Q”), I, William D. Lambert, hereby certify in my capacity as Executive Vice President, Chief Financial Officer and Head of Strategy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July 25, 2025</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William D. Lambert</w:t>
            </w:r>
          </w:p>
        </w:tc>
      </w:tr>
      <w:tr>
        <w:trPr>
          <w:trHeight w:val="218"/>
        </w:trPr>
        <w:tc>
          <w:tcPr>
            <w:tcW w:w="4500" w:type="dxa"/>
            <w:vAlign w:val="bottom"/>
          </w:tcPr>
          <w:p>
            <w:pPr>
              <w:spacing w:after="0"/>
              <w:rPr>
                <w:sz w:val="18"/>
                <w:szCs w:val="18"/>
                <w:color w:val="auto"/>
              </w:rPr>
            </w:pP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D. Lambert</w:t>
            </w:r>
          </w:p>
        </w:tc>
        <w:tc>
          <w:tcPr>
            <w:tcW w:w="100" w:type="dxa"/>
            <w:vAlign w:val="bottom"/>
          </w:tcPr>
          <w:p>
            <w:pPr>
              <w:spacing w:after="0"/>
              <w:rPr>
                <w:sz w:val="18"/>
                <w:szCs w:val="18"/>
                <w:color w:val="auto"/>
              </w:rPr>
            </w:pPr>
          </w:p>
        </w:tc>
      </w:tr>
      <w:tr>
        <w:trPr>
          <w:trHeight w:val="180"/>
        </w:trPr>
        <w:tc>
          <w:tcPr>
            <w:tcW w:w="4500" w:type="dxa"/>
            <w:vAlign w:val="bottom"/>
          </w:tcPr>
          <w:p>
            <w:pPr>
              <w:spacing w:after="0"/>
              <w:rPr>
                <w:sz w:val="15"/>
                <w:szCs w:val="15"/>
                <w:color w:val="auto"/>
              </w:rPr>
            </w:pPr>
          </w:p>
        </w:tc>
        <w:tc>
          <w:tcPr>
            <w:tcW w:w="4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Executive Vice President, Chief Financial Officer and Head of</w:t>
            </w:r>
          </w:p>
        </w:tc>
      </w:tr>
      <w:tr>
        <w:trPr>
          <w:trHeight w:val="184"/>
        </w:trPr>
        <w:tc>
          <w:tcPr>
            <w:tcW w:w="4500" w:type="dxa"/>
            <w:vAlign w:val="bottom"/>
          </w:tcPr>
          <w:p>
            <w:pPr>
              <w:spacing w:after="0"/>
              <w:rPr>
                <w:sz w:val="16"/>
                <w:szCs w:val="16"/>
                <w:color w:val="auto"/>
              </w:rPr>
            </w:pPr>
          </w:p>
        </w:tc>
        <w:tc>
          <w:tcPr>
            <w:tcW w:w="45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Strategy</w:t>
            </w:r>
          </w:p>
        </w:tc>
      </w:tr>
      <w:tr>
        <w:trPr>
          <w:trHeight w:val="234"/>
        </w:trPr>
        <w:tc>
          <w:tcPr>
            <w:tcW w:w="4500" w:type="dxa"/>
            <w:vAlign w:val="bottom"/>
          </w:tcPr>
          <w:p>
            <w:pPr>
              <w:spacing w:after="0"/>
              <w:rPr>
                <w:sz w:val="20"/>
                <w:szCs w:val="20"/>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lowerRoman"/>
      <w:start w:val="2"/>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01"/>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3" Type="http://schemas.openxmlformats.org/officeDocument/2006/relationships/image" Target="media/image48.png"/><Relationship Id="rId55" Type="http://schemas.openxmlformats.org/officeDocument/2006/relationships/hyperlink" Target="https://www.sec.gov/Archives/edgar/data/1520006/000110465924070829/tm2417025d1_ex2-1.htm" TargetMode="External"/><Relationship Id="rId56" Type="http://schemas.openxmlformats.org/officeDocument/2006/relationships/hyperlink" Target="https://www.sec.gov/Archives/edgar/data/1520006/000152000624000209/a20240930mtdr10qex23.htm" TargetMode="External"/><Relationship Id="rId57" Type="http://schemas.openxmlformats.org/officeDocument/2006/relationships/hyperlink" Target="https://www.sec.gov/Archives/edgar/data/1520006/000152000625000066/a20241231mtdr10kex26.htm" TargetMode="External"/><Relationship Id="rId58" Type="http://schemas.openxmlformats.org/officeDocument/2006/relationships/hyperlink" Target="https://www.sec.gov/Archives/edgar/data/1520006/000152000617000188/a20170630mtdr10q-exhibit32.htm" TargetMode="External"/><Relationship Id="rId59" Type="http://schemas.openxmlformats.org/officeDocument/2006/relationships/hyperlink" Target="https://www.sec.gov/Archives/edgar/data/1520006/000152000617000188/a20170630mtdr10q-exhibit33.htm" TargetMode="External"/><Relationship Id="rId60" Type="http://schemas.openxmlformats.org/officeDocument/2006/relationships/hyperlink" Target="https://www.sec.gov/Archives/edgar/data/1520006/000152000617000188/a20170630mtdr10q-exhibit34.htm" TargetMode="External"/><Relationship Id="rId61" Type="http://schemas.openxmlformats.org/officeDocument/2006/relationships/hyperlink" Target="https://www.sec.gov/Archives/edgar/data/1520006/000152000618000051/a20171231mtdr8k-amendedbyl.htm" TargetMode="External"/><Relationship Id="rId62" Type="http://schemas.openxmlformats.org/officeDocument/2006/relationships/hyperlink" Target="https://www.sec.gov/Archives/edgar/data/1520006/000152000624000105/a20240331mtdr10q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2025-07-25T16:00:21Z</dcterms:created>
  <dcterms:modified xsi:type="dcterms:W3CDTF">2025-07-25T16:00:21Z</dcterms:modified>
</cp:coreProperties>
</file>