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rPr/>
      </w:pPr>
      <w:r>
        <w:rPr/>
      </w:r>
    </w:p>
    <w:p>
      <w:pPr>
        <w:pStyle w:val="TextBody"/>
        <w:spacing w:lineRule="auto" w:line="288" w:before="0" w:after="0"/>
        <w:jc w:val="center"/>
        <w:rPr>
          <w:color w:val="000000"/>
        </w:rPr>
      </w:pPr>
      <w:r>
        <w:rPr>
          <w:color w:val="000000"/>
        </w:rPr>
        <w:t> </w:t>
      </w:r>
    </w:p>
    <w:p>
      <w:pPr>
        <w:pStyle w:val="TextBody"/>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spacing w:lineRule="auto" w:line="288" w:before="40" w:after="283"/>
        <w:jc w:val="center"/>
        <w:rPr>
          <w:color w:val="000000"/>
        </w:rPr>
      </w:pPr>
      <w:r>
        <w:rPr>
          <w:color w:val="000000"/>
        </w:rPr>
        <w:t> </w:t>
      </w:r>
    </w:p>
    <w:p>
      <w:pPr>
        <w:pStyle w:val="TextBody"/>
        <w:spacing w:lineRule="auto" w:line="288" w:before="40" w:after="283"/>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2021 </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001-35410</w:t>
      </w:r>
    </w:p>
    <w:p>
      <w:pPr>
        <w:pStyle w:val="TextBody"/>
        <w:spacing w:before="0" w:after="0"/>
        <w:rPr/>
      </w:pPr>
      <w:r>
        <w:rPr/>
      </w:r>
    </w:p>
    <w:p>
      <w:pPr>
        <w:pStyle w:val="TextBody"/>
        <w:spacing w:lineRule="auto" w:line="288" w:before="4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jc w:val="center"/>
        <w:rPr/>
      </w:pPr>
      <w:r>
        <w:rPr/>
      </w:r>
    </w:p>
    <w:tbl>
      <w:tblPr>
        <w:tblW w:w="5057" w:type="dxa"/>
        <w:jc w:val="center"/>
        <w:tblInd w:w="0" w:type="dxa"/>
        <w:tblCellMar>
          <w:top w:w="28" w:type="dxa"/>
          <w:left w:w="28" w:type="dxa"/>
          <w:bottom w:w="28" w:type="dxa"/>
          <w:right w:w="28" w:type="dxa"/>
        </w:tblCellMar>
      </w:tblPr>
      <w:tblGrid>
        <w:gridCol w:w="124"/>
        <w:gridCol w:w="109"/>
        <w:gridCol w:w="109"/>
        <w:gridCol w:w="296"/>
        <w:gridCol w:w="296"/>
        <w:gridCol w:w="296"/>
        <w:gridCol w:w="296"/>
        <w:gridCol w:w="296"/>
        <w:gridCol w:w="296"/>
        <w:gridCol w:w="372"/>
        <w:gridCol w:w="372"/>
        <w:gridCol w:w="384"/>
        <w:gridCol w:w="109"/>
        <w:gridCol w:w="109"/>
        <w:gridCol w:w="109"/>
        <w:gridCol w:w="433"/>
        <w:gridCol w:w="433"/>
        <w:gridCol w:w="6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8"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5400 LBJ Freeway, </w:t>
            </w:r>
          </w:p>
        </w:tc>
        <w:tc>
          <w:tcPr>
            <w:tcW w:w="1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1500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Dallas, </w:t>
            </w:r>
          </w:p>
        </w:tc>
        <w:tc>
          <w:tcPr>
            <w:tcW w:w="20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before="0" w:after="0"/>
        <w:jc w:val="center"/>
        <w:rPr/>
      </w:pPr>
      <w:r>
        <w:rPr/>
      </w:r>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pPr>
      <w:r>
        <w:rPr>
          <w:rFonts w:ascii="Times New Roman;sans-serif" w:hAnsi="Times New Roman;sans-serif"/>
          <w:b w:val="false"/>
          <w:color w:val="000000"/>
          <w:sz w:val="18"/>
        </w:rPr>
        <w:t>_________________________________________________________</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jc w:val="center"/>
        <w:rPr/>
      </w:pPr>
      <w:r>
        <w:rPr/>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spacing w:lineRule="auto" w:line="288" w:before="40" w:after="283"/>
        <w:jc w:val="center"/>
        <w:rPr>
          <w:color w:val="000000"/>
        </w:rPr>
      </w:pPr>
      <w:r>
        <w:rPr>
          <w:color w:val="000000"/>
        </w:rPr>
        <w:t> </w:t>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spacing w:lineRule="auto" w:line="288" w:before="0" w:after="0"/>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  </w:t>
      </w:r>
      <w:r>
        <w:rPr>
          <w:color w:val="000000"/>
        </w:rPr>
        <w:t>☐</w:t>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spacing w:lineRule="auto" w:line="288" w:before="0" w:after="0"/>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40" w:after="283"/>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4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40" w:after="283"/>
        <w:rPr/>
      </w:pPr>
      <w:r>
        <w:rPr/>
      </w:r>
    </w:p>
    <w:tbl>
      <w:tblPr>
        <w:tblW w:w="5910"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40" w:after="283"/>
        <w:rPr/>
      </w:pPr>
      <w:r>
        <w:rPr/>
      </w:r>
    </w:p>
    <w:p>
      <w:pPr>
        <w:pStyle w:val="TextBody"/>
        <w:spacing w:lineRule="auto" w:line="288" w:before="40" w:after="283"/>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before="40" w:after="283"/>
        <w:rPr/>
      </w:pPr>
      <w:r>
        <w:rPr/>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w:t>
      </w:r>
    </w:p>
    <w:p>
      <w:pPr>
        <w:pStyle w:val="TextBody"/>
        <w:spacing w:lineRule="auto" w:line="288" w:before="0" w:after="0"/>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spacing w:before="0" w:after="0"/>
        <w:rPr/>
      </w:pPr>
      <w:r>
        <w:rPr/>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$3,979,787,498.</w:t>
      </w:r>
    </w:p>
    <w:p>
      <w:pPr>
        <w:pStyle w:val="TextBody"/>
        <w:spacing w:before="40" w:after="283"/>
        <w:ind w:left="0" w:right="0" w:firstLine="360"/>
        <w:rPr/>
      </w:pPr>
      <w:r>
        <w:rPr/>
      </w:r>
    </w:p>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As of February 22, 2022, there were 118,043,776 shares of common stock outstanding.</w:t>
      </w:r>
    </w:p>
    <w:tbl>
      <w:tblPr>
        <w:tblW w:w="4590" w:type="dxa"/>
        <w:jc w:val="center"/>
        <w:tblInd w:w="0" w:type="dxa"/>
        <w:tblCellMar>
          <w:top w:w="28" w:type="dxa"/>
          <w:left w:w="28" w:type="dxa"/>
          <w:bottom w:w="28" w:type="dxa"/>
          <w:right w:w="28" w:type="dxa"/>
        </w:tblCellMar>
      </w:tblPr>
      <w:tblGrid>
        <w:gridCol w:w="1468"/>
        <w:gridCol w:w="1292"/>
        <w:gridCol w:w="1830"/>
      </w:tblGrid>
      <w:tr>
        <w:trPr/>
        <w:tc>
          <w:tcPr>
            <w:tcW w:w="1468"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tc>
      </w:tr>
    </w:tbl>
    <w:p>
      <w:pPr>
        <w:pStyle w:val="TextBody"/>
        <w:spacing w:lineRule="auto" w:line="288" w:before="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Part III of this Annual Report on Form 10-K, to the extent not set forth herein, is incorporated by reference to the registrant’s definitive proxy statement relating to the 2022 Annual Meeting of Shareholders, which will be filed with the Securities and Exchange Commission within 120 days after the end of the fiscal year to which this Annual Report on Form 10-K relates. </w:t>
      </w:r>
    </w:p>
    <w:tbl>
      <w:tblPr>
        <w:tblW w:w="6645" w:type="dxa"/>
        <w:jc w:val="left"/>
        <w:tblInd w:w="0" w:type="dxa"/>
        <w:tblCellMar>
          <w:top w:w="28" w:type="dxa"/>
          <w:left w:w="28" w:type="dxa"/>
          <w:bottom w:w="28" w:type="dxa"/>
          <w:right w:w="28" w:type="dxa"/>
        </w:tblCellMar>
      </w:tblPr>
      <w:tblGrid>
        <w:gridCol w:w="837"/>
        <w:gridCol w:w="735"/>
        <w:gridCol w:w="738"/>
        <w:gridCol w:w="824"/>
        <w:gridCol w:w="824"/>
        <w:gridCol w:w="827"/>
        <w:gridCol w:w="543"/>
        <w:gridCol w:w="543"/>
        <w:gridCol w:w="77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Name: KPMG LLP</w:t>
            </w:r>
          </w:p>
        </w:tc>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Location: Dallas, TX</w:t>
            </w:r>
          </w:p>
        </w:tc>
        <w:tc>
          <w:tcPr>
            <w:tcW w:w="186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Firm ID: 185</w:t>
            </w:r>
          </w:p>
        </w:tc>
      </w:tr>
    </w:tbl>
    <w:p>
      <w:pPr>
        <w:pStyle w:val="TextBody"/>
        <w:spacing w:before="40" w:after="283"/>
        <w:rPr/>
      </w:pPr>
      <w:r>
        <w:rPr/>
      </w:r>
    </w:p>
    <w:p>
      <w:pPr>
        <w:pStyle w:val="TextBody"/>
        <w:spacing w:before="40" w:after="283"/>
        <w:rPr/>
      </w:pPr>
      <w:r>
        <w:rPr/>
      </w:r>
    </w:p>
    <w:p>
      <w:pPr>
        <w:pStyle w:val="TextBody"/>
        <w:spacing w:before="40" w:after="283"/>
        <w:rPr/>
      </w:pPr>
      <w:r>
        <w:rPr/>
      </w:r>
    </w:p>
    <w:p>
      <w:pPr>
        <w:pStyle w:val="TextBody"/>
        <w:spacing w:before="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9225" w:type="dxa"/>
        <w:jc w:val="left"/>
        <w:tblInd w:w="0" w:type="dxa"/>
        <w:tblCellMar>
          <w:top w:w="28" w:type="dxa"/>
          <w:left w:w="28" w:type="dxa"/>
          <w:bottom w:w="28" w:type="dxa"/>
          <w:right w:w="28" w:type="dxa"/>
        </w:tblCellMar>
      </w:tblPr>
      <w:tblGrid>
        <w:gridCol w:w="321"/>
        <w:gridCol w:w="281"/>
        <w:gridCol w:w="283"/>
        <w:gridCol w:w="2603"/>
        <w:gridCol w:w="2603"/>
        <w:gridCol w:w="2623"/>
        <w:gridCol w:w="149"/>
        <w:gridCol w:w="149"/>
        <w:gridCol w:w="213"/>
      </w:tblGrid>
      <w:tr>
        <w:trPr/>
        <w:tc>
          <w:tcPr>
            <w:tcW w:w="32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26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7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6">
              <w:r>
                <w:rPr>
                  <w:rStyle w:val="InternetLink"/>
                  <w:rFonts w:ascii="Times New Roman;sans-serif" w:hAnsi="Times New Roman;sans-serif"/>
                  <w:b w:val="false"/>
                  <w:color w:val="0000FF"/>
                  <w:sz w:val="16"/>
                  <w:u w:val="single"/>
                </w:rPr>
                <w:t>Business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6">
              <w:r>
                <w:rPr>
                  <w:rStyle w:val="InternetLink"/>
                  <w:rFonts w:ascii="Times New Roman;sans-serif" w:hAnsi="Times New Roman;sans-serif"/>
                  <w:b w:val="false"/>
                  <w:color w:val="0000FF"/>
                  <w:sz w:val="20"/>
                  <w:u w:val="single"/>
                </w:rPr>
                <w:t>2</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22">
              <w:r>
                <w:rPr>
                  <w:rStyle w:val="InternetLink"/>
                  <w:rFonts w:ascii="Times New Roman;sans-serif" w:hAnsi="Times New Roman;sans-serif"/>
                  <w:b w:val="false"/>
                  <w:color w:val="0000FF"/>
                  <w:sz w:val="16"/>
                  <w:u w:val="single"/>
                </w:rPr>
                <w:t xml:space="preserve">Risk Factors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22">
              <w:r>
                <w:rPr>
                  <w:rStyle w:val="InternetLink"/>
                  <w:rFonts w:ascii="Times New Roman;sans-serif" w:hAnsi="Times New Roman;sans-serif"/>
                  <w:b w:val="false"/>
                  <w:color w:val="0000FF"/>
                  <w:sz w:val="20"/>
                  <w:u w:val="single"/>
                </w:rPr>
                <w:t>34</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1B.</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25">
              <w:r>
                <w:rPr>
                  <w:rStyle w:val="InternetLink"/>
                  <w:rFonts w:ascii="Times New Roman;sans-serif" w:hAnsi="Times New Roman;sans-serif"/>
                  <w:b w:val="false"/>
                  <w:color w:val="0000FF"/>
                  <w:sz w:val="16"/>
                  <w:u w:val="single"/>
                </w:rPr>
                <w:t>Unresolved Staff Comments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25">
              <w:r>
                <w:rPr>
                  <w:rStyle w:val="InternetLink"/>
                  <w:rFonts w:ascii="Times New Roman;sans-serif" w:hAnsi="Times New Roman;sans-serif"/>
                  <w:b w:val="false"/>
                  <w:color w:val="0000FF"/>
                  <w:sz w:val="20"/>
                  <w:u w:val="single"/>
                </w:rPr>
                <w:t>64</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28">
              <w:r>
                <w:rPr>
                  <w:rStyle w:val="InternetLink"/>
                  <w:rFonts w:ascii="Times New Roman;sans-serif" w:hAnsi="Times New Roman;sans-serif"/>
                  <w:b w:val="false"/>
                  <w:color w:val="0000FF"/>
                  <w:sz w:val="16"/>
                  <w:u w:val="single"/>
                </w:rPr>
                <w:t xml:space="preserve">Properties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28">
              <w:r>
                <w:rPr>
                  <w:rStyle w:val="InternetLink"/>
                  <w:rFonts w:ascii="Times New Roman;sans-serif" w:hAnsi="Times New Roman;sans-serif"/>
                  <w:b w:val="false"/>
                  <w:color w:val="0000FF"/>
                  <w:sz w:val="20"/>
                  <w:u w:val="single"/>
                </w:rPr>
                <w:t>65</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31">
              <w:r>
                <w:rPr>
                  <w:rStyle w:val="InternetLink"/>
                  <w:rFonts w:ascii="Times New Roman;sans-serif" w:hAnsi="Times New Roman;sans-serif"/>
                  <w:b w:val="false"/>
                  <w:color w:val="0000FF"/>
                  <w:sz w:val="16"/>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31">
              <w:r>
                <w:rPr>
                  <w:rStyle w:val="InternetLink"/>
                  <w:rFonts w:ascii="Times New Roman;sans-serif" w:hAnsi="Times New Roman;sans-serif"/>
                  <w:b w:val="false"/>
                  <w:color w:val="0000FF"/>
                  <w:sz w:val="20"/>
                  <w:u w:val="single"/>
                </w:rPr>
                <w:t>65</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34">
              <w:r>
                <w:rPr>
                  <w:rStyle w:val="InternetLink"/>
                  <w:rFonts w:ascii="Times New Roman;sans-serif" w:hAnsi="Times New Roman;sans-serif"/>
                  <w:b w:val="false"/>
                  <w:color w:val="0000FF"/>
                  <w:sz w:val="16"/>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34">
              <w:r>
                <w:rPr>
                  <w:rStyle w:val="InternetLink"/>
                  <w:rFonts w:ascii="Times New Roman;sans-serif" w:hAnsi="Times New Roman;sans-serif"/>
                  <w:b w:val="false"/>
                  <w:color w:val="0000FF"/>
                  <w:sz w:val="20"/>
                  <w:u w:val="single"/>
                </w:rPr>
                <w:t>65</w:t>
              </w:r>
            </w:hyperlink>
          </w:p>
        </w:tc>
      </w:tr>
      <w:tr>
        <w:trPr/>
        <w:tc>
          <w:tcPr>
            <w:tcW w:w="8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5.</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40">
              <w:r>
                <w:rPr>
                  <w:rStyle w:val="InternetLink"/>
                  <w:rFonts w:ascii="Times New Roman;sans-serif" w:hAnsi="Times New Roman;sans-serif"/>
                  <w:b w:val="false"/>
                  <w:color w:val="0000FF"/>
                  <w:sz w:val="16"/>
                  <w:u w:val="single"/>
                </w:rPr>
                <w:t>Market for Registrant’s Common Equity, Related Stockholder Matters and Issuer Purchases of Equity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40">
              <w:r>
                <w:rPr>
                  <w:rStyle w:val="InternetLink"/>
                  <w:rFonts w:ascii="Times New Roman;sans-serif" w:hAnsi="Times New Roman;sans-serif"/>
                  <w:b w:val="false"/>
                  <w:color w:val="0000FF"/>
                  <w:sz w:val="20"/>
                  <w:u w:val="single"/>
                </w:rPr>
                <w:t>66</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6.</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43">
              <w:r>
                <w:rPr>
                  <w:rStyle w:val="InternetLink"/>
                  <w:rFonts w:ascii="Times New Roman;sans-serif" w:hAnsi="Times New Roman;sans-serif"/>
                  <w:b w:val="false"/>
                  <w:color w:val="0000FF"/>
                  <w:sz w:val="16"/>
                  <w:u w:val="single"/>
                </w:rPr>
                <w:t>Selected Financial Data</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43">
              <w:r>
                <w:rPr>
                  <w:rStyle w:val="InternetLink"/>
                  <w:rFonts w:ascii="Times New Roman;sans-serif" w:hAnsi="Times New Roman;sans-serif"/>
                  <w:b w:val="false"/>
                  <w:color w:val="0000FF"/>
                  <w:sz w:val="20"/>
                  <w:u w:val="single"/>
                </w:rPr>
                <w:t>69</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7.</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49">
              <w:r>
                <w:rPr>
                  <w:rStyle w:val="InternetLink"/>
                  <w:rFonts w:ascii="Times New Roman;sans-serif" w:hAnsi="Times New Roman;sans-serif"/>
                  <w:b w:val="false"/>
                  <w:color w:val="0000FF"/>
                  <w:sz w:val="16"/>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49">
              <w:r>
                <w:rPr>
                  <w:rStyle w:val="InternetLink"/>
                  <w:rFonts w:ascii="Times New Roman;sans-serif" w:hAnsi="Times New Roman;sans-serif"/>
                  <w:b w:val="false"/>
                  <w:color w:val="0000FF"/>
                  <w:sz w:val="20"/>
                  <w:u w:val="single"/>
                </w:rPr>
                <w:t>69</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7A.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73">
              <w:r>
                <w:rPr>
                  <w:rStyle w:val="InternetLink"/>
                  <w:rFonts w:ascii="Times New Roman;sans-serif" w:hAnsi="Times New Roman;sans-serif"/>
                  <w:b w:val="false"/>
                  <w:color w:val="0000FF"/>
                  <w:sz w:val="16"/>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73">
              <w:r>
                <w:rPr>
                  <w:rStyle w:val="InternetLink"/>
                  <w:rFonts w:ascii="Times New Roman;sans-serif" w:hAnsi="Times New Roman;sans-serif"/>
                  <w:b w:val="false"/>
                  <w:color w:val="0000FF"/>
                  <w:sz w:val="20"/>
                  <w:u w:val="single"/>
                </w:rPr>
                <w:t>88</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8.</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76">
              <w:r>
                <w:rPr>
                  <w:rStyle w:val="InternetLink"/>
                  <w:rFonts w:ascii="Times New Roman;sans-serif" w:hAnsi="Times New Roman;sans-serif"/>
                  <w:b w:val="false"/>
                  <w:color w:val="0000FF"/>
                  <w:sz w:val="16"/>
                  <w:u w:val="single"/>
                </w:rPr>
                <w:t>Financial Statements and Supplementary Data</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76">
              <w:r>
                <w:rPr>
                  <w:rStyle w:val="InternetLink"/>
                  <w:rFonts w:ascii="Times New Roman;sans-serif" w:hAnsi="Times New Roman;sans-serif"/>
                  <w:b w:val="false"/>
                  <w:color w:val="0000FF"/>
                  <w:sz w:val="20"/>
                  <w:u w:val="single"/>
                </w:rPr>
                <w:t>90</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79">
              <w:r>
                <w:rPr>
                  <w:rStyle w:val="InternetLink"/>
                  <w:rFonts w:ascii="Times New Roman;sans-serif" w:hAnsi="Times New Roman;sans-serif"/>
                  <w:b w:val="false"/>
                  <w:color w:val="0000FF"/>
                  <w:sz w:val="16"/>
                  <w:u w:val="single"/>
                </w:rPr>
                <w:t>Changes in and Disagreements with Accountants on Accounting and Financial Disclosure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79">
              <w:r>
                <w:rPr>
                  <w:rStyle w:val="InternetLink"/>
                  <w:rFonts w:ascii="Times New Roman;sans-serif" w:hAnsi="Times New Roman;sans-serif"/>
                  <w:b w:val="false"/>
                  <w:color w:val="0000FF"/>
                  <w:sz w:val="20"/>
                  <w:u w:val="single"/>
                </w:rPr>
                <w:t>90</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82">
              <w:r>
                <w:rPr>
                  <w:rStyle w:val="InternetLink"/>
                  <w:rFonts w:ascii="Times New Roman;sans-serif" w:hAnsi="Times New Roman;sans-serif"/>
                  <w:b w:val="false"/>
                  <w:color w:val="0000FF"/>
                  <w:sz w:val="16"/>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82">
              <w:r>
                <w:rPr>
                  <w:rStyle w:val="InternetLink"/>
                  <w:rFonts w:ascii="Times New Roman;sans-serif" w:hAnsi="Times New Roman;sans-serif"/>
                  <w:b w:val="false"/>
                  <w:color w:val="0000FF"/>
                  <w:sz w:val="20"/>
                  <w:u w:val="single"/>
                </w:rPr>
                <w:t>90</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9B.</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85">
              <w:r>
                <w:rPr>
                  <w:rStyle w:val="InternetLink"/>
                  <w:rFonts w:ascii="Times New Roman;sans-serif" w:hAnsi="Times New Roman;sans-serif"/>
                  <w:b w:val="false"/>
                  <w:color w:val="0000FF"/>
                  <w:sz w:val="16"/>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85">
              <w:r>
                <w:rPr>
                  <w:rStyle w:val="InternetLink"/>
                  <w:rFonts w:ascii="Times New Roman;sans-serif" w:hAnsi="Times New Roman;sans-serif"/>
                  <w:b w:val="false"/>
                  <w:color w:val="0000FF"/>
                  <w:sz w:val="20"/>
                  <w:u w:val="single"/>
                </w:rPr>
                <w:t>93</w:t>
              </w:r>
            </w:hyperlink>
          </w:p>
        </w:tc>
      </w:tr>
      <w:tr>
        <w:trPr/>
        <w:tc>
          <w:tcPr>
            <w:tcW w:w="8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10.</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91">
              <w:r>
                <w:rPr>
                  <w:rStyle w:val="InternetLink"/>
                  <w:rFonts w:ascii="Times New Roman;sans-serif" w:hAnsi="Times New Roman;sans-serif"/>
                  <w:b w:val="false"/>
                  <w:color w:val="0000FF"/>
                  <w:sz w:val="16"/>
                  <w:u w:val="single"/>
                </w:rPr>
                <w:t>Directors, Executive Officers and Corporate Governance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91">
              <w:r>
                <w:rPr>
                  <w:rStyle w:val="InternetLink"/>
                  <w:rFonts w:ascii="Times New Roman;sans-serif" w:hAnsi="Times New Roman;sans-serif"/>
                  <w:b w:val="false"/>
                  <w:color w:val="0000FF"/>
                  <w:sz w:val="20"/>
                  <w:u w:val="single"/>
                </w:rPr>
                <w:t>93</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94">
              <w:r>
                <w:rPr>
                  <w:rStyle w:val="InternetLink"/>
                  <w:rFonts w:ascii="Times New Roman;sans-serif" w:hAnsi="Times New Roman;sans-serif"/>
                  <w:b w:val="false"/>
                  <w:color w:val="0000FF"/>
                  <w:sz w:val="16"/>
                  <w:u w:val="single"/>
                </w:rPr>
                <w:t>Executive Compensation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94">
              <w:r>
                <w:rPr>
                  <w:rStyle w:val="InternetLink"/>
                  <w:rFonts w:ascii="Times New Roman;sans-serif" w:hAnsi="Times New Roman;sans-serif"/>
                  <w:b w:val="false"/>
                  <w:color w:val="0000FF"/>
                  <w:sz w:val="20"/>
                  <w:u w:val="single"/>
                </w:rPr>
                <w:t>93</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97">
              <w:r>
                <w:rPr>
                  <w:rStyle w:val="InternetLink"/>
                  <w:rFonts w:ascii="Times New Roman;sans-serif" w:hAnsi="Times New Roman;sans-serif"/>
                  <w:b w:val="false"/>
                  <w:color w:val="0000FF"/>
                  <w:sz w:val="16"/>
                  <w:u w:val="single"/>
                </w:rPr>
                <w:t>Security Ownership of Certain Beneficial Owners and Management and Related Stockholder Matters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97">
              <w:r>
                <w:rPr>
                  <w:rStyle w:val="InternetLink"/>
                  <w:rFonts w:ascii="Times New Roman;sans-serif" w:hAnsi="Times New Roman;sans-serif"/>
                  <w:b w:val="false"/>
                  <w:color w:val="0000FF"/>
                  <w:sz w:val="20"/>
                  <w:u w:val="single"/>
                </w:rPr>
                <w:t>93</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00">
              <w:r>
                <w:rPr>
                  <w:rStyle w:val="InternetLink"/>
                  <w:rFonts w:ascii="Times New Roman;sans-serif" w:hAnsi="Times New Roman;sans-serif"/>
                  <w:b w:val="false"/>
                  <w:color w:val="0000FF"/>
                  <w:sz w:val="16"/>
                  <w:u w:val="single"/>
                </w:rPr>
                <w:t>Certain Relationships and Related Transactions, and Director Independence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00">
              <w:r>
                <w:rPr>
                  <w:rStyle w:val="InternetLink"/>
                  <w:rFonts w:ascii="Times New Roman;sans-serif" w:hAnsi="Times New Roman;sans-serif"/>
                  <w:b w:val="false"/>
                  <w:color w:val="0000FF"/>
                  <w:sz w:val="20"/>
                  <w:u w:val="single"/>
                </w:rPr>
                <w:t>93</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03">
              <w:r>
                <w:rPr>
                  <w:rStyle w:val="InternetLink"/>
                  <w:rFonts w:ascii="Times New Roman;sans-serif" w:hAnsi="Times New Roman;sans-serif"/>
                  <w:b w:val="false"/>
                  <w:color w:val="0000FF"/>
                  <w:sz w:val="16"/>
                  <w:u w:val="single"/>
                </w:rPr>
                <w:t>Principal Accounting Fees and Services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03">
              <w:r>
                <w:rPr>
                  <w:rStyle w:val="InternetLink"/>
                  <w:rFonts w:ascii="Times New Roman;sans-serif" w:hAnsi="Times New Roman;sans-serif"/>
                  <w:b w:val="false"/>
                  <w:color w:val="0000FF"/>
                  <w:sz w:val="20"/>
                  <w:u w:val="single"/>
                </w:rPr>
                <w:t>93</w:t>
              </w:r>
            </w:hyperlink>
          </w:p>
        </w:tc>
      </w:tr>
      <w:tr>
        <w:trPr/>
        <w:tc>
          <w:tcPr>
            <w:tcW w:w="8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15.</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09">
              <w:r>
                <w:rPr>
                  <w:rStyle w:val="InternetLink"/>
                  <w:rFonts w:ascii="Times New Roman;sans-serif" w:hAnsi="Times New Roman;sans-serif"/>
                  <w:b w:val="false"/>
                  <w:color w:val="0000FF"/>
                  <w:sz w:val="16"/>
                  <w:u w:val="single"/>
                </w:rPr>
                <w:t>Exhibits and Financial Statement Schedules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09">
              <w:r>
                <w:rPr>
                  <w:rStyle w:val="InternetLink"/>
                  <w:rFonts w:ascii="Times New Roman;sans-serif" w:hAnsi="Times New Roman;sans-serif"/>
                  <w:b w:val="false"/>
                  <w:color w:val="0000FF"/>
                  <w:sz w:val="20"/>
                  <w:u w:val="single"/>
                </w:rPr>
                <w:t>94</w:t>
              </w:r>
            </w:hyperlink>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12">
              <w:r>
                <w:rPr>
                  <w:rStyle w:val="InternetLink"/>
                  <w:rFonts w:ascii="Times New Roman;sans-serif" w:hAnsi="Times New Roman;sans-serif"/>
                  <w:b w:val="false"/>
                  <w:color w:val="0000FF"/>
                  <w:sz w:val="16"/>
                  <w:u w:val="single"/>
                </w:rPr>
                <w:t>Form 10-K Summary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12">
              <w:r>
                <w:rPr>
                  <w:rStyle w:val="InternetLink"/>
                  <w:rFonts w:ascii="Times New Roman;sans-serif" w:hAnsi="Times New Roman;sans-serif"/>
                  <w:b w:val="false"/>
                  <w:color w:val="0000FF"/>
                  <w:sz w:val="20"/>
                  <w:u w:val="single"/>
                </w:rPr>
                <w:t>94</w:t>
              </w:r>
            </w:hyperlink>
          </w:p>
        </w:tc>
      </w:tr>
    </w:tbl>
    <w:p>
      <w:pPr>
        <w:pStyle w:val="TextBody"/>
        <w:spacing w:lineRule="auto" w:line="288" w:before="0" w:after="0"/>
        <w:rPr>
          <w:color w:val="000000"/>
        </w:rPr>
      </w:pPr>
      <w:r>
        <w:rPr>
          <w:color w:val="000000"/>
        </w:rPr>
        <w:t> </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NOTE REGARDING FORWARD-LOOKING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Times New Roman;sans-serif" w:hAnsi="Times New Roman;sans-serif"/>
          <w:b w:val="false"/>
          <w:color w:val="0A0A0A"/>
          <w:sz w:val="20"/>
        </w:rPr>
        <w:t xml:space="preserve">general economic conditions; 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our midstream joint venture’s oil, natural gas and water gathering and transportation systems, pipelines and facilities, the acquiring of third-party business and the drilling of any additional salt water disposal wells; </w:t>
      </w:r>
      <w:r>
        <w:rPr>
          <w:rFonts w:ascii="Times New Roman;sans-serif" w:hAnsi="Times New Roman;sans-serif"/>
          <w:b w:val="false"/>
          <w:color w:val="000000"/>
          <w:sz w:val="20"/>
        </w:rPr>
        <w:t>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business strategy;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cash flows and liquidity;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timing and payment of dividends, if any;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financial strategy, budget, projections and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supply and demand of oil, natural gas and natural gas liquids;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oil, natural gas and natural gas liquids prices, including our realized prices thereof;</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drilling and production equipment;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oil storage capacity;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oil field labor;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and terms of capital;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drilling of wells;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integration of acquisitions with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marketing of oil and natural gas;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exploitation projects or property acquisitions;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and the ability of our midstream joint venture to construct, maintain and operate midstream pipelines and facilities, including the operation of its Black River cryogenic natural gas processing plant and the drilling of additional salt water disposal wells;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our midstream joint venture to attract third-party volumes;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economic conditions;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effectiveness of our risk management and hedging activities;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technology;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environmental liabilities;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counterparty credit risk;</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COVID-19 on the oil and natural gas industry and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operating results;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plans, objectives, expectations and intentions contained in this Annual Report or in our other filings with the SEC that are not historical.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In this Annual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our midstream joint venture with a subsidiary of Five Point Energy LLC (“Five Point”). For certain oil and natural gas terms used in this Annual Report, see the “Glossary of Oil and Natural Gas Terms” included in this Annual Report.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our midstream joint venture, San Mateo, in support of our exploration, development and production operations and provide natural gas processing, oil transportation services, oil, natural gas and produced water gathering services and produced water disposal services to third parties.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 cash transaction for an enterprise value of approximately $388.5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2012, our common stock began trading on the New York Stock Exchange (the “NYSE”) under the symbol “MTDR.” Prior to trading on the NYSE, there was no established public trading market for our common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pStyle w:val="TextBody"/>
        <w:spacing w:lineRule="auto" w:line="288" w:before="120" w:after="283"/>
        <w:ind w:left="0" w:right="0" w:hanging="270"/>
        <w:rPr/>
      </w:pPr>
      <w:r>
        <w:rPr>
          <w:color w:val="000000"/>
        </w:rPr>
        <w:t>•</w:t>
      </w:r>
      <w:r>
        <w:rPr>
          <w:rFonts w:ascii="Times New Roman;sans-serif" w:hAnsi="Times New Roman;sans-serif"/>
          <w:b w:val="false"/>
          <w:color w:val="000000"/>
          <w:sz w:val="20"/>
        </w:rPr>
        <w:t>focus our exploration and development activities primarily on unconventional plays, including the Wolfcamp and Bone Spring plays in the Delaware Basin;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identify, evaluate and develop additional oil and natural gas plays as necessary to maintain a balanced portfolio of oil and natural gas properties;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continue to improve operational and cost efficiencies;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identify and develop midstream opportunities that support and enhance our exploration and development activities and that generate value for San Mateo;</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maintain our financial discipline;</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return capital to shareholders through our dividend policy;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pursue opportunistic acquisitions, divestitures and joint ventures;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provide the energy that society needs and do so in a manner that is safe, protects the environment and is consistent with the oil and natural gas industry’s best practices.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Despite the precipitous decline in global oil demand resulting from the worldwide spread of COVID-19 in 2020, which led to a very challenging oil and natural gas price environment, global oil demand and oil and natural gas prices improved significantly during 2021. These factors, along with the successful execution of our business strategies, led to increases in our oil and natural gas production and proved oil and natural gas reserves in 2021, as well as to increases in our oil and natural gas revenues and cash flows. We also improved the capital efficiency of our drilling and completion operations and achieved several key operational milestones throughout the year (as further described below in “—Exploration and Production Segment—Southeast New Mexico and West Texas—Delaware Basin”). In addition, we achieved several key capital resources objectives during the year, including generating free cash flow, paying down borrowings, initiating and increasing a quarterly cash dividend and earning performance incentives from Five Point. Further, we concluded several important financing transactions in 2021, including extending the maturity of and significantly increasing the borrowing base under our Credit Agreement (as defined below) and increasing the lender commitments under the San Mateo Credit Facility (as defined below). San Mateo also achieved several important milestones in 2021, including the addition of produced water disposal capacity and being awarded several new customer contracts. These achievements and transactions increased our operational flexibility and opportunities while preserving the strength of our balance sheet and our liquidity position.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2021 Highlights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Increased Oil, Natural Gas and Oil Equivalent Production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we achieved record oil, natural gas and average daily oil equivalent production. In 2021, we produced 17.8 million Bbl of oil, an increase of 12%, as compared to 15.9 million Bbl of oil produced in 2020. We also produced 81.7 Bcf of natural gas, an increase of 18% from 69.5 Bcf of natural gas produced in 2020. Our average daily oil equivalent production for the year ended December 31, 2021 was 86,176 BOE per day, including 48,876 Bbl of oil per day and 223.8 MMcf of natural gas per day, an increase of 15%, as compared to 75,175 BOE per day, including 43,526 Bbl of oil per day and 189.9 MMcf of natural gas per day, for the year ended December 31, 2020. The increase in oil and natural gas production was primarily attributable to our ongoing delineation and development drilling activities in the Delaware Basin throughout 2021, which offset declining production in the Eagle Ford and Haynesville shales. Oil production comprised 57% of our total production (using a conversion ratio of one Bbl of oil per six Mcf of natural gas) for the year ended December 31, 2021 as compared to 58% in 2020.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Increased Oil, Natural Gas and Oil Equivalent Reserves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our estimated total proved oil and natural gas reserves were 323.4 million BOE, including 181.3 million Bbl of oil and 852.5 Bcf of natural gas, an increase of 20% from 270.3 million BOE, including 159.9 million Bbl of oil and 662.3 Bcf of natural gas, at December 31, 2020. The Standardized Measure of our total proved oil and natural gas reserves increased 176% from $1.58 billion at December 31, 2020 to $4.38 billion at December 31, 2021. The PV-10 of our total proved oil and natural gas reserves increased 223% from $1.66 billion at December 31, 2020 to $5.35 billion at December 31, 2021. The increases in our Standardized Measure and PV-10 were primarily a result of the significantly higher weighted average oil and natural gas prices used to estimate proved reserves at December 31, 2021, as compared to December 31, 2020, but also due to the 20% increase in our total proved oil and natural gas reserves at December 31, 2021, as compared to December 31, 2020. PV-10 is a non-GAAP financial measure. For a reconciliation of PV-10 to Standardized Measure, see “—Estimated Proved Reserves.”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proved developed reserves included 102.2 million Bbl of oil and 546.2 Bcf of natural gas, and proved undeveloped reserves included 79.1 million Bbl of oil and 306.4 Bcf of natural gas. Proved developed reserves and proved oil reserves comprised 60% and 56%, respectively, of our total proved oil and natural gas reserves at December 31, 2021. Proved developed reserves and proved oil reserves comprised 46% and 59%, respectively, of our total proved oil and natural gas reserves at December 31, 2020. The improvement in proved developed reserves as a percentage of our total proved oil and natural gas reserves to 60% at December 31, 2021 from 46% at December 31, 2020 was primarily attributable to the development and conversion of approximately 40.1 million BOE of our proved undeveloped reserves to proved developed reserves in the Delaware Basin in 2021.</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Operational Highlights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completed and began producing oil and natural gas from 97 gross (48.2 net) wells in the Delaware Basin in 2021, including 47 gross (44.2 net) operated and 50 gross (4.0 net) non-operated wells. At December 31, 2021, our total acreage position in the Delaware Basin was approximately 237,200 gross (124,800 net) acres, primarily in Lea and Eddy Counties, New Mexico and Loving County, Texas. We have focused our Delaware Basin operations on the following asset areas: the Stateline, Rustler Breaks and Arrowhead asset areas in Eddy County, New Mexico and the Antelope Ridge, Ranger and Twin Lakes asset areas in Lea County, New Mexico and the Wolf and Jackson Trust asset areas in Loving County, Texas. Our Delaware Basin properties are the most significant component of our asset portfolio. Our average daily oil equivalent production from the Delaware Basin increased approximately 19% to 80,534 BOE per day (93% of total oil equivalent production), including 47,339 Bbl of oil per day (97% of total oil production) and 199.2 MMcf of natural gas per day (89% of total natural gas production), in 2021, as compared to 67,522 BOE per day (90% of total oil equivalent production), including 41,678 Bbl of oil per day (96% of total oil production) and 155.1 MMcf of natural gas per day (82% of total natural gas production), in 2020. We expect our Delaware Basin production to increase in 2022 as we continue the delineation and development of these asset areas.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2021, we achieved all five significant and important operational milestones in the Delaware Basin we set at the beginning of the year. These five operational milestones (as further described below in “—Exploration and Production Segment—Southeast New Mexico and West Texas—Delaware Basin”) were each achieved when we turned to sales: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second group of Rodney Robinson wells in the western portion of our Antelope Ridge asset area, in March 2021; these four Rodney Robinson wells have produced in aggregate approximately 1.5 million BOE in 11 months of production;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first 13 Voni wells, all of which were 2.3-mile laterals, in the western portion of the Stateline asset area in a staggered fashion during April and May 2021; these 13 Voni wells have produced in aggregate approximately 5.2 million BOE in eight months of production;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four wells in the Stebbins area and surrounding leaseholds in the southern portion of the Arrowhead asset area (the “Greater Stebbins Area”) in July 2021; these four wells have produced in aggregate approximately 0.7 million BOE in seven months of production;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second group of 13 Boros wells in the eastern portion of the Stateline asset area in a staggered fashion at various times primarily throughout September 2021; these 13 Boros wells have produced in aggregate approximately 2.2 million BOE in five months of production;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nine additional wells in the Greater Stebbins Area in December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achieving these five key operational milestones, further operational highlights in the Delaware Basin (as further described below in “—Exploration and Production Segment—Southeast New Mexico and West Texas—Delaware Basin”) in 2021 included: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fully realized transition to drilling longer laterals, whereby 98% of the operated horizontal wells we turned to sales in 2021 had lateral lengths of two miles or greater, as compared to 74% in 2020, 8% in 2019 and only one two-mile lateral in 2018;</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continuing improvement in capital efficiency as demonstrated by our average drilling and completion costs for all operated horizontal wells turned to sales of approximately $670 per lateral foot in 2021, a decrease of 21% as compared to $850 per lateral foot in 2020, a decrease of 42% as compared to average drilling and completion costs of $1,165 per lateral foot in 2019 and a decrease of 56% as compared to average drilling and completion costs of $1,528 per lateral foot in 2018;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capital expenditures for drilling, completing and equipping wells (“D/C/E capital expenditures”) for 2021 of $513 million, which was below our original estimated range for 2021 D/C/E capital expenditures of $525 to $575 million as provided on February 23, 2021 and our revised estimated range for 2021 D/C/E capital expenditures of $535 to $565 million as provided on October 26, 2021, despite the acceleration of 11 Voni well completions forward into the fourth quarter of 2021 and the addition of a fifth operated drilling rig;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record-low annual unit operating costs for lease operating expenses of $3.46 per BOE;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and administrative expenses of $3.06 per BOE, which were the second lowest general and administrative expenses we have achieved on an annual basis, as compared to a record low $2.27 per BOE in 2020. These 2021 general and administrative expenses were achieved despite the impact of increased cash-settled stock compensation costs and the reinstatement of employee compensation beginning in March 2021, which had been previously reduced beginning in March 2020 in response to the significantly lower oil and natural gas price environment at that time.</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Resources and Financing Highlights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2021, we achieved several significant and important capital resources objectives we set at the beginning of the year. These objectives included: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generation of free cash flow in all four quarters of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net repayment of $340.0 million in borrowings under our revolving credit facility, resulting in outstanding borrowings of $100.0 million at December 31,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adoption of a dividend policy in the first quarter of 2021 pursuant to which we initiated a quarterly cash dividend of $0.025 per share of common stock and the subsequent amendment of that dividend policy in the fourth quarter of 2021, pursuant to which we doubled the quarterly cash dividend to $0.05 per share of common stock;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receipt of $48.6 million in performance incentives directly from Five Point;</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concluded several important financing transactions in 2021 that increased our operational flexibility and opportunities, while preserving the strength of our balance sheet and improving our liquidity position. These transactions included: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closing of our fourth amended and restated credit agreement (the “Credit Agreement”) in November 2021 to (i) extend the maturity date by three years to October 31, 2026 from October 31, 2023 previously, (ii) increase the borrowing base by 50% to $1.35 billion, as compared to $900.0 million previously, (iii) reaffirm the elected borrowing commitment at $700.0 million, (iv) reaffirm the maximum facility amount at $1.5 billion and (v) add three new banks to our lending group;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amendment of San Mateo’s revolving credit facility (the “San Mateo Credit Facility”) in June 2021 to increase the lender commitments under the revolving credit facility to $450.0 million from $375.0 million and an accordion feature that provides for potential increases in lender commitments to up to $700.0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See “Management’s Discussion and Analysis of Financial Condition and Results of Operations—Liquidity and Capital Resources” for additional information regarding these financing transactions.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Midstream Highlights</w:t>
      </w:r>
    </w:p>
    <w:p>
      <w:pPr>
        <w:pStyle w:val="TextBody"/>
        <w:spacing w:lineRule="auto" w:line="288"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 achieved strong operating results in 2021, highlighted by (i) free cash flow generation, (ii) increased midstream services revenues and (iii) increased natural gas gathering and processing volumes, produced water handling volumes and oil gathering and transportation volumes, all as compared to 2020. Volumes for the years ended December 31, 2021 and 2020 do not include the full quantity of volumes that would have otherwise been delivered by certain San Mateo customers subject to minimum volume commitments (although partial deliveries were made in both years), but for which San Mateo recognized revenues. San Mateo is owned 51% by us and 49% by our joint venture partner, Five Point. </w:t>
      </w:r>
    </w:p>
    <w:p>
      <w:pPr>
        <w:pStyle w:val="TextBody"/>
        <w:spacing w:lineRule="auto" w:line="288"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San Mateo closed seven new midstream transactions with oil and natural gas producers and other counterparties in Eddy County, New Mexico, which are expected to generate additional natural gas gathering and processing, oil gathering and transportation and water handling volumes in future periods. A majority of these new opportunities reflect additional business awarded to San Mateo by existing customers, which we believe is indicative of the quality of service San Mateo provides to all of its customers in the Delaware Basin. For example, San Mateo was able to keep its gathering, processing and disposal systems operational throughout the historically prolonged cold weather conditions experienced in New Mexico and Texas during Winter Storm Uri in February 2021. </w:t>
      </w:r>
    </w:p>
    <w:p>
      <w:pPr>
        <w:pStyle w:val="TextBody"/>
        <w:spacing w:lineRule="auto" w:line="256"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San Mateo’s midstream system included: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u w:val="single"/>
        </w:rPr>
        <w:t>Natural Gas Assets</w:t>
      </w:r>
      <w:r>
        <w:rPr>
          <w:rFonts w:ascii="Times New Roman;sans-serif" w:hAnsi="Times New Roman;sans-serif"/>
          <w:b w:val="false"/>
          <w:color w:val="000000"/>
          <w:sz w:val="20"/>
        </w:rPr>
        <w:t xml:space="preserve">: 460 MMcf per day of designed natural gas cryogenic processing capacity in San Mateo’s cryogenic natural gas processing plant in Eddy County, New Mexico (the “Black River Processing Plant”) and approximately 150 miles of natural gas gathering pipelines in Eddy County, New Mexico and Loving County, Texas, including 43 miles of large-diameter natural gas gathering lines spanning from the Stateline asset area to the Greater Stebbins Area in Eddy County, New Mexico;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u w:val="single"/>
        </w:rPr>
        <w:t>Oil Assets</w:t>
      </w:r>
      <w:r>
        <w:rPr>
          <w:rFonts w:ascii="Times New Roman;sans-serif" w:hAnsi="Times New Roman;sans-serif"/>
          <w:b w:val="false"/>
          <w:color w:val="000000"/>
          <w:sz w:val="20"/>
        </w:rPr>
        <w:t xml:space="preserve">: Three oil central delivery points (“CDP”) with over 100,000 Bbl of designed oil throughput capacity and approximately 90 miles of oil gathering and transportation pipelines in Eddy County, New Mexico and Loving County, Texas, as well as a 400,000-acre joint development area with Plains Marketing, L.P. (“Plains”) to gather our and other producers’ oil production in Eddy County, New Mexico;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u w:val="single"/>
        </w:rPr>
        <w:t>Produced Water Assets</w:t>
      </w:r>
      <w:r>
        <w:rPr>
          <w:rFonts w:ascii="Times New Roman;sans-serif" w:hAnsi="Times New Roman;sans-serif"/>
          <w:b w:val="false"/>
          <w:color w:val="000000"/>
          <w:sz w:val="20"/>
        </w:rPr>
        <w:t>: 14 commercial salt water disposal wells and associated facilities with designed produced water disposal capacity of 370,000 Bbl per day and approximately 130 miles of produced water gathering pipelines in Eddy County, New Mexico and Loving County, Texas.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pPr>
      <w:r>
        <w:rPr>
          <w:rFonts w:ascii="Times New Roman;sans-serif" w:hAnsi="Times New Roman;sans-serif"/>
          <w:b w:val="false"/>
          <w:i/>
          <w:color w:val="000000"/>
          <w:sz w:val="20"/>
        </w:rPr>
        <w:t>Environmental, Social and Governance (“ESG”) Initiatives</w:t>
      </w:r>
      <w:r>
        <w:rPr>
          <w:color w:val="000000"/>
        </w:rPr>
        <w: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maintain an active ESG program and continued working in 2021 to improve upon our various ESG efforts. In May 2021, we published sustainability metrics aligned with standards developed by the Sustainability Accounting Standards Board (“SASB”), which we subsequently updated in July 2021. In December 2021, we issued our inaugural Sustainability Report highlighting the results of our 2020 ESG progress and achievements.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grew gross operated oil production by 13% and gross operated natural gas production by 19%, as compared to 2019, while still reducing our environmental impact and continuing our strong safety record. Highlights from our 2020 ESG initiatives include: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Decreased emissions intensity by 19% and flaring intensity by 38%, as compared to 2019;</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Decreased consumption of fresh water by 49%, as compared to 2019;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Transported 96% of operated produced water and 65% of operated produced oil by pipeline;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Incurred no employee lost time incidents during more than 2.1 million employee man-hours from 2017 to 2020;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Provided approximately 15,000 hours of employee continuing education, equating to approximately 55 hours per employee;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Revised the mandate of the Board of Directors’ Environmental, Social and Corporate Governance Committee to enhance the focus, oversight and support for our ESG efforts and to measure improvements.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Exploration and Production Segment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2021, we devoted most of our efforts and most of our capital expenditures to our drilling and completion operations in the Wolfcamp and Bone Spring plays in the Delaware Basin, as well as our midstream operations there. Since our inception, our exploration and development efforts have concentrated primarily on known hydrocarbon-producing basins with well-established production histories offering the potential for multiple-zone completions.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certain summary data for each of our operating areas as of and for the year ended December 31, 2021. </w:t>
      </w:r>
    </w:p>
    <w:tbl>
      <w:tblPr>
        <w:tblW w:w="11765" w:type="dxa"/>
        <w:jc w:val="left"/>
        <w:tblInd w:w="0" w:type="dxa"/>
        <w:tblCellMar>
          <w:top w:w="28" w:type="dxa"/>
          <w:left w:w="28" w:type="dxa"/>
          <w:bottom w:w="28" w:type="dxa"/>
          <w:right w:w="28" w:type="dxa"/>
        </w:tblCellMar>
      </w:tblPr>
      <w:tblGrid>
        <w:gridCol w:w="404"/>
        <w:gridCol w:w="263"/>
        <w:gridCol w:w="264"/>
        <w:gridCol w:w="368"/>
        <w:gridCol w:w="368"/>
        <w:gridCol w:w="238"/>
        <w:gridCol w:w="109"/>
        <w:gridCol w:w="109"/>
        <w:gridCol w:w="109"/>
        <w:gridCol w:w="368"/>
        <w:gridCol w:w="368"/>
        <w:gridCol w:w="238"/>
        <w:gridCol w:w="109"/>
        <w:gridCol w:w="109"/>
        <w:gridCol w:w="109"/>
        <w:gridCol w:w="277"/>
        <w:gridCol w:w="279"/>
        <w:gridCol w:w="176"/>
        <w:gridCol w:w="109"/>
        <w:gridCol w:w="109"/>
        <w:gridCol w:w="109"/>
        <w:gridCol w:w="278"/>
        <w:gridCol w:w="278"/>
        <w:gridCol w:w="191"/>
        <w:gridCol w:w="109"/>
        <w:gridCol w:w="109"/>
        <w:gridCol w:w="109"/>
        <w:gridCol w:w="278"/>
        <w:gridCol w:w="278"/>
        <w:gridCol w:w="246"/>
        <w:gridCol w:w="160"/>
        <w:gridCol w:w="160"/>
        <w:gridCol w:w="160"/>
        <w:gridCol w:w="278"/>
        <w:gridCol w:w="278"/>
        <w:gridCol w:w="193"/>
        <w:gridCol w:w="109"/>
        <w:gridCol w:w="109"/>
        <w:gridCol w:w="109"/>
        <w:gridCol w:w="368"/>
        <w:gridCol w:w="368"/>
        <w:gridCol w:w="211"/>
        <w:gridCol w:w="188"/>
        <w:gridCol w:w="188"/>
        <w:gridCol w:w="188"/>
        <w:gridCol w:w="283"/>
        <w:gridCol w:w="283"/>
        <w:gridCol w:w="290"/>
        <w:gridCol w:w="109"/>
        <w:gridCol w:w="109"/>
        <w:gridCol w:w="109"/>
        <w:gridCol w:w="323"/>
        <w:gridCol w:w="323"/>
        <w:gridCol w:w="401"/>
      </w:tblGrid>
      <w:tr>
        <w:trPr/>
        <w:tc>
          <w:tcPr>
            <w:tcW w:w="40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93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Identified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Net Proved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9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Drilling Locations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Reserves</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Avg. Daily</w:t>
            </w:r>
          </w:p>
        </w:tc>
      </w:tr>
      <w:tr>
        <w:trPr/>
        <w:tc>
          <w:tcPr>
            <w:tcW w:w="93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Net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Gross  </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Net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Production</w:t>
            </w:r>
          </w:p>
        </w:tc>
      </w:tr>
      <w:tr>
        <w:trPr/>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(3)</w:t>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(BOE/d)</w:t>
            </w:r>
            <w:r>
              <w:rPr>
                <w:rFonts w:ascii="Times New Roman;sans-serif" w:hAnsi="Times New Roman;sans-serif"/>
                <w:b/>
                <w:color w:val="000000"/>
                <w:sz w:val="10"/>
              </w:rPr>
              <w:t>(3)</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(4)</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312,018 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80,534 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Eagle Ford</w:t>
            </w:r>
            <w:r>
              <w:rPr>
                <w:rFonts w:ascii="Times New Roman;sans-serif" w:hAnsi="Times New Roman;sans-serif"/>
                <w:b w:val="false"/>
                <w:color w:val="000000"/>
                <w:sz w:val="10"/>
              </w:rPr>
              <w:t>(5)</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(6)</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Area Total</w:t>
            </w:r>
            <w:r>
              <w:rPr>
                <w:rFonts w:ascii="Times New Roman;sans-serif" w:hAnsi="Times New Roman;sans-serif"/>
                <w:b w:val="false"/>
                <w:color w:val="000000"/>
                <w:sz w:val="10"/>
              </w:rPr>
              <w:t>(7)</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283,700 </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167,600 </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636.5 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4,904 </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323,397 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86,176 </w:t>
            </w:r>
          </w:p>
        </w:tc>
        <w:tc>
          <w:tcPr>
            <w:tcW w:w="40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(1)Identified and engineered drilling locations. These locations have been identified for potential future drilling and were not producing at December 31, 2021.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2021, approximately two-thirds of these identified drilling locations were expected to be horizontal laterals with lateral lengths of approximately two miles or greater, and approximately 80% are expected to have lateral lengths of approximately 1.5 miles or greater. At December 31, 2021, these engineered drilling locations included 358 gross (136 net) operated and non-operated locations to which we have assigned proved undeveloped reserves, primarily in the Wolfcamp or Bone Spring plays, but also in the Brushy Canyon, Avalon and Delaware formations, in the Delaware Basin and only eight gross (0.4 net) locations to which we have assigned proved undeveloped reserves in the Haynesville shale. At December 31, 2021, we had assigned no proved undeveloped reserves to our leasehold in the Eagle Ford shale.</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(3)Production volumes and proved reserves reported in two streams: oil and natural gas, including both dry and liquids-rich natural gas. Estimated using a conversion ratio of one Bbl of oil per six Mcf of natural gas.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(4)Includes potential future engineered drilling locations in the Wolfcamp, Bone Spring, Brushy Canyon and Avalon plays on our acreage in the Delaware Basin at December 31, 2021.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one well producing oil from the Austin Chalk formation in La Salle County, Texas and two wells producing small quantities of natural gas from the San Miguel formation in Zavala County, Texas. In January 2022, the two wells and associated acreage in Zavala County, Texas, which included 55 gross (55 net) engineered locations, were divested.</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(6)Includes the Cotton Valley formation and shallower zones and also includes one well producing from the Frio formation in Orange County, Texas.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active both as an operator and as a non-operating co-working interest owner with various industry participants. At December 31, 2021, we operated a significant majority of our acreage in the Delaware Basin in Southeast New Mexico and West Texas. In those wells where we are not the operator, our working interests are often relatively small. At December 31, 2021, we also were the operator for almost all of our Eagle Ford acreage and approximately half of our Haynesville acreage.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pStyle w:val="TextBody"/>
        <w:spacing w:lineRule="auto" w:line="288" w:before="120" w:after="283"/>
        <w:rPr/>
      </w:pPr>
      <w:r>
        <w:rPr>
          <w:rFonts w:ascii="Times New Roman;sans-serif" w:hAnsi="Times New Roman;sans-serif"/>
          <w:b w:val="false"/>
          <w:i/>
          <w:color w:val="000000"/>
          <w:sz w:val="20"/>
        </w:rPr>
        <w:t xml:space="preserve">Southeast New Mexico and West Texas </w:t>
      </w:r>
      <w:r>
        <w:rPr>
          <w:color w:val="000000"/>
        </w:rPr>
        <w:t xml:space="preserve">— </w:t>
      </w:r>
      <w:r>
        <w:rPr>
          <w:rFonts w:ascii="Times New Roman;sans-serif" w:hAnsi="Times New Roman;sans-serif"/>
          <w:b w:val="false"/>
          <w:i/>
          <w:color w:val="000000"/>
          <w:sz w:val="20"/>
        </w:rPr>
        <w:t>Delaware Basin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has focused on relatively conventional reservoir targets, but, in recent years, the combination of advanced formation evaluation, 3-D seismic technology, horizontal drilling and hydraulic fracturing technology is enhancing the development potential of this basin, particularly in the organic rich shales, or source rocks, of the Wolfcamp formation and in the low permeability sand and carbonate reservoirs of the Bone Spring, Avalon and Delaware formations.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western part of the Permian Basin, also known as the Delaware Basin, the Lower Permian age Bone Spring (also called the Leonardian) and Wolfcamp formations are several thousand feet thick and contain stacked layers of shales, sandstones, limestones and dolomites. These intervals represent a complex and dynamic submarine depositional system that also includes organic rich shales that are the source rocks for oil and natural gas produced in the basin. Historically, production has come from conventional reservoirs; however, we and other industry players have realized that the source rocks also have sufficient porosity and permeability to be commercial reservoirs. In addition, the source rocks are interbedded with reservoir layers that have filled with hydrocarbons, both of which can produce significant volumes of oil and natural gas when connected by horizontal wellbores with multi-stage hydraulic fracture treatments. Particularly in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Bone Spring (First, Second and Third Sand and Carbonate) and several intervals within the Wolfcamp shale, often identified as Wolfcamp A through 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total acreage position in Southeast New Mexico and West Texas was approximately 237,200 gross (124,800 net) acres, primarily in Lea and Eddy Counties, New Mexico and Loving County, Texas. These acreage totals included approximately 39,700 gross (22,600 net) acres in our Ranger asset area in Lea County, 64,500 gross (26,000 net) acres in our Arrowhead asset area in Eddy County, 47,500 gross (25,900 net) acres in our Rustler Breaks asset area in Eddy County, 24,700 gross (15,700 net) acres in our Antelope Ridge asset area in Lea County, 14,400 gross (10,700 net) acres in our Wolf and Jackson Trust asset areas in Loving County, 2,900 gross (2,900 net) acres in our Stateline asset area in Eddy County and 42,900 gross (20,500 net) acres in our Twin Lakes asset area in Lea County at December 31, 2021. We consider the vast majority of our Delaware Basin acreage position to be prospective for oil and liquids-rich targets in the Bone Spring and Wolfcamp formations. Other potential targets on certain portions of our acreage include the Avalon and Delaware formations, as well as the Abo, Strawn, Devonian, Penn Shale, Atoka and Morrow formations. At December 31, 2021, our acreage position in the Delaware Basin was approximately 75% held by existing production. Excluding the Twin Lakes asset area, where at December 31, 2021 we had drilled only three vertical operated wells and two horizontal operated wells, and the undeveloped acreage acquired in the Bureau of Land Management New Mexico Oil and Gas Lease Sale on September 5 and 6, 2018 (the “BLM Acquisition”), which has 10-year leases with favorable lease-holding provisions, our acreage position in the Delaware Basin was approximately 86% held by existing production at December 31,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continued the delineation and development of our Delaware Basin acreage. We completed and began producing oil and natural gas from 97 gross (48.2 net) wells in the Delaware Basin, including 47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gross (44.2 net) operated horizontal wells and 50 gross (4.0 net) non-operated horizontal wells, throughout our various asset areas. At December 31, 2021, we had tested a number of different producing horizons at various locations across our acreage position, including the Brushy Canyon, two benches of the Avalon, two benches of the First Bone Spring, two benches of the Second Bone Spring, two benches of the Third Bone Spring, three benches of the Wolfcamp A, including the X and Y sands and the more organic, lower section of the Wolfcamp A, three benches of the Wolfcamp B, the Wolfcamp D, the Morrow and the Strawn. Most of our delineation and development efforts have been focused on multiple completion targets between the First Bone Spring and the Wolfcamp B.</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ongoing drilling and completion operations in these asset areas, our Delaware Basin production increased significantly in 2021. Our average daily oil equivalent production from the Delaware Basin increased approximately 19% to 80,534 BOE per day (93% of total oil equivalent production), including 47,339 Bbl of oil per day (97% of total oil production) and 199.2 MMcf of natural gas per day (89% of total natural gas production), in 2021, as compared to 67,522 BOE per day (90% of total oil equivalent production), including 41,678 Bbl of oil per day (96% of total oil production) and 155.1 MMcf of natural gas per day (82% of total natural gas production), in 2020.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approximately 96% of our estimated total proved oil and natural gas reserves, or 312.0 million BOE, was attributable to the Delaware Basin, including approximately 177.1 million Bbl of oil and 809.3 Bcf of natural gas, a 19% increase, as compared to 261.9 million BOE for the year ended December 31, 2020. Our Delaware Basin proved reserves at December 31, 2021 comprised approximately 98% of our proved oil reserves and 95% of our proved natural gas reserves, as compared to approximately 98% of our proved oil reserves and 96% of our proved natural gas reserves at December 31,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identified 4,381 gross (1,534 net) engineered locations for potential future drilling on our Delaware Basin acreage, primarily in the Wolfcamp or Bone Spring plays, but also including the shallower Brushy Canyon and Avalon formations. These locations include 2,204 gross (1,350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that location given our current acreage position. At December 31, 2021, approximately two-thirds of these identified drilling locations are expected to have horizontal lateral lengths of approximately two miles or greater and approximately 80%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2021,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2021, the majority of our estimated locations were based on the assumption of 160-acre well spacing. As we explore and develop our Delaware Basin acreage further, we anticipate that we may identify additional locations for future drilling. At December 31, 2021, these potential future drilling locations included 358 gross (136 net) operated and non-operated locations in the Delaware Basin, primarily in the Wolfcamp and Bone Spring plays, but also in the Brushy Canyon, Avalon and Delaware formations, to which we have assigned proved undeveloped reserves.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were operating five drilling rigs in the Delaware Basin. At February 22, 2022, we had contracted a sixth drilling rig to begin drilling operations on recently acquired acreage in the western portion of our Ranger asset area in Lea County, New Mexico. We expect to operate six drilling rigs across our various Delaware Basin asset areas throughout the remainder of 2022, but these six drilling rigs are expected to have an increased focus on our Rustler Breaks, Antelope Ridge and Ranger asset areas in 2022, as compared to 2021. We have built significant optionality into our drilling program, which should generally allow us to decrease or increase the number of rigs we operate as necessary based on changing commodity prices and other factors. We are also planning to participate in non-operated wells in the Delaware Basin as these opportunities arise in 2022. </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Antelope Ridge Asset Area - Lea County, New Mexico</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the first quarter of 2021, we achieved the first of the five operational milestones we set for Matador in 2021 when we turned to sales four gross (3.8 net) wells on the Rodney Robinson leasehold. These wells were the second group of wells drilled on the Rodney Robinson leasehold, which was acquired in the BLM Acquisition. We did not turn to sales any other operated wells in other portions of the Antelope Ridge asset area during 2021, although we did participate in the drilling and completion of 20 gross (1.1 net) non-operated wells that were turned to sales in the Antelope Ridge asset area during 2021.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1,300 gross and net acre Rodney Robinson leasehold is one of the key tracts we acquired in the BLM Acquisition. The federal leases provide an 87.5% net revenue interest (“NRI”) as compared to approximately 75% NRI on most fee leases today. The four Rodney Robinson wells, which included two Wolfcamp A-XY completions and two Third Bone Spring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completions, were turned to sales late in the first quarter of 2021 and were all two-mile laterals. These four Rodney Robinson wells have produced in aggregate approximately 1.5 million BOE in approximately 11 months of production despite being produced on restricted chokes throughout their early producing lives. We drilled nine additional Rodney Robinson wells in the fall of 2021, and these nine wells are expected to be turned to sales late in the first quarter of 2022.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turned to sales the initial six Rodney Robinson wells in the western portion of the Antelope Ridge asset area in late March 2020. In aggregate, these six wells have produced approximately 4.3 million BOE in approximately 22 months of production. </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Rustler Breaks Asset Area - Eddy County, New Mexico</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Rustler Breaks asset area, we turned to sales 13 gross (0.9 net) non-operated wells during 2021. We did not turn to sales any operated wells during 2021, but at December 31, 2021, we had drilled or were drilling six operated wells in the Rustler Breaks asset area, all of which are expected to be turned to sales in the second quarter of 2022. We expect the Rustler Breaks asset area to be an area of increased operational focus for Matador throughout 2022.</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Arrowhead Asset Area - Eddy County, New Mexico</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Arrowhead asset area, we turned to sales 13 gross (11.5 net) operated wells and 14 gross (1.6 net) non-operated wells during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we achieved the third of the five operational milestones we set for Matador in 2021 when we turned to sales four wells, all of which were two-mile laterals completed in the Second Bone Spring formation, in the Greater Stebbins Area. These four wells have produced in aggregate approximately 0.7 million BOE in seven months of production. At the end of the fourth quarter of 2021, we achieved the fifth and final operational milestone we set for Matador in 2021 when we turned to sales nine wells, all of which were two-mile laterals completed in the Third Bone Spring, Wolfcamp A-XY and Wolfcamp B formations, in the Greater Stebbins Area in December 2021.</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Ranger and Twin Lakes Asset Areas - Lea County, New Mexico</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Ranger asset area, we turned to sales two gross (1.3 net) operated wells and three gross (0.4 net) non-operated wells. We did not turn to sales any operated or non-operated wells in the Twin Lakes asset area during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pleased with the performance from the first two Uncle Ches wells turned to sales in the Second Bone Spring in the Ranger asset area in the first quarter of 2021. In aggregate, these two wells tested 4,053 BOE per day (90% oil) during 24-hour initial potential (“IP”) tests conducted after these wells were equipped with electric submersible pumps (“ESP”). The high (90%) oil cut and low water cut (approximately one Bbl of water per Bbl of oil produced) exhibited by these wells should enhance their economics. We drilled two additional Uncle Ches wells in the Ranger asset area in the fall of 2021, also Second Bone Spring completions, which were turned to sales in mid-January 2022. </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Stateline Asset Area - Eddy County, New Mexico</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operated two drilling rigs in our Stateline asset area for the majority of 2021. In early September 2018, we acquired the Stateline asset area in southern Eddy County, New Mexico as part of the BLM Acquisition. The Stateline asset area includes approximately 2,900 gross and net leasehold acres prospective for multiple geologic targets. The federal leases provide an 87.5% NRI. The large majority of the Stateline asset area acreage has shown to be conducive to drilling longer laterals of up to two miles or more, utilizing central facilities and multi-well pad development. We have been developing this acreage block drilling two-mile laterals on the eastern side of the leasehold and approximately 2.3-mile laterals on the western side of the leasehold. We began drilling operations in the Stateline asset area just before the end of 2019 and, at the end of the third quarter of 2020, we turned to sales our first 13 gross (13.0 net) wells on the Boros tract in the eastern portion of the Stateline asset area. In aggregate, the first 13 Boros wells have produced approximately 7.2 million BOE in approximately 15 months of production.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After finishing drilling operations on the first 13 Boros wells in 2020, we began drilling operations on the Voni tract in the western portion of the Stateline asset area, and in the second quarter of 2021, we achieved the second of the five operational milestones we set for Matador in 2021 when we turned to sales our first 13 gross (12.7 net) wells on the Voni tract in the western portion of the Stateline asset area. The 13 Voni wells had completed lateral lengths of approximately 12,000 feet, or about 2.3-miles, making them the longest laterals Matador has completed to date. The 13 Voni wells included one First Bone Spring completion, four Second Bone Spring completions, four Wolfcamp A-XY completions and four Wolfcamp A-Lower completions. Of particular note, the Voni Federal #216H well, a Wolfcamp A-Lower completion, tested 5,073 BOE per day (60% oil), which was the highest 24-hour IP Matador has achieved to date in any formation in the Delaware Basin. These 13 Voni wells have produced in aggregate approximately 5.2 million BOE in approximately eight months of production, despite a number of these wells being produced on restricted chokes early in their producing lives.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After finishing drilling operations on the first 13 Voni wells, we began drilling operations on the next 13 Boros wells, and in the third quarter of 2021, we achieved the fourth of the five operational milestones we set for Matador in 2021 when we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turned to sales our second group of 13 gross (13.0 net) wells on the Boros tract in the eastern portion of the Stateline asset area. These 13 Boros wells have produced in aggregate approximately 2.2 million BOE in five months of production. Drilling and completion costs for the 26 Stateline wells turned to sales during 2021 averaged $628 per completed lateral foot, the lowest costs we have achieved in any of our asset areas.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during 2021, we drilled and completed our second group of 11 wells on the Voni tract on the western portion of the Stateline leasehold. These 11 Voni wells are expected to have completed lateral lengths of approximately 12,000 feet and were turned to sales in the first quarter of 2022.</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Wolf and Jackson Trust Asset Areas - Loving County, Texas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Wolf and Jackson Trust asset areas, we turned to sales two gross (1.9 net) operated wells during 2021. At December 31, 2021, we were in the process of completing three two-mile lateral wells in the Second Bone Spring formation, and these three wells were turned to sales in February 2022. </w:t>
      </w:r>
    </w:p>
    <w:p>
      <w:pPr>
        <w:pStyle w:val="TextBody"/>
        <w:spacing w:lineRule="auto" w:line="288" w:before="120" w:after="283"/>
        <w:rPr/>
      </w:pPr>
      <w:r>
        <w:rPr>
          <w:rFonts w:ascii="Times New Roman;sans-serif" w:hAnsi="Times New Roman;sans-serif"/>
          <w:b w:val="false"/>
          <w:i/>
          <w:color w:val="000000"/>
          <w:sz w:val="20"/>
        </w:rPr>
        <w:t xml:space="preserve">South Texas </w:t>
      </w:r>
      <w:r>
        <w:rPr>
          <w:color w:val="000000"/>
        </w:rPr>
        <w:t xml:space="preserve">— </w:t>
      </w:r>
      <w:r>
        <w:rPr>
          <w:rFonts w:ascii="Times New Roman;sans-serif" w:hAnsi="Times New Roman;sans-serif"/>
          <w:b w:val="false"/>
          <w:i/>
          <w:color w:val="000000"/>
          <w:sz w:val="20"/>
        </w:rPr>
        <w:t>Eagle Ford Shale and Other Formations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Eagle Ford shale extends across portions of South Texas from the Mexican border into East Texas forming a band roughly 50 to 100 miles wide and 400 miles long. The Eagle Ford is an organically rich calcareous shale and lies between the deeper Buda limestone and the shallower Austin Chalk formation. Along the entire length of the Eagle Ford trend, the structural dip of the formation is consistently down to the south with relatively few, modestly sized structural perturbations. As a result, depth of burial increases consistently southwards along with the thermal maturity of the formation. Where the Eagle Ford is shallow, it is less thermally mature and therefore more oil prone, and as it gets deeper and becomes more thermally mature, the Eagle Ford is more natural gas prone. The transition between being more oil prone and more natural gas prone includes an interval that typically produces liquids-rich natural gas with condensate.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our properties included approximately 27,400 gross (25,100 net) acres in the Eagle Ford shale play in South Texas. We believe that approximately 89% of our Eagle Ford acreage is prospective predominantly for oil or liquids-rich natural gas with condensate, with the remainder being prospective for less liquids-rich natural gas. All of our Eagle Ford leasehold was held by existing production at December 31, 2021.</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conduct any operated or non-operated drilling and completion activities on our leasehold properties in South Texas during the year ended December 31, 2021. In fact, as of December 31, 2021, we had not completed any new operated wells in the Eagle Ford shale since the second quarter of 2019. As a result, our average daily oil equivalent production from the Eagle Ford shale decreased 12% to 2,126 BOE per day, including 1,528 Bbl of oil per day and 3.6 MMcf of natural gas per day, during 2021, as compared to 2,412 BOE per day, including 1,840 Bbl of oil per day and 3.4 MMcf of natural gas per day, during 2020. For the year ended December 31, 2021, 2% of our total daily oil equivalent production was attributable to the Eagle Ford shale, as compared to 3% for the year ended December 31,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approximately 2% of our estimated total proved oil and natural gas reserves, or 5.7 million BOE, was attributable to the Eagle Ford shale, including approximately 4.1 million Bbl of oil and 9.1 Bcf of natural gas. Our Eagle Ford total proved reserves comprised approximately 2% of our proved oil reserves and 1% of our proved natural gas reserves at December 31, 2021, essentially unchanged from December 31,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identified 208 gross (175 net) engineered locations for potential future drilling on our Eagle Ford acreage, including 55 gross (55 net) engineered locations in Zavala County that were divested in January 2022. Each drilling location represents a horizontal lateral, and individual locations have estimated lateral lengths ranging from one mile to almost two miles. These locations have been identified on a property-by-property basis and take into account criteria such as anticipated geologic conditions and reservoir properties, estimated rates of return, estimated recoveries from our producing Eagle Ford wells and other nearby wells based on available public data, drilling densities anticipated on our properties and observed on properties of other operators, estimated drilling and completion costs, spacing and other rules established by regulatory authorities and surface considerations, among other factors.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engineered drilling locations include only a single interval in the lower portion of the Eagle Ford shale. We believe portions of our Eagle Ford acreage may be prospective for an additional target in the lower portion of the Eagle Ford shale and for other intervals in the upper portion of the Eagle Ford shale, from which we would expect to produce predominantly oil and liquids. In addition, we believe portions of our South Texas acreage may also be prospective for the Austin Chalk, Buda and other formations, from which we would expect to produce predominantly oil and liquids. At December 31, 2021, we had not included any future drilling locations in the upper portion of the Eagle Ford shale, in any additional intervals of the lower portion of the Eagle Ford shale or in the Austin Chalk or Buda formations, even though activity from other operators in these formations around our South Texas acreage position has demonstrated the prospectivity of these intervals.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Northwest Louisiana — Haynesville Shale, Cotton Valley and Other Formations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Haynesville shale is an organically rich, overpressured marine shale found below the Cotton Valley and Bossier formations and above the Smackover formation at depths ranging from 10,500 to 13,500 feet across a broad region throughout Northwest Louisiana, including principally Bossier, Caddo, DeSoto and Red River Parishes in Louisiana. The Haynesville shale produces primarily dry natural gas with almost no associated liquids. The Bossier shale is overpressured and is often divided into lower, middle and upper units. The Cotton Valley formation is a low permeability natural gas sand that ranges in thickness from 200 to 300 feet and has porosity ranging from 6% to 10%.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did not conduct any operated drilling and completion activities on our leasehold properties in Northwest Louisiana during 2021, although we did participate in the drilling and completion of seven gross (less than 0.1 net) non-operated Haynesville shale wells that were turned to sales in 2021. In the first quarter of 2020, we leased 2,800 net acres of our minerals in the southern portion of our Pine Island asset area to a third party and retained royalty interests ranging from 18% to 20%. This lessee turned to sales four Haynesville shale wells drilled on these interests in the first half of 2021. We do not plan to drill any operated Haynesville shale or Cotton Valley wells in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held approximately 19,100 gross (17,700 net) acres in Northwest Louisiana, including 16,700 gross (9,100 net) acres in the Haynesville shale play and 16,100 gross (14,900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(4,800 net) acres that we consider to be in the core area of the Haynesville shale play. All of our leasehold in the Haynesville and Cotton Valley plays in Northwest Louisiana was held by existing production at December 31, 2021.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approximately 4% of our average daily oil equivalent production, or 3,516 BOE per day, including nine Bbl of oil per day and 21.0 MMcf of natural gas per day, was attributable to our leasehold interests in Northwest Louisiana, while for the year ended December 31, 2020, approximately 7% of our average daily oil equivalent production, or 5,241 BOE per day, including eight Bbl of oil per day and 31.4 MMcf of natural gas per day, was attributable to our properties in Northwest Louisiana. For the year ended December 31, 2021, approximately 9% of our daily natural gas production, or 21.0 MMcf of natural gas per day, was attributable to our leasehold interests in Northwest Louisiana, while for the year ended December 31, 2020, approximately 17% of our daily natural gas production, or 31.4 MMcf of natural gas per day, was attributable to these properties. At December 31, 2021, approximately 2% of our estimated total proved reserves, or 5.7 million BOE, was attributable to our properties in Northwest Louisiana.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identified 161 gross (15 net) engineered locations for potential future drilling in the Haynesville shale play and 154 gross (35 net) engineered locations for potential future drilling in the Cotton Valley formation. Each drilling location represents a horizontal lateral, and individual locations have estimated lateral lengths ranging from one mile to two miles, with most being two miles. These locations have been identified on a property-by-property basis and take into account criteria such as anticipated geologic conditions and reservoir properties, estimated rates of return, estimated recoveries from our producing Haynesville and Cotton Valley wells and other nearby wells based on available public data, drilling densities observed on properties of other operators, including on some of our non-operated properties, estimated drilling and completion costs, spacing and other rules established by regulatory authorities and surface conditions, among other factors.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Midstream Segment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midstream segment conducts midstream operations in support of our exploration, development and production operations and provides natural gas processing, oil transportation services, oil, natural gas and produced water gathering services and produced water disposal services to third parties.</w:t>
      </w:r>
    </w:p>
    <w:p>
      <w:pPr>
        <w:pStyle w:val="TextBody"/>
        <w:spacing w:lineRule="auto" w:line="288" w:before="120" w:after="283"/>
        <w:rPr/>
      </w:pPr>
      <w:r>
        <w:rPr>
          <w:rFonts w:ascii="Times New Roman;sans-serif" w:hAnsi="Times New Roman;sans-serif"/>
          <w:b w:val="false"/>
          <w:i/>
          <w:color w:val="000000"/>
          <w:sz w:val="20"/>
        </w:rPr>
        <w:t xml:space="preserve">Southeast New Mexico and West Texas </w:t>
      </w:r>
      <w:r>
        <w:rPr>
          <w:color w:val="000000"/>
        </w:rPr>
        <w:t xml:space="preserve">— </w:t>
      </w:r>
      <w:r>
        <w:rPr>
          <w:rFonts w:ascii="Times New Roman;sans-serif" w:hAnsi="Times New Roman;sans-serif"/>
          <w:b w:val="false"/>
          <w:i/>
          <w:color w:val="000000"/>
          <w:sz w:val="20"/>
        </w:rPr>
        <w:t>Delaware Basin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February 17, 2017, we announced the formation of San Mateo, a strategic joint venture with Five Point. The midstream assets that were contributed to San Mateo included (i) the Black River Processing Plant (before its expansions);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produced water gathering systems and pipelines in both the Rustler Breaks and Wolf asset areas (collectively, the “Delaware Midstream Assets”). We received $171.5 million in connection with the formation of San Mateo and had the potential to earn up to $73.5 million in performance incentives over a five-year period, which in October 2020 was extended by an additional year. At February 22, 2022, we had earned $58.8 million of the potential $73.5 million in performance incentives. Through February 22, 2022, Five Point had paid $14.7 million in performance incentives in each of the first quarters of 2018, 2019, 2020 and 2021, and we may earn up to the remaining $14.7 million in San Mateo performance incentives over the next year relating to the formation of San Mateo. In connection with the formation of San Mateo, we dedicated to San Mateo current and certain future leasehold interests in the Rustler Breaks and Wolf asset areas pursuant to 15-</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pStyle w:val="TextBody"/>
        <w:spacing w:lineRule="auto" w:line="288" w:before="120" w:after="283"/>
        <w:ind w:left="0" w:right="0" w:firstLine="450"/>
        <w:rPr/>
      </w:pPr>
      <w:r>
        <w:rPr>
          <w:rFonts w:ascii="Times New Roman;sans-serif" w:hAnsi="Times New Roman;sans-serif"/>
          <w:b w:val="false"/>
          <w:color w:val="000000"/>
          <w:sz w:val="20"/>
        </w:rPr>
        <w:t>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have the ability to earn up to $150.0 million in performance incentives over the next several years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plus additional performance incentives for securing volumes from third-party customers. During the fourth quarter of 2020, we met the threshold requirements to begin earning the additional $150.0 million in performance incentives from Five Point. At February 22, 2022, we had received $33.9 million of the potential $150.0 million in performance incentives. In connection with the formation of San Mateo II, we dedicated to San Mateo II acreage in the Greater Stebbins Area and the Stateline asset area pursuant to 15-year, fixed-fee oil, natural gas and produced water gathering, natural gas processing and produced water disposal agreements.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Effective October 1, 2020, San Mateo II merged with and into San Mateo. The Company and Five Point own 51% and 49% of San Mateo, respectively. San Mateo provides firm service to us, while also being a midstream service provider to other customers in and around our Stateline, Wolf and Rustler Breaks asset areas and the Greater Stebbins Area. We retain operational control of San Mateo and continue to operate the Delaware Midstream Assets, the expanded Black River Processing Plant and facilities that have been developed in the Greater Stebbins Area and the Stateline asset area.</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Natural Gas Gathering and Processing Assets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2021,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September 2020, San Mateo completed and placed in service approximately 43 miles of large diameter natural gas gathering pipelines between the Black River Processing Plant and the Stateline asset area (approximately 24 miles) and the Greater Stebbins Area (approximately 19 miles). At December 31, 2021, San Mateo was gathering or transporting all our operated natural gas production via pipeline in the Stateline asset area, the Greater Stebbins Area, the Rustler Breaks asset area and the Wolf asset area.</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in early 2018, San Mateo completed a natural gas liquids (“NGL”) pipeline connection at the Black River Processing Plant to the NGL pipeline owned by EPIC Y-Grade Pipeline LP. This NGL connection provides several significant benefits to us and other San Mateo customers compared to transporting the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our Wolf asset area in Loving County, Texas, San Mateo gathers our natural gas production with the natural gas gathering system we retained following the sale of our wholly-owned subsidiary that owned certain natural gas gathering and processing assets in the Wolf asset area, including a cryogenic natural gas processing plant and approximately six miles of high-pressure gathering pipelines.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San Mateo’s natural gas gathering systems included natural gas gathering pipelines and related compression and treating systems. During the year ended December 31, 2021, San Mateo gathered approximately 86.1 Bcf of natural gas, an increase of 17%, as compared to 73.9 Bcf of natural gas gathered during the year ended December 31, 2020. In addition, during the year ended December 31, 2021, San Mateo processed approximately 77.6 Bcf of natural gas at the Black River Processing Plant, an increase of 28%, as compared to 60.8 Bcf of natural gas processed during the year ended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December 31, 2020. Natural gas gathering and processing volumes for the years ended December 31, 2021 and 2020 do not include the full quantity of volumes that would have otherwise been delivered by certain San Mateo customers subject to minimum volume commitments (although partial deliveries were made in both years), but for which San Mateo recognized revenues.</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Crude Oil Gathering and Transportation Assets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 </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2020, San Mateo completed and placed into service (i) a crude oil gathering and transportation system in the Greater Stebbins Area that was connected to the existing interconnect in the Rustler Breaks asset area via approximately 19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Wolf asset area, the “San Mateo Oil Pipeline Systems”) in service, at December 31, 2021, we estimated we had on pipe almost all of our oil production from the Stateline, Wolf and Rustler Breaks asset areas and the Greater Stebbins Area.</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San Mateo Oil Pipeline Systems included crude oil gathering and transportation pipelines from points of origin in Eddy County, New Mexico and Loving County, Texas to interconnects with Plains and two trucking facilities. During the year ended December 31, 2021, the San Mateo Oil Pipeline Systems had throughput of approximately 14.9 million Bbl of oil, an increase of 28%, as compared to throughput of approximately 11.6 million Bbl of oil during the year ended December 31, 2020. </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Produced Water Gathering and Disposal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2021, San Mateo placed into service one commercial salt water disposal well in the Greater Stebbins Area, bringing San Mateo’s commercial salt water disposal well count in the Greater Stebbins Area to three. In addition to its three commercial salt water disposal wells and associated facilities in the Greater Stebbins Area, at February 22, 2022, San Mateo had eight commercial salt water disposal wells and associated facilities in the Rustler Breaks asset area, three commercial salt water disposal wells and associated facilities in the Wolf asset area and produced water gathering systems in the Stateline, Rustler Breaks and Wolf asset areas and the Greater Stebbins Area. At February 22, 2022, San Mateo had designed disposal capacity of approximately 370,000 Bbl of produced water per day.</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San Mateo handled approximately 101.4 million Bbl of produced water, an increase of 20%, as compared to approximately 84.8 million Bbl of produced water handled during the year ended December 31, 2020.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South Texas / Northwest Louisiana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South Texas, we own a natural gas gathering system that gathers natural gas production from certain of our operated Eagle Ford leases. In Northwest Louisiana, we have midstream assets that gather natural gas from most of our operated leases. Our midstream assets in South Texas and Northwest Louisiana are not part of San Mateo.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Operating Summary</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unaudited production and operating data for the years ended December 31, 2021, 2020 and 2019.</w:t>
      </w:r>
    </w:p>
    <w:tbl>
      <w:tblPr>
        <w:tblW w:w="7940" w:type="dxa"/>
        <w:jc w:val="left"/>
        <w:tblInd w:w="0" w:type="dxa"/>
        <w:tblCellMar>
          <w:top w:w="28" w:type="dxa"/>
          <w:left w:w="28" w:type="dxa"/>
          <w:bottom w:w="28" w:type="dxa"/>
          <w:right w:w="28" w:type="dxa"/>
        </w:tblCellMar>
      </w:tblPr>
      <w:tblGrid>
        <w:gridCol w:w="1309"/>
        <w:gridCol w:w="1149"/>
        <w:gridCol w:w="115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761"/>
      </w:tblGrid>
      <w:tr>
        <w:trPr/>
        <w:tc>
          <w:tcPr>
            <w:tcW w:w="13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Production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Production Volumes: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63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630"/>
              <w:jc w:val="left"/>
              <w:rPr/>
            </w:pPr>
            <w:r>
              <w:rPr>
                <w:rFonts w:ascii="Times New Roman;sans-serif" w:hAnsi="Times New Roman;sans-serif"/>
                <w:b w:val="false"/>
                <w:color w:val="000000"/>
                <w:sz w:val="16"/>
              </w:rPr>
              <w:t>Average daily production (BOE/d)</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Sales Prices: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without realized derivatives (per 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 realized derivatives (per 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without realized derivatives (per 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 realized derivatives (per Mcf)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 (per BOE):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63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(1)Estimated using a conversion ratio of one Bbl of oil per six Mcf of natural gas.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2021 from our operating areas, which we consider to be distinct fields for purposes of accounting for production.</w:t>
      </w:r>
    </w:p>
    <w:tbl>
      <w:tblPr>
        <w:tblW w:w="10205" w:type="dxa"/>
        <w:jc w:val="left"/>
        <w:tblInd w:w="0" w:type="dxa"/>
        <w:tblCellMar>
          <w:top w:w="28" w:type="dxa"/>
          <w:left w:w="28" w:type="dxa"/>
          <w:bottom w:w="28" w:type="dxa"/>
          <w:right w:w="28" w:type="dxa"/>
        </w:tblCellMar>
      </w:tblPr>
      <w:tblGrid>
        <w:gridCol w:w="1033"/>
        <w:gridCol w:w="908"/>
        <w:gridCol w:w="914"/>
        <w:gridCol w:w="109"/>
        <w:gridCol w:w="109"/>
        <w:gridCol w:w="109"/>
        <w:gridCol w:w="299"/>
        <w:gridCol w:w="850"/>
        <w:gridCol w:w="368"/>
        <w:gridCol w:w="109"/>
        <w:gridCol w:w="109"/>
        <w:gridCol w:w="109"/>
        <w:gridCol w:w="200"/>
        <w:gridCol w:w="570"/>
        <w:gridCol w:w="247"/>
        <w:gridCol w:w="109"/>
        <w:gridCol w:w="109"/>
        <w:gridCol w:w="109"/>
        <w:gridCol w:w="196"/>
        <w:gridCol w:w="556"/>
        <w:gridCol w:w="241"/>
        <w:gridCol w:w="109"/>
        <w:gridCol w:w="109"/>
        <w:gridCol w:w="109"/>
        <w:gridCol w:w="225"/>
        <w:gridCol w:w="641"/>
        <w:gridCol w:w="277"/>
        <w:gridCol w:w="109"/>
        <w:gridCol w:w="109"/>
        <w:gridCol w:w="109"/>
        <w:gridCol w:w="196"/>
        <w:gridCol w:w="556"/>
        <w:gridCol w:w="293"/>
      </w:tblGrid>
      <w:tr>
        <w:trPr/>
        <w:tc>
          <w:tcPr>
            <w:tcW w:w="1033"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Southeast </w:t>
              <w:br/>
              <w:t>New Mexico/West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3"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3"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17,279 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17,840 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29,395 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31,454 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47,339 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48,876 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199.2 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67.65 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65.41 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64.40 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55.43 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59.49 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r>
        <w:trPr/>
        <w:tc>
          <w:tcPr>
            <w:tcW w:w="2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 and also includes one well producing from the Frio formation in Orange County, Texas.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50"/>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2020 from our operating areas, which we consider to be distinct fields for purposes of accounting for production.</w:t>
      </w:r>
      <w:r>
        <w:rPr>
          <w:color w:val="000000"/>
        </w:rPr>
        <w:t> </w:t>
      </w:r>
    </w:p>
    <w:tbl>
      <w:tblPr>
        <w:tblW w:w="10205" w:type="dxa"/>
        <w:jc w:val="left"/>
        <w:tblInd w:w="0" w:type="dxa"/>
        <w:tblCellMar>
          <w:top w:w="28" w:type="dxa"/>
          <w:left w:w="28" w:type="dxa"/>
          <w:bottom w:w="28" w:type="dxa"/>
          <w:right w:w="28" w:type="dxa"/>
        </w:tblCellMar>
      </w:tblPr>
      <w:tblGrid>
        <w:gridCol w:w="1026"/>
        <w:gridCol w:w="902"/>
        <w:gridCol w:w="908"/>
        <w:gridCol w:w="109"/>
        <w:gridCol w:w="109"/>
        <w:gridCol w:w="109"/>
        <w:gridCol w:w="303"/>
        <w:gridCol w:w="862"/>
        <w:gridCol w:w="373"/>
        <w:gridCol w:w="109"/>
        <w:gridCol w:w="109"/>
        <w:gridCol w:w="109"/>
        <w:gridCol w:w="200"/>
        <w:gridCol w:w="570"/>
        <w:gridCol w:w="246"/>
        <w:gridCol w:w="109"/>
        <w:gridCol w:w="109"/>
        <w:gridCol w:w="109"/>
        <w:gridCol w:w="196"/>
        <w:gridCol w:w="556"/>
        <w:gridCol w:w="241"/>
        <w:gridCol w:w="109"/>
        <w:gridCol w:w="109"/>
        <w:gridCol w:w="109"/>
        <w:gridCol w:w="225"/>
        <w:gridCol w:w="640"/>
        <w:gridCol w:w="277"/>
        <w:gridCol w:w="109"/>
        <w:gridCol w:w="109"/>
        <w:gridCol w:w="109"/>
        <w:gridCol w:w="196"/>
        <w:gridCol w:w="556"/>
        <w:gridCol w:w="293"/>
      </w:tblGrid>
      <w:tr>
        <w:trPr/>
        <w:tc>
          <w:tcPr>
            <w:tcW w:w="102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Southeast</w:t>
              <w:br/>
              <w:t> New Mexico/West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15,254 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27,514 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41,678 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67,522 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75,175 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 and also includes one well producing from the Frio formation in Orange County, Texas.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2019 from our operating areas, which we consider to be distinct fields for purposes of accounting for production.</w:t>
      </w:r>
    </w:p>
    <w:tbl>
      <w:tblPr>
        <w:tblW w:w="10205" w:type="dxa"/>
        <w:jc w:val="left"/>
        <w:tblInd w:w="0" w:type="dxa"/>
        <w:tblCellMar>
          <w:top w:w="28" w:type="dxa"/>
          <w:left w:w="28" w:type="dxa"/>
          <w:bottom w:w="28" w:type="dxa"/>
          <w:right w:w="28" w:type="dxa"/>
        </w:tblCellMar>
      </w:tblPr>
      <w:tblGrid>
        <w:gridCol w:w="1026"/>
        <w:gridCol w:w="902"/>
        <w:gridCol w:w="908"/>
        <w:gridCol w:w="109"/>
        <w:gridCol w:w="109"/>
        <w:gridCol w:w="109"/>
        <w:gridCol w:w="303"/>
        <w:gridCol w:w="862"/>
        <w:gridCol w:w="373"/>
        <w:gridCol w:w="109"/>
        <w:gridCol w:w="109"/>
        <w:gridCol w:w="109"/>
        <w:gridCol w:w="200"/>
        <w:gridCol w:w="570"/>
        <w:gridCol w:w="246"/>
        <w:gridCol w:w="109"/>
        <w:gridCol w:w="109"/>
        <w:gridCol w:w="109"/>
        <w:gridCol w:w="196"/>
        <w:gridCol w:w="556"/>
        <w:gridCol w:w="241"/>
        <w:gridCol w:w="109"/>
        <w:gridCol w:w="109"/>
        <w:gridCol w:w="109"/>
        <w:gridCol w:w="225"/>
        <w:gridCol w:w="640"/>
        <w:gridCol w:w="277"/>
        <w:gridCol w:w="109"/>
        <w:gridCol w:w="109"/>
        <w:gridCol w:w="109"/>
        <w:gridCol w:w="196"/>
        <w:gridCol w:w="556"/>
        <w:gridCol w:w="293"/>
      </w:tblGrid>
      <w:tr>
        <w:trPr/>
        <w:tc>
          <w:tcPr>
            <w:tcW w:w="102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Southeast</w:t>
              <w:br/>
              <w:t> New Mexico/West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12,843 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20,294 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24,164 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35,184 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38,312 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55,599 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36.93 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3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 and also includes one well producing from the Frio formation in Orange County, Texas.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oil equivalent production of approximately 31.5 million BOE for the year ended December 31, 2021 increased 14% from our total oil equivalent production of approximately 27.5 million BOE for the year ended December 31, 2020. This increased production was primarily due to our delineation and development operations in the Delaware Basin throughout 2021, which offset declining production in the Eagle Ford and Haynesville shales. Our average daily oil equivalent production for the year ended December 31, 2021 was 86,176 BOE per day, as compared to 75,175 BOE per day for the year ended December 31, 2020. Our average daily oil production for the year ended December 31, 2021 was 48,876 Bbl of oil per day, an increase of 12% from 43,526 Bbl of oil per day for the year ended December 31, 2020. Our average daily natural gas production for the year ended December 31, 2021 was 223.8 MMcf of natural gas per day, an increase of 18% from 189.9 MMcf of natural gas per day for the year ended December 31,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oil equivalent production of approximately 27.5 million BOE for the year ended December 31, 2020 increased 14% from our total oil equivalent production of approximately 24.2 million BOE for the year ended December 31, 2019. This increased production was primarily due to our delineation and development operations in the Delaware Basin throughout 2020, which offset declining production in the Eagle Ford and Haynesville shales. Our average daily oil equivalent production for the year ended December 31, 2020 was 75,175 BOE per day, as compared to 66,203 BOE per day for the year ended December 31, 2019. Our average daily oil production for the year ended December 31, 2020 was 43,526 Bbl of oil per day, an increase of 14% from 38,312 Bbl of oil per day for the year ended December 31, 2019. Our average daily natural gas production for the year ended December 31, 2020 was 189.9 MMcf of natural gas per day, an increase of 13% from 167.4 MMcf of natural gas per day for the year ended December 31, 2019.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Producing Wells</w:t>
      </w:r>
    </w:p>
    <w:p>
      <w:pPr>
        <w:pStyle w:val="TextBody"/>
        <w:spacing w:lineRule="auto" w:line="288" w:before="120" w:after="120"/>
        <w:ind w:left="0" w:right="0" w:firstLine="495"/>
        <w:rPr/>
      </w:pPr>
      <w:r>
        <w:rPr>
          <w:rFonts w:ascii="Times New Roman;sans-serif" w:hAnsi="Times New Roman;sans-serif"/>
          <w:b w:val="false"/>
          <w:color w:val="000000"/>
          <w:sz w:val="20"/>
        </w:rPr>
        <w:t>The following table sets forth information relating to producing wells at December 31, 2021. Wells are classified as oil wells or natural gas wells according to their predominant production stream. We had an approximate average working interest of 81% in all wells that we operated at December 31, 2021.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r>
        <w:rPr>
          <w:color w:val="000000"/>
        </w:rPr>
        <w:t> </w:t>
      </w:r>
    </w:p>
    <w:tbl>
      <w:tblPr>
        <w:tblW w:w="8845" w:type="dxa"/>
        <w:jc w:val="left"/>
        <w:tblInd w:w="0" w:type="dxa"/>
        <w:tblCellMar>
          <w:top w:w="28" w:type="dxa"/>
          <w:left w:w="28" w:type="dxa"/>
          <w:bottom w:w="28" w:type="dxa"/>
          <w:right w:w="28" w:type="dxa"/>
        </w:tblCellMar>
      </w:tblPr>
      <w:tblGrid>
        <w:gridCol w:w="972"/>
        <w:gridCol w:w="855"/>
        <w:gridCol w:w="858"/>
        <w:gridCol w:w="109"/>
        <w:gridCol w:w="109"/>
        <w:gridCol w:w="109"/>
        <w:gridCol w:w="210"/>
        <w:gridCol w:w="211"/>
        <w:gridCol w:w="176"/>
        <w:gridCol w:w="109"/>
        <w:gridCol w:w="109"/>
        <w:gridCol w:w="109"/>
        <w:gridCol w:w="278"/>
        <w:gridCol w:w="278"/>
        <w:gridCol w:w="121"/>
        <w:gridCol w:w="109"/>
        <w:gridCol w:w="109"/>
        <w:gridCol w:w="109"/>
        <w:gridCol w:w="210"/>
        <w:gridCol w:w="211"/>
        <w:gridCol w:w="176"/>
        <w:gridCol w:w="160"/>
        <w:gridCol w:w="160"/>
        <w:gridCol w:w="160"/>
        <w:gridCol w:w="314"/>
        <w:gridCol w:w="242"/>
        <w:gridCol w:w="160"/>
        <w:gridCol w:w="109"/>
        <w:gridCol w:w="109"/>
        <w:gridCol w:w="109"/>
        <w:gridCol w:w="277"/>
        <w:gridCol w:w="279"/>
        <w:gridCol w:w="176"/>
        <w:gridCol w:w="109"/>
        <w:gridCol w:w="109"/>
        <w:gridCol w:w="109"/>
        <w:gridCol w:w="278"/>
        <w:gridCol w:w="278"/>
        <w:gridCol w:w="170"/>
      </w:tblGrid>
      <w:tr>
        <w:trPr/>
        <w:tc>
          <w:tcPr>
            <w:tcW w:w="97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 Wells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Wells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Wells</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7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7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Eagle Ford</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Area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7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7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212 gross (67.5 net) vertical wells that were acquired in multiple transactions.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(3)Includes the Cotton Valley formation and shallower zones and also includes one well producing from the Frio formation in Orange County, Texas.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Estimated Proved Reserves</w:t>
      </w:r>
    </w:p>
    <w:p>
      <w:pPr>
        <w:pStyle w:val="TextBody"/>
        <w:spacing w:lineRule="auto" w:line="288" w:before="120" w:after="120"/>
        <w:ind w:left="0" w:right="0" w:firstLine="495"/>
        <w:rPr/>
      </w:pPr>
      <w:r>
        <w:rPr>
          <w:rFonts w:ascii="Times New Roman;sans-serif" w:hAnsi="Times New Roman;sans-serif"/>
          <w:b w:val="false"/>
          <w:color w:val="000000"/>
          <w:sz w:val="20"/>
        </w:rPr>
        <w:t>The following table sets forth our estimated proved oil and natural gas reserves at December 31, 2021, 2020 and 2019.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the estimated quantities of crude oil and natural gas that geological and engineering data demonstrate with reasonable certainty to be recoverable in future years from known reservoirs under existing economic and operating conditions.</w:t>
      </w:r>
      <w:r>
        <w:rPr>
          <w:color w:val="000000"/>
        </w:rPr>
        <w: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7334" w:type="dxa"/>
        <w:jc w:val="left"/>
        <w:tblInd w:w="0" w:type="dxa"/>
        <w:tblCellMar>
          <w:top w:w="28" w:type="dxa"/>
          <w:left w:w="28" w:type="dxa"/>
          <w:bottom w:w="28" w:type="dxa"/>
          <w:right w:w="28" w:type="dxa"/>
        </w:tblCellMar>
      </w:tblPr>
      <w:tblGrid>
        <w:gridCol w:w="1057"/>
        <w:gridCol w:w="932"/>
        <w:gridCol w:w="935"/>
        <w:gridCol w:w="109"/>
        <w:gridCol w:w="109"/>
        <w:gridCol w:w="109"/>
        <w:gridCol w:w="196"/>
        <w:gridCol w:w="691"/>
        <w:gridCol w:w="241"/>
        <w:gridCol w:w="109"/>
        <w:gridCol w:w="109"/>
        <w:gridCol w:w="109"/>
        <w:gridCol w:w="196"/>
        <w:gridCol w:w="691"/>
        <w:gridCol w:w="241"/>
        <w:gridCol w:w="109"/>
        <w:gridCol w:w="109"/>
        <w:gridCol w:w="109"/>
        <w:gridCol w:w="196"/>
        <w:gridCol w:w="691"/>
        <w:gridCol w:w="286"/>
      </w:tblGrid>
      <w:tr>
        <w:trPr/>
        <w:tc>
          <w:tcPr>
            <w:tcW w:w="1057"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At December 31,</w:t>
            </w:r>
            <w:r>
              <w:rPr>
                <w:rFonts w:ascii="Times New Roman;sans-serif" w:hAnsi="Times New Roman;sans-serif"/>
                <w:b/>
                <w:color w:val="000000"/>
                <w:sz w:val="10"/>
              </w:rPr>
              <w:t>(1)</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Estimated Proved Reserves Data:</w:t>
            </w:r>
            <w:r>
              <w:rPr>
                <w:rFonts w:ascii="Times New Roman;sans-serif" w:hAnsi="Times New Roman;sans-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159,949 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147,991 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270,332 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developed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102,233 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59,667 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 developed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undeveloped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79,073 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90,301 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146,821 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Standardized Measure</w:t>
            </w: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PV-10</w:t>
            </w: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(1)Numbers in table may not total due to rounding.</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2021 were $63.04 per Bbl for oil and $3.60 per MMBtu for natural gas, for the 12 months ended December 31, 2020 were $36.04 per Bbl for oil and $1.99 per MMBtu for natural gas and for the 12 months ended December 31, 2019 were $52.19 per Bbl for oil and $2.58 per MMBtu for natural gas. These prices were adjusted by property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(3)Estimated using a conversion ratio of one Bbl of oil per six Mcf of natural gas.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(4)Standardized Measure represents the present value of estimated future net cash flows from proved reserves, less estimated future development, production, plugging and abandonment and income tax expenses, discounted at 10% per annum to reflect the timing of future cash flows. Standardized Measure is not an estimate of the fair market value of our properties.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2021, 2020 and 2019 may be reconciled to our Standardized Measure of discounted future net cash flows at such dates by adding the discounted future income taxes associated with such reserves to the Standardized Measure. The discounted future income taxes at December 31, 2021, 2020 and 2019 were, in millions, $972.2, $73.6 and $214.2,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estimated total proved oil and natural gas reserves increased 20% from 270.3 million BOE at December 31, 2020 to 323.4 million BOE at December 31, 2021. This increase in proved oil and natural gas reserves was primarily attributable to (i) our delineation and development operations in the Delaware Basin during 2021 and (ii) the 75% increase in oil prices and the 81% increase in natural gas prices used to estimate total proved reserves at December 31, 2021, as compared to December 31, 2020. We added 33.1 million BOE in proved oil and natural gas reserves through extensions and discoveries during 2021, of which 22.4 million BOE resulted from new well locations drilled during 2021 to establish proved developed reserves and 26.9 million BOE resulted primarily from new proved undeveloped locations identified as a result of drilling activities on our existing acreage in the Delaware Basin during 2021, but which were partially offset by the removal of 16.3 million BOE in proved undeveloped reserves that were not developed or were no longer expected to be developed within five years of their initial booking resulting from changes in development plans for certain of our properties in the Delaware Basin. As we continue to develop our Delaware Basin assets, we may reclassify some or all of this 16.3 million BOE to proved reserves at a future date. We realized approximately 41.9 million BOE in net upward revisions to prior estimates, 96% of which were attributable to the significantly higher commodity prices used to estimate proved reserves at December 31, 2021, which resulted in longer estimated economic lives for certain of our properties. We also had small upward revisions to prior estimates attributable to increased working interests and lower estimated operating costs on certain of our properties. In addition, we realized 9.5 million BOE in net upward revisions to our proved oil and natural gas reserves at December 31, 2021 as a result of property acquisitions and divestitures completed during 2021.</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proved oil reserves grew 13% from approximately 159.9 million Bbl at December 31, 2020 to approximately 181.3 million Bbl at December 31, 2021. Our proved natural gas reserves increased 29% from 662.3 Bcf at December 31, 2020 to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852.5 Bcf at December 31, 2021. Our proved reserves to production ratio at December 31, 2021 was 10.3, an increase of 5% from 9.8 at December 31, 2020.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Standardized Measure of our total proved oil and natural gas reserves increased 176% from $1.58 billion at December 31, 2020 to $4.38 billion at December 31, 2021. The PV-10 of our total proved oil and natural gas reserves increased 223% from $1.66 billion at December 31, 2020 to $5.35 billion at December 31, 2021. The increases in our Standardized Measure and PV-10 are primarily a result of the significantly higher weighted average oil and natural gas prices used to estimate proved reserves at December 31, 2021, as compared to December 31, 2020, but also due to the 20% increase in our total proved oil and natural gas reserves at December 31, 2021, as compared to December 31, 2020. The unweighted arithmetic averages of first-day-of-the-month oil and natural gas prices used to estimate proved reserves at December 31, 2021 were $63.04 per Bbl and $3.60 per MMBtu, an increase of 75% and 81%, respectively, as compared to average oil and natural gas prices of $36.04 per Bbl and $1.99 per MMBtu used to estimate proved reserves at December 31, 2020. Our total proved reserves were made up of 56% oil and 44% natural gas at December 31, 2021 and 59% oil and 41% natural gas at December 31, 2020. PV-10 is a non-GAAP financial measure. For a reconciliation of PV-10 to Standardized Measure, see the preceding table.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estimated proved developed reserves at December 31, 2021.</w:t>
      </w:r>
    </w:p>
    <w:tbl>
      <w:tblPr>
        <w:tblW w:w="6551" w:type="dxa"/>
        <w:jc w:val="left"/>
        <w:tblInd w:w="0" w:type="dxa"/>
        <w:tblCellMar>
          <w:top w:w="28" w:type="dxa"/>
          <w:left w:w="28" w:type="dxa"/>
          <w:bottom w:w="28" w:type="dxa"/>
          <w:right w:w="28" w:type="dxa"/>
        </w:tblCellMar>
      </w:tblPr>
      <w:tblGrid>
        <w:gridCol w:w="1474"/>
        <w:gridCol w:w="1299"/>
        <w:gridCol w:w="1307"/>
        <w:gridCol w:w="109"/>
        <w:gridCol w:w="109"/>
        <w:gridCol w:w="109"/>
        <w:gridCol w:w="628"/>
        <w:gridCol w:w="628"/>
        <w:gridCol w:w="888"/>
      </w:tblGrid>
      <w:tr>
        <w:trPr/>
        <w:tc>
          <w:tcPr>
            <w:tcW w:w="1474"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Proved Developed Reserves</w:t>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123,507 </w:t>
            </w:r>
          </w:p>
        </w:tc>
        <w:tc>
          <w:tcPr>
            <w:tcW w:w="8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22,427 </w:t>
            </w:r>
          </w:p>
        </w:tc>
        <w:tc>
          <w:tcPr>
            <w:tcW w:w="8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4,907 </w:t>
            </w:r>
          </w:p>
        </w:tc>
        <w:tc>
          <w:tcPr>
            <w:tcW w:w="8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33,804 </w:t>
            </w:r>
          </w:p>
        </w:tc>
        <w:tc>
          <w:tcPr>
            <w:tcW w:w="8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(31,454)</w:t>
            </w:r>
          </w:p>
        </w:tc>
        <w:tc>
          <w:tcPr>
            <w:tcW w:w="8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proved undeveloped to proved developed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40,071 </w:t>
            </w:r>
          </w:p>
        </w:tc>
        <w:tc>
          <w:tcPr>
            <w:tcW w:w="8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193,262 </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Estimated using a conversion ratio of one Bbl of oil per six Mcf of natural gas.</w:t>
      </w:r>
    </w:p>
    <w:p>
      <w:pPr>
        <w:pStyle w:val="TextBody"/>
        <w:spacing w:before="0" w:after="0"/>
        <w:ind w:left="0" w:right="0" w:firstLine="495"/>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proved developed oil and natural gas reserves increased 56% from 123.5 million BOE at December 31, 2020 to 193.3 million BOE at December 31, 2021. We added 22.4 million BOE in proved developed reserves through extensions and discoveries during 2021, which resulted from new well locations drilled during 2021 to establish proved reserves. We realized approximately 33.8 million BOE in net upward revisions to prior estimates, 97% of which was attributable to the significantly higher commodity prices used to estimate proved reserves at December 31, 2021, which resulted in longer estimated economic lives for certain of our producing properties. We also had small upward revisions to prior estimates attributable to increased working interests and lower estimated operating costs on certain of our producing properties. In addition, we converted 40.1 million BOE of our proved undeveloped reserves to proved developed reserves through our development activities in the Delaware Basin during 2021, primarily in our Stateline asset area, in the Greater Stebbins Area and in the Rodney Robinson leasehold in the Antelope Ridge asset area. In addition, we realized 4.9 million BOE in net upward revisions to our proved developed reserves at December 31, 2021 as a result of property acquisitions and divestitures completed during 2021. These cumulative net upward revisions of 101.2 million BOE to our proved developed reserves exceeded by 3.2 times our total oil and natural gas production of 31.5 million BOE in 2021.</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proved developed oil reserves increased 47% from 69.6 million Bbl at December 31, 2020 to 102.2 million Bbl at December 31, 2021. Our proved developed natural gas reserves increased 69% from 323.2 Bcf at December 31, 2020 to 546.2 Bcf at December 31, 2021. Proved developed reserves constituted 60% of our total proved oil and natural gas reserves at December 31, 2021, as compared to 46% at December 31, 2020.</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estimated proved undeveloped reserves at December 31, 2021.</w:t>
      </w:r>
    </w:p>
    <w:tbl>
      <w:tblPr>
        <w:tblW w:w="6731" w:type="dxa"/>
        <w:jc w:val="left"/>
        <w:tblInd w:w="0" w:type="dxa"/>
        <w:tblCellMar>
          <w:top w:w="28" w:type="dxa"/>
          <w:left w:w="28" w:type="dxa"/>
          <w:bottom w:w="28" w:type="dxa"/>
          <w:right w:w="28" w:type="dxa"/>
        </w:tblCellMar>
      </w:tblPr>
      <w:tblGrid>
        <w:gridCol w:w="1474"/>
        <w:gridCol w:w="1299"/>
        <w:gridCol w:w="1307"/>
        <w:gridCol w:w="109"/>
        <w:gridCol w:w="109"/>
        <w:gridCol w:w="109"/>
        <w:gridCol w:w="679"/>
        <w:gridCol w:w="679"/>
        <w:gridCol w:w="966"/>
      </w:tblGrid>
      <w:tr>
        <w:trPr/>
        <w:tc>
          <w:tcPr>
            <w:tcW w:w="1474"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Proved Undeveloped Reserves</w:t>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146,825 </w:t>
            </w:r>
          </w:p>
        </w:tc>
        <w:tc>
          <w:tcPr>
            <w:tcW w:w="9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10,647 </w:t>
            </w:r>
          </w:p>
        </w:tc>
        <w:tc>
          <w:tcPr>
            <w:tcW w:w="9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4,622 </w:t>
            </w:r>
          </w:p>
        </w:tc>
        <w:tc>
          <w:tcPr>
            <w:tcW w:w="9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8,112 </w:t>
            </w:r>
          </w:p>
        </w:tc>
        <w:tc>
          <w:tcPr>
            <w:tcW w:w="9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proved undeveloped to proved developed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(40,071)</w:t>
            </w:r>
          </w:p>
        </w:tc>
        <w:tc>
          <w:tcPr>
            <w:tcW w:w="9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130,135 </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(1)Estimated using a conversion ratio of one Bbl of oil per six Mcf of natural gas.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proved undeveloped oil and natural gas reserves decreased 11% from 146.8 million BOE at December 31, 2020 to 130.1 million at December 31, 2021. We added 26.9 million BOE in proved undeveloped reserves through extensions and discoveries during 2021, which resulted primarily from new proved undeveloped locations identified as a result of drilling activities on our existing acreage in the Delaware Basin during 2021 but which were partially offset by the removal of 16.3 million BOE in proved undeveloped reserves that were not developed or were no longer expected to be developed within five years of their initial booking resulting from changes in development plans for certain of the properties in the Delaware Basin. We realized approximately 8.1 million BOE in net upward revisions to our prior estimates of proved undeveloped reserves, 90% of which was attributable to the significantly higher commodity prices used to estimate proved reserves at December 31, 2021, which resulted in longer estimated economic lives for certain of our proved undeveloped locations. We also had small upward revisions to prior estimates attributable to increased working interests and lower estimated operating costs on certain of our proved undeveloped locations. In addition, we realized 4.6 million BOE in net upward revisions to our proved undeveloped reserves at December 31, 2021 as a result of property acquisitions and divestitures completed during 2021. During 2021, we also converted 40.1 million BOE of our proved undeveloped reserves to proved developed reserves through our development activities in the Delaware Basin during 2021, primarily in our Stateline asset area, in the Greater Stebbins Area and in the Rodney Robinson leasehold in the Antelope Ridge asset area.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no proved undeveloped reserves in our estimates that remained undeveloped for five years or more following their initial booking, and we currently have plans to use anticipated capital resources to develop the proved undeveloped reserves remaining as of December 31, 2021 within five years of booking these reserves. The following table sets forth, since 2018, proved undeveloped reserves converted to proved developed reserves during each year and the investments associated with these conversions (dollars in thousands).</w:t>
      </w:r>
    </w:p>
    <w:tbl>
      <w:tblPr>
        <w:tblW w:w="10205" w:type="dxa"/>
        <w:jc w:val="left"/>
        <w:tblInd w:w="0" w:type="dxa"/>
        <w:tblCellMar>
          <w:top w:w="28" w:type="dxa"/>
          <w:left w:w="28" w:type="dxa"/>
          <w:bottom w:w="28" w:type="dxa"/>
          <w:right w:w="28" w:type="dxa"/>
        </w:tblCellMar>
      </w:tblPr>
      <w:tblGrid>
        <w:gridCol w:w="174"/>
        <w:gridCol w:w="153"/>
        <w:gridCol w:w="154"/>
        <w:gridCol w:w="109"/>
        <w:gridCol w:w="109"/>
        <w:gridCol w:w="109"/>
        <w:gridCol w:w="328"/>
        <w:gridCol w:w="318"/>
        <w:gridCol w:w="198"/>
        <w:gridCol w:w="144"/>
        <w:gridCol w:w="144"/>
        <w:gridCol w:w="144"/>
        <w:gridCol w:w="333"/>
        <w:gridCol w:w="308"/>
        <w:gridCol w:w="310"/>
        <w:gridCol w:w="144"/>
        <w:gridCol w:w="144"/>
        <w:gridCol w:w="144"/>
        <w:gridCol w:w="368"/>
        <w:gridCol w:w="368"/>
        <w:gridCol w:w="273"/>
        <w:gridCol w:w="109"/>
        <w:gridCol w:w="109"/>
        <w:gridCol w:w="109"/>
        <w:gridCol w:w="865"/>
        <w:gridCol w:w="3849"/>
        <w:gridCol w:w="68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384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 Conversion of Proved Undeveloped Reserves to Proved Developed Reserves</w:t>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8" w:type="dxa"/>
            <w:gridSpan w:val="1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Proved Undeveloped Reserves </w:t>
              <w:br/>
              <w:t xml:space="preserve">Converted to </w:t>
              <w:br/>
              <w:t>Proved Developed Reserves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8" w:type="dxa"/>
            <w:gridSpan w:val="15"/>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Oil </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02"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02"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02"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02"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26,283 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356,830 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23,629 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318,609 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28,944 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257,590 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23,965 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40,071 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240,664 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70,062 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118,927 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1,173,693 </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Estimated using a conversion ratio of one Bbl of oil per six Mcf of natural gas.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before="120" w:after="283"/>
        <w:rPr/>
      </w:pPr>
      <w:r>
        <w:rPr/>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additional summary information by operating area with respect to our estimated net proved reserves at December 31, 2021. </w:t>
      </w:r>
    </w:p>
    <w:tbl>
      <w:tblPr>
        <w:tblW w:w="10205" w:type="dxa"/>
        <w:jc w:val="left"/>
        <w:tblInd w:w="0" w:type="dxa"/>
        <w:tblCellMar>
          <w:top w:w="28" w:type="dxa"/>
          <w:left w:w="28" w:type="dxa"/>
          <w:bottom w:w="28" w:type="dxa"/>
          <w:right w:w="28" w:type="dxa"/>
        </w:tblCellMar>
      </w:tblPr>
      <w:tblGrid>
        <w:gridCol w:w="946"/>
        <w:gridCol w:w="828"/>
        <w:gridCol w:w="831"/>
        <w:gridCol w:w="109"/>
        <w:gridCol w:w="109"/>
        <w:gridCol w:w="109"/>
        <w:gridCol w:w="373"/>
        <w:gridCol w:w="363"/>
        <w:gridCol w:w="202"/>
        <w:gridCol w:w="114"/>
        <w:gridCol w:w="114"/>
        <w:gridCol w:w="114"/>
        <w:gridCol w:w="333"/>
        <w:gridCol w:w="329"/>
        <w:gridCol w:w="331"/>
        <w:gridCol w:w="114"/>
        <w:gridCol w:w="114"/>
        <w:gridCol w:w="114"/>
        <w:gridCol w:w="384"/>
        <w:gridCol w:w="382"/>
        <w:gridCol w:w="381"/>
        <w:gridCol w:w="109"/>
        <w:gridCol w:w="109"/>
        <w:gridCol w:w="109"/>
        <w:gridCol w:w="354"/>
        <w:gridCol w:w="1254"/>
        <w:gridCol w:w="200"/>
        <w:gridCol w:w="109"/>
        <w:gridCol w:w="109"/>
        <w:gridCol w:w="109"/>
        <w:gridCol w:w="196"/>
        <w:gridCol w:w="691"/>
        <w:gridCol w:w="162"/>
      </w:tblGrid>
      <w:tr>
        <w:trPr/>
        <w:tc>
          <w:tcPr>
            <w:tcW w:w="94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Proved Reserves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 Equivalent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Standardized Measure</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PV-10</w:t>
            </w:r>
            <w:r>
              <w:rPr>
                <w:rFonts w:ascii="Times New Roman;sans-serif" w:hAnsi="Times New Roman;sans-serif"/>
                <w:b/>
                <w:color w:val="000000"/>
                <w:sz w:val="10"/>
              </w:rPr>
              <w:t>(3)</w:t>
            </w:r>
          </w:p>
        </w:tc>
      </w:tr>
      <w:tr>
        <w:trPr/>
        <w:tc>
          <w:tcPr>
            <w:tcW w:w="2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6"/>
              </w:rPr>
              <w:t>(MBOE)</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 Basin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177,137 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312,018 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5,217.2 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Eagle Ford</w:t>
            </w: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5,663 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Area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5,716 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181,306 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852.5 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323,397 </w:t>
            </w:r>
          </w:p>
        </w:tc>
        <w:tc>
          <w:tcPr>
            <w:tcW w:w="38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4,375.4 </w:t>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5,347.6 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(1)Numbers in table may not total due to rounding.</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2021 may be reconciled to our Standardized Measure of discounted future net cash flows at such date by adding the discounted future income taxes associated with such reserves to the Standardized Measure. The discounted future income taxes at December 31, 2021 were approximately $972.2 million.</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(4)Estimated using a conversion ratio of one Bbl of oil per six Mcf of natural gas.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(6)Includes the Cotton Valley formation and shallower zones and also includes one well producing from the Frio formation in Orange County, Texas.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Technology Used to Establish Reserves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Internal Control Over Reserves Estimation Process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Reserves Manager was primarily responsible for overseeing the preparation of our reserves estimates in 2021. He received Bachelor of Science degrees in both Petroleum Engineering and Mechanical Engineering from Texas Tech University, is a licensed Professional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Engineer in the state of Texas and has over nine years of industry experience. Our Reserves Manager works under the direct supervision of our Senior Vice President of Reservoir Engineering and Senior Asset Manager, who received a Bachelor of Science degree in Petroleum Engineering from Texas A&amp;M University and has over 14 years of industry experience. The Company has established internal controls over its reserves estimation processes and procedures to support the accurate and timely preparation and disclosure of reserves estimates in accordance with SEC and U.S. generally accepted accounting principles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review the reserves report and our reserves estimation process, and the independent audit of our reserves is reviewed by other members of our Board of Directors as well.</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Acreage Summary</w:t>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acreage in which we held a leasehold, mineral or other interest at December 31, 2021.</w:t>
      </w:r>
    </w:p>
    <w:tbl>
      <w:tblPr>
        <w:tblW w:w="10205" w:type="dxa"/>
        <w:jc w:val="left"/>
        <w:tblInd w:w="0" w:type="dxa"/>
        <w:tblCellMar>
          <w:top w:w="28" w:type="dxa"/>
          <w:left w:w="28" w:type="dxa"/>
          <w:bottom w:w="28" w:type="dxa"/>
          <w:right w:w="28" w:type="dxa"/>
        </w:tblCellMar>
      </w:tblPr>
      <w:tblGrid>
        <w:gridCol w:w="935"/>
        <w:gridCol w:w="816"/>
        <w:gridCol w:w="819"/>
        <w:gridCol w:w="109"/>
        <w:gridCol w:w="109"/>
        <w:gridCol w:w="109"/>
        <w:gridCol w:w="368"/>
        <w:gridCol w:w="368"/>
        <w:gridCol w:w="196"/>
        <w:gridCol w:w="151"/>
        <w:gridCol w:w="151"/>
        <w:gridCol w:w="151"/>
        <w:gridCol w:w="368"/>
        <w:gridCol w:w="368"/>
        <w:gridCol w:w="158"/>
        <w:gridCol w:w="109"/>
        <w:gridCol w:w="109"/>
        <w:gridCol w:w="109"/>
        <w:gridCol w:w="323"/>
        <w:gridCol w:w="323"/>
        <w:gridCol w:w="196"/>
        <w:gridCol w:w="171"/>
        <w:gridCol w:w="171"/>
        <w:gridCol w:w="171"/>
        <w:gridCol w:w="323"/>
        <w:gridCol w:w="323"/>
        <w:gridCol w:w="178"/>
        <w:gridCol w:w="109"/>
        <w:gridCol w:w="109"/>
        <w:gridCol w:w="109"/>
        <w:gridCol w:w="368"/>
        <w:gridCol w:w="368"/>
        <w:gridCol w:w="196"/>
        <w:gridCol w:w="110"/>
        <w:gridCol w:w="110"/>
        <w:gridCol w:w="110"/>
        <w:gridCol w:w="368"/>
        <w:gridCol w:w="368"/>
        <w:gridCol w:w="198"/>
      </w:tblGrid>
      <w:tr>
        <w:trPr/>
        <w:tc>
          <w:tcPr>
            <w:tcW w:w="935"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Developed 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Undeveloped 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Total Acres</w:t>
            </w:r>
          </w:p>
        </w:tc>
      </w:tr>
      <w:tr>
        <w:trPr/>
        <w:tc>
          <w:tcPr>
            <w:tcW w:w="2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Net</w:t>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 Basin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124,800 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Eagle Ford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Cotton Valley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Area Total</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2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135,800 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167,600 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Undeveloped Acreage Expiration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number of gross and net undeveloped acres at December 31, 2021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2027 and beyond totals 6,700 net acres, all of which is in the Delaware Basin. All of our leasehold in the Eagle Ford shale in South Texas and in the Haynesville and Cotton Valley plays in Northwest Louisiana was held by existing production at December 31, 2021.</w:t>
      </w:r>
    </w:p>
    <w:tbl>
      <w:tblPr>
        <w:tblW w:w="11308" w:type="dxa"/>
        <w:jc w:val="left"/>
        <w:tblInd w:w="0" w:type="dxa"/>
        <w:tblCellMar>
          <w:top w:w="28" w:type="dxa"/>
          <w:left w:w="28" w:type="dxa"/>
          <w:bottom w:w="28" w:type="dxa"/>
          <w:right w:w="28" w:type="dxa"/>
        </w:tblCellMar>
      </w:tblPr>
      <w:tblGrid>
        <w:gridCol w:w="299"/>
        <w:gridCol w:w="263"/>
        <w:gridCol w:w="264"/>
        <w:gridCol w:w="109"/>
        <w:gridCol w:w="109"/>
        <w:gridCol w:w="109"/>
        <w:gridCol w:w="323"/>
        <w:gridCol w:w="323"/>
        <w:gridCol w:w="176"/>
        <w:gridCol w:w="109"/>
        <w:gridCol w:w="109"/>
        <w:gridCol w:w="109"/>
        <w:gridCol w:w="323"/>
        <w:gridCol w:w="323"/>
        <w:gridCol w:w="109"/>
        <w:gridCol w:w="109"/>
        <w:gridCol w:w="109"/>
        <w:gridCol w:w="109"/>
        <w:gridCol w:w="278"/>
        <w:gridCol w:w="278"/>
        <w:gridCol w:w="176"/>
        <w:gridCol w:w="109"/>
        <w:gridCol w:w="109"/>
        <w:gridCol w:w="109"/>
        <w:gridCol w:w="278"/>
        <w:gridCol w:w="278"/>
        <w:gridCol w:w="109"/>
        <w:gridCol w:w="109"/>
        <w:gridCol w:w="109"/>
        <w:gridCol w:w="109"/>
        <w:gridCol w:w="278"/>
        <w:gridCol w:w="278"/>
        <w:gridCol w:w="176"/>
        <w:gridCol w:w="109"/>
        <w:gridCol w:w="109"/>
        <w:gridCol w:w="109"/>
        <w:gridCol w:w="278"/>
        <w:gridCol w:w="278"/>
        <w:gridCol w:w="109"/>
        <w:gridCol w:w="109"/>
        <w:gridCol w:w="109"/>
        <w:gridCol w:w="109"/>
        <w:gridCol w:w="278"/>
        <w:gridCol w:w="278"/>
        <w:gridCol w:w="176"/>
        <w:gridCol w:w="109"/>
        <w:gridCol w:w="109"/>
        <w:gridCol w:w="109"/>
        <w:gridCol w:w="278"/>
        <w:gridCol w:w="278"/>
        <w:gridCol w:w="109"/>
        <w:gridCol w:w="109"/>
        <w:gridCol w:w="109"/>
        <w:gridCol w:w="109"/>
        <w:gridCol w:w="278"/>
        <w:gridCol w:w="278"/>
        <w:gridCol w:w="176"/>
        <w:gridCol w:w="109"/>
        <w:gridCol w:w="109"/>
        <w:gridCol w:w="109"/>
        <w:gridCol w:w="278"/>
        <w:gridCol w:w="278"/>
        <w:gridCol w:w="156"/>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2026</w:t>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(1)Approximately 65%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2021,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leases are primarily fee and state leases with primary terms of three to five years and federal leases with primary terms of 10 years. We believe that our lease terms are similar to our competitors’ lease terms as they relate to both primary term and royalty interests. At December 31, 2021, less than 2% of our proved oil and natural gas reserves would be impacted by the expirations of this undeveloped acreage.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Drilling Results</w:t>
      </w:r>
    </w:p>
    <w:p>
      <w:pPr>
        <w:pStyle w:val="TextBody"/>
        <w:spacing w:lineRule="auto" w:line="288" w:before="120" w:after="120"/>
        <w:ind w:left="0" w:right="0" w:firstLine="495"/>
        <w:rPr/>
      </w:pPr>
      <w:r>
        <w:rPr>
          <w:rFonts w:ascii="Times New Roman;sans-serif" w:hAnsi="Times New Roman;sans-serif"/>
          <w:b w:val="false"/>
          <w:color w:val="000000"/>
          <w:sz w:val="20"/>
        </w:rPr>
        <w:t>The following table summarizes our drilling activity for the years ended December 31, 2021, 2020 and 2019</w:t>
      </w:r>
      <w:r>
        <w:rPr>
          <w:rFonts w:ascii="Times New Roman;sans-serif" w:hAnsi="Times New Roman;sans-serif"/>
          <w:b w:val="false"/>
          <w:color w:val="000000"/>
          <w:sz w:val="18"/>
        </w:rPr>
        <w:t>. </w:t>
      </w:r>
    </w:p>
    <w:tbl>
      <w:tblPr>
        <w:tblW w:w="7048" w:type="dxa"/>
        <w:jc w:val="left"/>
        <w:tblInd w:w="0" w:type="dxa"/>
        <w:tblCellMar>
          <w:top w:w="28" w:type="dxa"/>
          <w:left w:w="28" w:type="dxa"/>
          <w:bottom w:w="28" w:type="dxa"/>
          <w:right w:w="28" w:type="dxa"/>
        </w:tblCellMar>
      </w:tblPr>
      <w:tblGrid>
        <w:gridCol w:w="543"/>
        <w:gridCol w:w="477"/>
        <w:gridCol w:w="480"/>
        <w:gridCol w:w="109"/>
        <w:gridCol w:w="109"/>
        <w:gridCol w:w="109"/>
        <w:gridCol w:w="210"/>
        <w:gridCol w:w="211"/>
        <w:gridCol w:w="176"/>
        <w:gridCol w:w="109"/>
        <w:gridCol w:w="109"/>
        <w:gridCol w:w="109"/>
        <w:gridCol w:w="233"/>
        <w:gridCol w:w="233"/>
        <w:gridCol w:w="121"/>
        <w:gridCol w:w="109"/>
        <w:gridCol w:w="109"/>
        <w:gridCol w:w="109"/>
        <w:gridCol w:w="203"/>
        <w:gridCol w:w="203"/>
        <w:gridCol w:w="176"/>
        <w:gridCol w:w="109"/>
        <w:gridCol w:w="109"/>
        <w:gridCol w:w="109"/>
        <w:gridCol w:w="233"/>
        <w:gridCol w:w="233"/>
        <w:gridCol w:w="121"/>
        <w:gridCol w:w="109"/>
        <w:gridCol w:w="109"/>
        <w:gridCol w:w="109"/>
        <w:gridCol w:w="210"/>
        <w:gridCol w:w="211"/>
        <w:gridCol w:w="176"/>
        <w:gridCol w:w="109"/>
        <w:gridCol w:w="109"/>
        <w:gridCol w:w="109"/>
        <w:gridCol w:w="233"/>
        <w:gridCol w:w="233"/>
        <w:gridCol w:w="170"/>
      </w:tblGrid>
      <w:tr>
        <w:trPr/>
        <w:tc>
          <w:tcPr>
            <w:tcW w:w="54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00"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5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Development Wells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Exploration Wells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Wells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a total of 31 gross (27.0 net) development wells and two gross (1.1 net) exploration wells that were in the process of being drilled, being completed or awaiting completion operations.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Marketing and Customers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deducted from the price received for crude oil and liquids.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liquids based on either a negotiated percentage of the proceeds that are generated from the sale of the liquids or other negotiated pricing arrangements using then-current market pricing less fixed rate processing, transportation and fractionation fees.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our oil and natural gas production fluctuate widely. Factors that, directly or indirectly, cause price fluctuations include the level of demand for oil and natural gas, the actions of the Organization of Petroleum Exporting Countries, Russia and certain other oil-exporting countries (“OPEC+”), weather conditions, including hurricanes in the Gulf Coast region and severe cold weather in the Delaware Basin, oil and natural gas storage levels, transportation and refinery capacity constraints, domestic and foreign governmental regulations, price and availability of alternative fuels, political conditions in oil and natural gas producing regions, including Russia, Ukraine, China and the Middle East, domestic or global health concerns such as COVID-19, the domestic and foreign supply of oil and natural gas, the price of foreign imports and overall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Condition—An increase in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differential between the NYMEX or other benchmark prices of oil and natural gas and the wellhead price we receive for our production could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we had three, two and two significant purchasers, respectively, that accounted for approximately 72%, 65% and 67%,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Title to Properties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endeavor to ensure that title to our properties is in accordance with standards generally accepted in the oil and natural gas industry. While we rely upon the judgment of oil and natural gas lease brokers and/or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Factors—Risks Related to our Financial Condition—We may incur losses or costs as a result of title deficiencies in the properties in which we invest.”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 As discussed below in “—Regulation,” the Biden administration has issued certain orders and implemented certain policies limiting or delaying the issuance of federal drilling permits and other necessary federal approvals. Although some of these restrictions have lapsed at December 31, 2021, the impact of federal actions related to the oil and natural gas industry remains unclear, and should those or other limitations or prohibitions be imposed or continue to be applied, our oil and natural gas operations on federal lands could be adversely impacted.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its areas of operations, and such companies may have legacy relationships with producers in those areas and may have a longer history of efficiency and reliability.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drill and explore for oil and natural gas, to acquire properties and to provide competitive midstream services will depend upon our ability to conduct operations, to evaluate and select suitable properties and to consummate transactions in this highly competitive environment. In addition, many of our competitors may have a longer history of operations.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Regulation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In January 2021, the Biden administration issued: (i) an order signed by the acting Secretary of the Interior providing for a 60-day pause limiting the authority of local offices of the Bureau of Land Management (“BLM”)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Administration Federal Lease Orders”). In 2019, 2020 and 2021, an environmental group filed three lawsuits in federal district courts in New Mexico and the District of Columbia challenging certain BLM lease sales, including lease sales in which we purchased leases in New Mexico (the “Lease Sale Litigation”). The Lease Sale Litigation challenges the BLM’s decision to hold the lease sales based on alleged defects in the environmental reviews conducted under the National Environmental Policy Act (“NEPA”) in conjunction with those sales. In 2020, the New Mexico federal district court dismissed the case pending there. That decision was appealed to the Tenth Circuit, but the appeal was voluntarily dismissed in 2021. In February 2022, the BLM announced an internal policy of delaying approval of drilling permits associated with the leases subject to the Lease Sale Litigation, including the dismissed New Mexico case, while the BLM conducted additional NEPA analyses. The BLM has not announced when it will complete the additional NEPA review, and the outcome of that review with regard to the leases at issue and any related drilling permits is uncertain.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“Social Cost of Carbon Litigation”). Among the decisions impacted by the executive order were NEPA reviews conducted in connection with oil and gas leasing and permitting decisions by the BLM. In February 2022, the Louisiana federal district court issued an injunction prohibiting the federal government, including the Department of Interior and BLM, from utilizing the challenged social cost of greenhouse gases factor as a part of NEPA reviews. Subsequent to that decision, the federal government submitted filings in the federal district court indicating that the court’s injunction could, among other things, result in an indefinite delay of future lease sales and permit approvals due to inconsistencies between the NEPA analyses and the court’s ruling.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some of the restrictions in the Biden Administrative Federal Lease Orders have lapsed at December 31, 2021, the impact of federal actions related to the oil and natural gas industry, including those in response to the Lease Sale Litigation and Social Cost of Carbon Litigation, remains unclear, and should limitations or prohibitions be imposed or continue to be applied, our oil and natural gas operations on federal lands could be adversely impacted. See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70 miles of various diameter crude oil pipelines from origin points in Eddy County, New Mexico to an interconnect with Plains. We believe that the other crude oil pipelines in our gathering systems meet the traditional tests FERC has used to establish a pipeline’s status as an intrastate facility not subject to FERC jurisdiction.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also generally allow interstate crude oil pipelines to annually index their rates up to a prescribed ceiling level and require that such pipelines index their rates down to the prescribed ceiling level if the index is negative.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On January 13, 2017, PHMSA issued, but did not publish, a similar proposed rule for hazardous liquids (i.e., oil) pipelines and gathering lines. It is unclear when or if this rule will go into effect as, on January 20, 2017, the Trump administration requested that all regulations that had been sent to the Office of the Federal Register, but not yet published, be immediately withdrawn for further review.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Additional expansion of pipeline safety requirements or our operations could subject us to more stringent or costly safety standards, which could result in increased operating costs or operational delays.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U.S. Federal and State Taxation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there has been a significant amount of discussion by legislators and presidential administrations concerning a variety of energy tax proposals at the federal level.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Any such changes in federal income tax law could eliminate or defer certain tax deductions within the industry that are currently available with respect to oil and gas exploration and development, and any such changes could negatively affect our financial condition, results of operations, and cash flows. The Build Back Better Act (H.R. 5376) was passed by the U.S. House of Representatives on November 19, 2021 and contains certain U.S. federal income tax changes and certain additional taxes and fees.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Hydraulic Fracturing Policies and Procedures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use hydraulic fracturing as a means to maximize the recovery of oil and natural gas in almost every well that we drill and complete. Our engineers responsible for these operations attend specialized hydraulic fracturing training programs taught by industry professionals.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These costs are treated in the same way as all other costs of drilling and completion of our wells and are included in and funded through our normal capital expenditure budget.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protection of groundwater quality is important to us. We believe that we follow all state and federal regulations and apply industry standard practices for groundwater protection in our operations. These measures are subject to close supervision by state and federal regulators (including the BLM, with respect to federal acreage).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rare, if the cement and steel casing used in well construction requires remediation, we deal with these problems by evaluating the issue and running diagnostic tools, including cement bond logs and temperature logs, and conducting pressure testing, followed by pumping remedial cement jobs and taking other appropriate remedial measures.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vast majority of our hydraulic fracturing treatments are made up of water and sand or other kinds of man-made proppants. We use major hydraulic fracturing service companies that track and report chemical additives that are used in fracturing operations as required by the appropriate governmental agencies. These service companies fracture stimulate thousands of wells each year for the industry and employ rigorous safety procedures to protect the environment and work to develop more environmentally friendly fracturing fluids. We follow safety procedures and monitor all aspects of our fracturing operations in an attempt to ensure environmental protection. We do not pump any diesel in the fluid systems of any of our fracture stimulation procedures.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While current fracture stimulation procedures utilize a significant amount of water, we typically recover less than 10% of this fracture stimulation water before produced water becomes a significant portion of the fluids produced. All produced water, including fracture stimulation water, is either recycled or disposed of in permitted and regulated disposal facilities in a way that is designed to avoid any impact to surface waters. Since mid-2015, we have been recycling a portion of our produced water in certain of our Delaware Basin asset areas. Recycling produced water mitigates the need for produced water disposal and also provides cost savings to us. Furthermore, an increasing percentage of the water used in our hydraulic fracturing operations is sourced from recycled produced water from our wells or other sources, further reducing the amount of fresh water in our hydraulic fracturing operations.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Environmental, Health and Safety Regulation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exploration, development, production, gathering and processing of oil and natural gas, including the operation of produced water injection and disposal wells,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(the “RCRA”), the Clean Air Act (the “CAA”), the Safe Drinking Water Act (the “SDWA”)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 </w:t>
      </w:r>
    </w:p>
    <w:p>
      <w:pPr>
        <w:pStyle w:val="TextBody"/>
        <w:spacing w:lineRule="auto" w:line="288" w:before="120" w:after="283"/>
        <w:ind w:left="0" w:right="0" w:firstLine="495"/>
        <w:rPr/>
      </w:pPr>
      <w:r>
        <w:rPr>
          <w:rFonts w:ascii="Times New Roman;sans-serif" w:hAnsi="Times New Roman;sans-serif"/>
          <w:b w:val="false"/>
          <w:color w:val="000000"/>
          <w:sz w:val="20"/>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Environmental Protection Agency (the “EPA”) and U.S. Army Corps of Engineers (the “Corps”) to revise the definition of “waters of the United States” (“WOTUS”) for all CWA programs, thereby defining the scope of the EPA’s and the Corps’ jurisdiction, became effective. The EPA rescinded this rule in 2019, however, and promulgated the Navigable Waters Protection Rule (the “NWPR”) in 2020.</w:t>
      </w:r>
      <w:r>
        <w:rPr>
          <w:color w:val="000000"/>
        </w:rPr>
        <w:t xml:space="preserve"> </w:t>
      </w:r>
      <w:r>
        <w:rPr>
          <w:rFonts w:ascii="Times New Roman;sans-serif" w:hAnsi="Times New Roman;sans-serif"/>
          <w:b w:val="false"/>
          <w:color w:val="000000"/>
          <w:sz w:val="20"/>
        </w:rPr>
        <w:t>The NWPR defined what waters qualify as navigable waters of the United States and are under CWA jurisdiction.</w:t>
      </w:r>
      <w:r>
        <w:rPr>
          <w:color w:val="000000"/>
        </w:rPr>
        <w:t xml:space="preserve"> </w:t>
      </w:r>
      <w:r>
        <w:rPr>
          <w:rFonts w:ascii="Times New Roman;sans-serif" w:hAnsi="Times New Roman;sans-serif"/>
          <w:b w:val="false"/>
          <w:color w:val="000000"/>
          <w:sz w:val="20"/>
        </w:rPr>
        <w:t xml:space="preserve">This new rule has generally been viewed as narrowing the scope of WOTUS as compared to the 2015 rule, but there is currently litigation in multiple federal district courts challenging the rescission of the 2015 rule and the promulgation of the NWPR. </w:t>
      </w:r>
    </w:p>
    <w:p>
      <w:pPr>
        <w:pStyle w:val="TextBody"/>
        <w:spacing w:lineRule="auto" w:line="288" w:before="120" w:after="283"/>
        <w:ind w:left="0" w:right="0" w:firstLine="495"/>
        <w:rPr/>
      </w:pPr>
      <w:r>
        <w:rPr>
          <w:rFonts w:ascii="Times New Roman;sans-serif" w:hAnsi="Times New Roman;sans-serif"/>
          <w:b w:val="false"/>
          <w:color w:val="000000"/>
          <w:sz w:val="20"/>
        </w:rPr>
        <w:t>Separately, in April 2020, a Montana federal judge vacated the Corps’ Nationwide Permit (“NWP”) 12 and enjoined the Corps from authorizing any dredge or fill activities under NWP 12 until the agency completed formal consultation with the U.S. Fish and Wildlife Service (the “USFWS”) under the Endangered Species Act (the “ESA”) regarding NWP 12 generally.</w:t>
      </w:r>
      <w:r>
        <w:rPr>
          <w:color w:val="000000"/>
        </w:rPr>
        <w:t xml:space="preserve"> </w:t>
      </w:r>
      <w:r>
        <w:rPr>
          <w:rFonts w:ascii="Times New Roman;sans-serif" w:hAnsi="Times New Roman;sans-serif"/>
          <w:b w:val="false"/>
          <w:color w:val="000000"/>
          <w:sz w:val="20"/>
        </w:rPr>
        <w:t>The court later revised its order to vacate NWP 12 only as it relates to the construction of new oil and natural gas pipelines, and that order was partially vacated in the Ninth Circuit Court of Appeals as moot, based on the Corps’ re-issuance of NWPs in 2021. The Corps has now issued a new set of NWPs, which would replace the NWPs for dredge or fill discharges into WOTUS that the Corps last issued and made available in 2017, but has not elected not to consult with the USFWS.</w:t>
      </w:r>
      <w:r>
        <w:rPr>
          <w:color w:val="000000"/>
        </w:rPr>
        <w:t xml:space="preserve"> </w:t>
      </w:r>
      <w:r>
        <w:rPr>
          <w:rFonts w:ascii="Times New Roman;sans-serif" w:hAnsi="Times New Roman;sans-serif"/>
          <w:b w:val="false"/>
          <w:color w:val="000000"/>
          <w:sz w:val="20"/>
        </w:rPr>
        <w:t xml:space="preserve">The re-issued NWPs have similarly been subject to the same legal challenges based on the lack of a formal ESA consultation.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See “Risk Factors—Risks Related to Laws and Regulations—New regulations on all emissions from our operations could cause us to incur significant costs.”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which set greenhouse gas emission reduction goals, every five years beginning in 2020. While the United States exited the Paris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Agreement in November 2020, effective February 19, 2021, President Biden caused the United States to rejoin the Paris Agreement. In April 2021, President Biden set a new goal for the United States to achieve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also proposed similar rules and regulations.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recent scientific studies have suggested that emissions of certain gases, commonly referred to as “greenhouse gases,” and including carbon dioxide and methane, may be contributing to the warming of the Earth’s atmosphere. Based on these findings,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salt water disposal wells or otherwise, to assess the relationship between seismicity and the use of such wells.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In addition,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The protocols also require enhanced reporting and varying levels of curtailment of injection rates for salt water disposal wells, including potentially shutting in such wells, in the area of seismic events based on the magnitude, timing and proximity of the seismic event. The potential adoption of federal, state and local legislation and regulations intended to address induced seismicity in the areas in which we operate could restrict our drilling and production activities, as well as our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ability to dispose of produced water gathered from such activities, which could result in increased costs and additional operating restrictions or delays.</w:t>
      </w:r>
    </w:p>
    <w:p>
      <w:pPr>
        <w:pStyle w:val="TextBody"/>
        <w:spacing w:lineRule="auto" w:line="288" w:before="120" w:after="283"/>
        <w:ind w:left="0" w:right="0" w:firstLine="495"/>
        <w:rPr/>
      </w:pPr>
      <w:r>
        <w:rPr>
          <w:rFonts w:ascii="Times New Roman;sans-serif" w:hAnsi="Times New Roman;sans-serif"/>
          <w:b w:val="false"/>
          <w:color w:val="000000"/>
          <w:sz w:val="20"/>
        </w:rPr>
        <w:t>Our activities involve the use of hydraulic fracturing. For more information on our hydraulic fracturing operations, see “Hydraulic Fracturing Policies and Procedures.” Hydraulic fracturing is generally exempted from federal regulation as underground injection (unless diesel is a component of the fracturing fluid) under the SDWA. 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also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If the exemption for hydraulic fracturing is removed from the SDWA, or if other legislation is enacted at the federal, state or local level imposing any restrictions on the use of hydraulic fracturing, this could have an adverse impact on our financial condition, results of operations and cash flows. Additional burdens upon hydraulic fracturing, such as reporting or permitting requirements, would result in additional expense and delay in our operations. See</w:t>
      </w:r>
      <w:r>
        <w:rPr>
          <w:color w:val="000000"/>
        </w:rPr>
        <w:t xml:space="preserve"> “</w:t>
      </w:r>
      <w:r>
        <w:rPr>
          <w:rFonts w:ascii="Times New Roman;sans-serif" w:hAnsi="Times New Roman;sans-serif"/>
          <w:b w:val="false"/>
          <w:color w:val="000000"/>
          <w:sz w:val="20"/>
        </w:rPr>
        <w:t>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Additionally, 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The ESA was established to protect endangered and threatened species. Pursuant to the ESA, if a species is listed as threatened or endangered, restrictions may be imposed on activities adversely affecting that species’ habitat. Similar protections are offered to migratory birds under the Migratory Bird Treaty Act and to bald and golden eagles under the Bald and Golden Eagle 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w:t>
      </w:r>
      <w:r>
        <w:rPr>
          <w:rFonts w:ascii="Times New Roman;sans-serif" w:hAnsi="Times New Roman;sans-serif"/>
          <w:b w:val="false"/>
          <w:color w:val="212529"/>
          <w:sz w:val="20"/>
        </w:rPr>
        <w:t>natural</w:t>
      </w:r>
      <w:r>
        <w:rPr>
          <w:color w:val="000000"/>
        </w:rPr>
        <w:t xml:space="preserve"> </w:t>
      </w:r>
      <w:r>
        <w:rPr>
          <w:rFonts w:ascii="Times New Roman;sans-serif" w:hAnsi="Times New Roman;sans-serif"/>
          <w:b w:val="false"/>
          <w:color w:val="000000"/>
          <w:sz w:val="20"/>
        </w:rPr>
        <w:t xml:space="preserve">gas development. Our oil and natural gas operations in certain of our operating areas could also be adversely affected by seasonal or permanent restrictions on drilling activity designed to protect certain wildlife in the Delaware Basin and other areas in which we operate. See “Risk Factors—Risks Related to Laws and Regulations—We are subject to government regulation and liability, including complex environmental laws, which could require significant expenditures.” Our ability to maximize production from our leases may be adversely impacted by these restrictions.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approximately 31% of our Delaware Basin acreage position consisted of federal leasehold administered by the BLM. Permitting for oil and natural gas activities on federal lands can 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In January 2021, the Biden administration issued the Biden Administration Federal Lease Orders limiting the issuance of federal drilling permits and other necessary federal approvals. In addition, the BLM has indicated that the Lease Sale Litigation and the Social Cost of Carbon Litigation may delay lease sales and the approval of drilling permits. Although some of the restrictions in the Biden Administration Federal Lease Orders have lapsed at December 31, 2021, the impact of these federal actions related to the oil and natural gas industry remains unclear. Should these or other limitations or prohibitions be imposed or continue to be applied, our oil and natural gas operations on federal lands could be adversely impacted.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activities on federal lands are also subject to NEPA. NEPA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or procedures that may be included in the process, has the potential to delay or even halt development of future oil and natural gas projects with NEPA applicability.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See “Risk Factors—Risks Related to Laws and Regulations—We are subject to government regulation and liability, including complex environmental laws, which could require significant expenditures.”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Office Location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at One Lincoln Centre, 5400 LBJ Freeway, Suite 1500, Dallas, Texas 75240.</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286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all of our wells and usually perform field and on-site production operation services for us, including midstream services, facilities construction, pumping, maintenance, dispatching, inspection and testing. If significant opportunities for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company growth arise and require additional management and professional expertise, we will seek to employ qualified individuals to fill positions where that expertise is necessary to develop those opportunities.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Employee Recruiting, Retention and Professional Development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promote inclusion throughout our organization. We respect cultural diversity and do not tolerate harassment or discrimination of any kind, including, but not limited to, discrimination based on race, color, ethnicity, religion, gender, sexual orientation, gender identity, age, national origin, disability and veteran or marital status.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and an affordable and comprehensive health insurance program, among other benefits. We also provide employees the opportunity to have significant responsibility and daily interaction with our executive management and team leaders.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continuing education and study, requiring every employee to complete at least 40 hours of professional training annually. In 2020, for example, our employees completed approximately 15,000 hours of continuing education and study. We also have a formal leadership program that fosters the development and growth of many of our staff with regular meetings and opportunities to enhance their leadership skills.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Proactive Safety Culture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proud to have a company culture that emphasizes safety throughout our operations. Between 2017 and 2021, we estimate our employees have worked approximately 2.7 million combined hours without experiencing a single lost time incident. We attribute much of that to the efforts of our Health, Safety and Environmental (“HSE”) group and of the experienced field and office staff involved in our drilling, completion, production and midstream operations to proactively minimize safety risks and address any potential areas of concern.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20" w:after="283"/>
        <w:ind w:left="0" w:right="0" w:firstLine="495"/>
        <w:rPr/>
      </w:pPr>
      <w:r>
        <w:rPr>
          <w:rFonts w:ascii="Times New Roman;sans-serif" w:hAnsi="Times New Roman;sans-serif"/>
          <w:b w:val="false"/>
          <w:color w:val="000000"/>
          <w:sz w:val="20"/>
        </w:rPr>
        <w:t xml:space="preserve">Our Internet website address is </w:t>
      </w:r>
      <w:r>
        <w:rPr>
          <w:rFonts w:ascii="Times New Roman;sans-serif" w:hAnsi="Times New Roman;sans-serif"/>
          <w:b w:val="false"/>
          <w:i/>
          <w:color w:val="000000"/>
          <w:sz w:val="20"/>
        </w:rPr>
        <w:t>www.matadorresources.com</w:t>
      </w:r>
      <w:r>
        <w:rPr>
          <w:rFonts w:ascii="Times New Roman;sans-serif" w:hAnsi="Times New Roman;sans-serif"/>
          <w:b w:val="false"/>
          <w:color w:val="000000"/>
          <w:sz w:val="20"/>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some of the risks and uncertainties that could materially adversely affect our business, financial condition and results of operations. You should read this summary together with the more detailed risk factors contained below.</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Financial Condition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Our success is dependent on the prices of oil and natural gas, the volatility of which may adversely affect our financial condition.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face numerous risks related to the COVID-19 global pandemic, including its impact on global oil demand.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business requires substantial capital expenditures that may exceed our cash flows from operations and potential borrowings.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oil and natural gas reserves are estimated and may not reflect the actual volumes we will recover, and we may be required to write down the carrying value of our proved properties under accounting rules.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Unless we replace our oil and natural gas reserves, our reserves and production will decline, which would adversely affect our business, financial condition, results of operations and cash flows.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Hedging transactions, or the lack thereof, may limit our potential gains and could result in financial losses.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 increase in the differential between the NYMEX or other benchmark prices of oil and natural gas and the wellhead price we receive for our production could adversely affect our financial condition.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 component of our growth may come through acquisitions, which we may be unable to complete or which may require us to incur certain liabilities, risks or title deficiencies.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complete dispositions of assets may be subject to factors beyond our control, and in certain cases we may be required to retain liabilities for certain matters.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Liquidity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not be able to generate sufficient cash to fund our capital expenditures, service all of our indebtedness and pay dividends to our shareholders, and we may incur additional indebtedness, which could reduce our financial flexibility.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borrowing base under our Credit Agreement is subject to periodic redetermination, and we are subject to interest rate risk under our Credit Agreement and the San Mateo Credit Facility.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terms of the agreements governing our indebtedness impose significant operating and financial restrictions.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credit rating may be downgraded, which could reduce our financial flexibility and increase interest expense.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payment of dividends will be at the discretion of our Board of Directors and subject to numerous factors, and we do not presently intend to repurchase any shares of our common stock.</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Operations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Drilling for and producing oil and natural gas are highly speculative and involve a high degree of operational, geological and financial risk, and insurance against all such risks is not available to us.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Because our reserves and production are concentrated in a few core areas, problems with production in and markets for a particular area could have a material impact on our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There is no guarantee that we will be successful in optimizing our spacing, drilling and completions techniques in order to maximize our rate of return, and multi-well pad drilling may result in volatility in our operating results.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Certain of our properties are in areas that may have been partially depleted or drained by offset wells, and certain of our wells may be adversely affected by actions of other operators.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unavailability or high cost of equipment and services, supplies and personnel could adversely affect our ability to establish and execute exploration and development plans within budget and on a timely basis.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be unable to acquire adequate supplies of water for our drilling and hydraulic fracturing operations or unable to dispose of the water we use at a reasonable cost and pursuant to applicable environmental rules.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Regulatory changes could prevent our ability to continue to pool wells in the manner we have been.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Midstream projects are subject to risks of construction delays and cost over-runs.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identified drilling locations are scheduled over several years, making them susceptible to uncertainties and lease expirations that could materially alter our plans.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Risks Related to Third Parties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depend upon several significant purchasers for the sale of most of our production, and financial difficulties encountered by such purchasers, other operators or third parties could decrease our cash flows from operations.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marketability of our production is dependent upon gathering, processing and transportation facilities.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conduct a portion of our operations through joint ventures, including San Mateo, which subjects us to certain risks.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Because of the natural decline in production in the regions of San Mateo’s midstream operations, San Mateo’s long-term success depends on its ability to obtain new sources of products.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entered into certain long-term contracts that require us to pay fees to our service providers based on minimum volumes regardless of actual volume throughput.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Competition in our industry is intense, making it more difficult for us to acquire properties, market production, provide midstream services and secure trained personnel, and our competitors may use superior technology and data resources.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limited control over activities on properties we do not operate.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Risks Related to Laws and Regulations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As of December 31, 2021, approximately 31% of our leasehold and mineral acres in the Delaware Basin is located on federal lands, which are subject to various requirements and regulations.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subject to government regulation, including environmental laws, which could require significant expenditures.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subject to tax laws, and changes thereto could eliminate or reduced certain federal income tax deductions or net operating loss carryforwards currently available.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Legislative and regulatory initiatives relating to hydraulic fracturing, induced seismicity, emissions and climate change could result in increased costs, operating restrictions or delays.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incur significant costs and liabilities resulting from compliance with pipeline safety regulations, and the rates of our regulated assets are subject to oversight by regulators, which could adversely affect our revenues.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Derivatives legislation adopted by Congress could limit our ability to hedge commodity price risks.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Risks Relating to Our Common Stock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 of our common stock is volatile and may fluctuate substantially in the future.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Conservation measures and a negative shift in market perception towards the oil and natural gas industry could adversely affect our stock price.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directors and executive officers own a significant percentage of our equity, which could give them influence in transactions and other matters, and their interests could differ from other shareholders.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Board can authorize the issuance of preferred stock, which could diminish the rights of holders of our common stock and make a change of control of the Company more difficult even if it might benefit our shareholders.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Risk Factors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have difficulty managing growth in our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success depends on our ability to retain our key personnel.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If we fail to maintain effective internal control over financial reporting, our ability to accurately report our financial results could be adversely affected.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 cyber incident could occur and result in information theft, data corruption, operational disruption or financial loss.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governing documents and Texas law may have anti-takeover effects that could prevent a change in control.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operate in a litigious environment and may be involved in legal proceedings that could have an adverse effect on our results of operations and financial condition.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the oil and natural gas we produce heavily influence our revenue, profitability, cash flow available for capital expenditures, the repayment of debt and the payment of cash dividends, if any, access to capital, borrowing capacity under our Credit Agreement and future rate of growth. Oil and natural gas are commodities and, therefore, their prices are subject to wide fluctuations in response to relatively minor changes in supply and demand. Historically, the markets for oil and natural gas have been volatile and will likely continue to be volatile in the future. For the year ended December 31, 2021, oil prices averaged $68.11 per Bbl, as compared to $39.34 per Bbl in 2020, ranging from a low of $47.62 per Bbl at the start of the year to a high of $84.65 per Bbl in October, based upon the WTI oil futures contract price for the earliest delivery date. For the year ended December 31, 2021, natural gas prices averaged $3.71 per MMBtu, as compared to $2.13 per MMbtu in 2020, based upon the NYMEX Henry Hub natural gas futures contract price for the earliest delivery date. During 2021, natural gas prices ranged from a low of $2.45 per MMBtu in January to a high of $6.31 per MMBtu in October before finishing the year at $3.73 per MMBtu.</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our production, and the levels of our production, depend on numerous factors. These factors include, but are not limited to,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domestic and foreign supply of, and demand for, oil and natural gas;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actions of OPEC+ and state-controlled oil companies relating to oil price and production controls;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prices and availability of competitors’ supplies of oil and natural gas;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 and quantity of foreign imports;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impact of U.S. dollar exchange rates;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and foreign governmental regulations and taxes;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speculative trading of oil and natural gas futures contracts;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proximity and capacity of gathering, processing and transportation systems for oil, natural gas and NGLs and gathering and disposal systems for produced water;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of refining capacity;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prices and availability of alternative fuel sources;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weather conditions and natural disasters;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political conditions in or affecting oil and natural gas producing regions or countries, including the United States, the Middle East, South America, Russia, Ukraine and China;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or global health concerns, including the outbreak of contagious or pandemic diseases, such as COVID-19;</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continued threat of terrorism and the impact of military action and civil unrest;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public pressure on, and legislative and regulatory interest within, federal, state and local governments to stop, significantly limit or regulate oil and natural gas operations, including hydraulic fracturing activities;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level of global oil and natural gas inventories and exploration and production activity;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impact of energy conservation efforts;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technological advances affecting energy consumption;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overall worldwide economic conditions.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factors make it difficult to predict future commodity price movements with any certainty. Substantially all of our oil and natural gas sales are made in the spot market or pursuant to contracts based on spot market prices and are not pursuant to long-term fixed price contracts. Further, oil and natural gas prices do not necessarily fluctuate in direct relation to each other.</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Declines in oil or natural gas prices not only reduce our revenue, but could also reduce the amount of oil and natural gas that we can produce economically and could reduce the amount we may borrow under our Credit Agreement. Should oil or natural gas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face numerous risks related to the COVID-19 global pandemic, which has had and is likely to continue to have a material adverse effect on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Since the beginning of 2020, the COVID-19 pandemic has spread across the globe and disrupted economies and industries around the world, including the exploration and production and midstream businesses. The rapid spread of COVID-19 has led to the implementation of various responses, including federal, state and local government-imposed quarantines, shelter-in-place mandates, sweeping restrictions on travel and other public health and safety measures, nearly all of which materially reduced global demand for crude oil. The extent to which COVID-19 will continue to affect our business, financial condition, results of operations and cash flows and the demand for our production will depend on future developments, which are highly uncertain and cannot be predicted, including the duration or any recurrence of the outbreak and responsive measures, additional or modified government actions, new information that may emerge concerning the severity of COVID-19 and the effectiveness of vaccines and other actions taken to contain COVID-19 or treat its impact now or in the future, among others.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Some impacts of the COVID-19 pandemic that could have an adverse effect on our business, financial condition, results of operations and cash flows include: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significantly reduced prices for our oil production, resulting from a world-wide decrease in demand for hydrocarbons and a resulting oversupply of existing production;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further decreases in the demand for our oil production, resulting from significantly decreased levels of global, regional and local travel as a result, in part, of federal, state and local government-imposed quarantines, including shelter-in-place mandates, enacted to slow the spread of COVID-19;</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likelihood that we may, either voluntarily or as a result of third-party and regulatory mandates, curtail or shut in production, resulting from depressed oil prices, lack of storage and other market or political forces;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significant decreases in the volumes of oil, natural gas and produced water that are transported, gathered, processed or disposed of by San Mateo due to curtailed or shut-in production by Matador or other of San Mateo’s customers;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costs associated with, or actual unavailability of, facilities for the storage of oil, natural gas and NGL production in the markets in which we operate;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operational difficulties associated with the delivery of oil, natural gas and NGLs to end-markets, resulting from pipeline and storage constraints;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potential for the operations of the Black River Processing Plant and other critical midstream infrastructure to be adversely impacted by outbreaks of COVID-19 among the relevant workforce;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potential for forced curtailment of oil and natural gas production by state governmental agencies, resulting in a need to significantly curtail or shut in our production;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potential for loss of leasehold interests due to the failure to produce oil and natural gas in paying quantities as a result of significantly lower commodity prices, voluntary or forced curtailments or other factors related to the misalignment of supply and demand, and the potential to incur significant costs associated with litigation related to the foregoing;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third-party credit risk, including the risk that counterparties may not accept the delivery of our oil, natural gas and NGL production, resulting from adverse market conditions, a lack of access to capital and storage or the failure of certain of our counterparties to continue as going concerns;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likelihood that counterparties to our existing agreements may seek to invoke force majeure provisions to avoid the performance of contractual obligations, resulting from significantly adverse market conditions;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potential impact for delays in construction or increased costs related to midstream construction projects;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costs, staffing requirements and difficulties sourcing oilfield services related to social distancing measures implemented in connection with federal, state or local government and voluntarily imposed quarantines;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increased legal and operational costs related to compliance with significant changes in federal, state and local laws and regulations.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COVID-19 outbreak continues to evolve, and the extent to which the outbreak may impact our business, financial condition, results of operations and cash flows will depend highly on future developments, which are very uncertain and cannot be predicted. Additionally, the extent and duration of the impact of the COVID-19 pandemic on our stock price and that of our peer companies is uncertain and may make us look less attractive to investors. As a result, there may be a less active trading market for our common stock, our stock price may be more volatile and our ability to raise capital could be impaired.</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acquisitions or future capital expenditures. The rate of our future growth is dependent, at least in part, on our ability to access capital at rates and on terms we determine to be acceptable.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and access to capital are subject to a number of variables,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estimated proved oil and natural gas reserves;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amount of oil and natural gas we produce;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prices at which we sell our production;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costs of developing and producing our oil and natural gas reserves;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costs of constructing, operating and maintaining our midstream facilities;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attract third-party customers for our midstream services;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acquire, locate and produce new reserves;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ability and willingness of banks to lend to us;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access the equity and debt capital markets.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 possible occurrence of future events, such as decreases in the prices of oil and natural gas, or extended periods of such decreased prices, terrorist attacks, wars or combat peace-keeping missions, the outbreak of contagious or pandemic diseases, financial market disruptions, general economic recessions, oil and natural gas industry recessions, oil and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fund acquisitions, increase our rate of growth, expand our midstream operations, develop our properties or pay for higher service costs,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among other things, oil and natural gas prices, drilling and operating expenses, capital expenditures, taxes and availability of funds. The accuracy of a reserves estimate is a function of:</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quality and quantity of available data;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interpretation of that data;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judgment of the persons preparing the estimate;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accuracy of the assumptions used.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calculated present value of future net revenues from our proved oil and natural gas reserves will not necessarily be the same as the current market value of our estimated oil and natural gas reserves.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actual prices we receive for oil and natural gas;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actual costs and timing of development and production expenditures;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amount and timing of actual production;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changes in governmental regulations or taxation.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Approximately 44% of our total proved reserves at December 31, 2021 consisted of undeveloped and developed non-producing reserves, and those reserves may not ultimately be developed or produced.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approximately 40% of our total proved reserves were undeveloped and approximately 4%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Unless we replace our oil and natural gas reserves, our reserves and production will decline, which would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be required to write down the carrying value of our proved properties under accounting rules, and these write-downs could adversely affect our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is a risk that we will be required to write down the carrying value of our oil and natural gas properties when oil or natural gas prices are low or are declining, as occurred in 2020. In addition, non-cash write-downs may occur if we have: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downward adjustments to our estimated proved reserves;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increases in our estimates of development costs; or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deterioration in our exploration and development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Hedging transactions, or the lack thereof, may limit our potential gains and could result in financial losses.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our exposure to price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2021.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An increase in the differential between the NYMEX or other benchmark prices of oil and natural gas and the wellhead price we receive for our production could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our oil and natural gas production often reflect a discount to the relevant benchmark prices, such as the WTI oil price or the NYMEX Henry Hub natural gas price. The difference between the benchmark price and the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price we receive is called a differential. Increases in the differential between the benchmark price for oil and natural gas and the wellhead price we receive could adversely affect our business, financial condition, results of operations and cash flows.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the completion of additional oil and natural gas pipeline capacity from West Texas to the Texas Gulf Coast and other end markets improved these price differentials in 2020 and 2021, these price differentials could turn negative and widen again in future periods. Should we experience future periods of negative pricing for natural gas as we did at certain times in 2020, we may temporarily shut in certain high gas-oil ratio wells and take other actions to mitigate the impact on our realized natural gas prices and results. We have limited oil basis hedges in place to mitigate our exposure to oil price differentials during 2022, and we have no derivative contracts in place to mitigate our exposure to natural gas price differentials.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 component of our growth may come through acquisitions, and our failure to identify or complete future acquisitions successfully could reduce our earnings and hamper our growth.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we may be unable to successfully integrate potential acquisitions into our existing operations. The inability to manage the integration of acquisitions effectively could reduce our focus on subsequent acquisitions and current operations and could negatively impact our results of operations and growth potential. Members of our senior management team may be required to devote considerable amounts of time to the integration process, which will decrease the time they will have to manage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engage in bidding and negotiation to complete successful acquisitions. We may be required to alter or increase substantially our capitalization to finance these acquisitions through the use of cash on hand, the issuance of debt or equity securities, the sale of production payments, the sale or joint venture of midstream assets or oil and natural gas producing assets or acreage, the borrowing of funds or otherwise. Our Credit Agreement, the San Mateo Credit Facility and the indenture governing our outstanding senior notes include covenants limiting our ability to incur additional debt. If we were to proceed with one or more acquisitions involving the issuance of our common stock, our shareholders would suffer dilution of their interests.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The seller may not be willing or financially able to give us contractual protection against any identified problems, and we may decide to assume environmental and other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incur losses or costs as a result of title deficiencies in the properties in which we invest.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and/or landmen who perform the field work by examining records in the appropriate governmental office before attempting to acquire a lease or mineral interest.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Our failure to cure any title defects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ability to complete dispositions of assets, or interests in assets, may be subject to factors beyond our control, and in certain cases we may be required to retain liabilities for certain matters.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our Liquidity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 governing our outstanding senior notes currently restrict our ability to dispose of assets and our use of the proceeds from such disposition. We may not be able to consummate those dispositions, and the proceeds of any such disposition may not be adequate to meet any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debt service obligations then due. These alternative measures may not be successful and may not permit us to meet scheduled debt service obligations, which could have a material adverse effect on our financial condition and results of operations.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incur additional indebtedness, which could reduce our financial flexibility, increase interest expense and adversely impact our operations and our unit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22, 2022, the maximum facility amount under the Credit Agreement was $1.50 billion, the borrowing base was $1.35 billion and our elected borrowing commitment was $700.0 million. Borrowings under the Credit Agreement are limited to the lowest of the borrowing base, maximum facility amount and elected borrowing commitment (subject to compliance with the covenants noted below). At February 22, 2022, we had available borrowing capacity of approximately $554.2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was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The Credit Agreement requires us to maintain a debt to EBITDA ratio, which is defined as debt outstanding (net of up to $75.0 million of cash or cash equivalents), divided by a rolling four quarter EBITDA calculation, of 3.50 or less and a current ratio, which is defined as (x) consolidated current assets plus the unused availability under the Credit Agreement divided by (y) consolidated current liabilities less current maturities under the Credit Agreement, of equal to or greater than 1.0.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February 22, 2022, the facility amount under the San Mateo Credit Facility was $450.0 million, and San Mateo had available borrowing capacity of approximately $56.0 million (after giving effect to outstanding letters of credit and subject to San Mateo’s compliance with the covenants noted below). The San Mateo Credit Facility includes an accordion feature, which could expand the commitments of the lenders to up to $700.0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In addition to these restrictions, the San Mateo Credit Facility also contains covenants restricting San Mateo’s ability to incur additional indebtedness, sell assets, pay dividends and make certain investments.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subject to the restrictions in the indenture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high level of indebtedness could affect our operations in several ways, including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requiring a significant portion of our cash flows to be used for servicing our indebtedness;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placing us at a competitive disadvantage compared to our competitors that are less leveraged and, therefore, may be able to take advantage of opportunities that our level of indebtedness may prevent us from pursuing;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restricting our ability to obtain additional financing in the future for working capital, capital expenditures, acquisitions and general corporate or other purposes;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increasing the risk that we may default on our debt obligations.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borrowing base under our Credit Agreement is subject to periodic redetermination, and we are subject to interest rate risk under our Credit Agreement and the San Mateo Credit Facility.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our proved oil and natural gas reserves at December 31 and June 30 of each year,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22, 2022, our borrowing base was $1.35 billion, our elected borrowing commitment was $700.0 million, the maximum facility amount under the Credit Agreement was $1.50 billion and we had $100.0 million in outstanding borrowings under, and approximately $45.8 million in outstanding letters of credit issued pursuant to, the Credit Agreement. At February 28, 2022, we had repaid an additional $25.0 million, resulting in $75.0 million in borrowings outstanding under the Credit Agreement. Borrowings under the Credit Agreement are limited to the lowest of the borrowing base, maximum facility amount and elected borrowing commitment (subject to compliance with the covenant noted above).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earnings are exposed to interest rate risk associated with borrowings under our Credit Agreement and the San Mateo Credit Facility. Borrowings under the Credit Agreement may be in the form of a base rate loan or a Eurodollar loan. If we borrow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1.00%, plus, in each case, an amount ranging from 0.75% to 1.75% per annum depending on the level of borrowings under the Credit Agreement. If we borrow funds as a Eurodollar loan, such borrowings will bear interest at a rate equal to (x) the reserve adjusted LIBOR rate (as defined in the Credit Agreement) plus (y) an amount ranging from 1.75% to 2.75% per annum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Similarly, 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1.00% plus, in each case, an amount ranging from 1.00% to 2.00%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2.00% to 3.00%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noted above, under the Credit Agreement and the San Mateo Credit Facility, borrowings in the form of Eurodollar loans currently accrue interest based on LIBOR. The use of LIBOR as a global reference rate is expected to be discontinued. Each of the Credit Agreement and the San Mateo Credit Facility specify that the use of LIBOR as a global reference rate will, upon the occurrence of certain events, transition to a rate based on the Secured Overnight Financing Rate (“SOFR”) plus a credit spread adjustment. As a result, the interest rate for borrowings under the Credit Agreement and the San Mateo Credit Facility may be higher than an interest rate based solely on LIBOR. Each of the Credit Agreement and the San Mateo Credit Facility also specify that in the event that LIBOR and SOFR cannot be determined or other conditions exist with respect to LIBOR and SOFR, a replacement interest rate that gives due consideration to the then-prevailing market convention for determining a rate of interest for syndicated loans in the United States at such time may be established by the respective administrative agents, in consultation with us. If such an event occurs and we are unable to agree upon a replacement interest rate with our respective administrative agents, we could be unable to make borrowings in the form of Eurodollar loans and would have to borrow funds at the higher base rate, which could increase our cost of capital. Furthermore, the overall financial market may be disrupted as a result of the phase-out or replacement of LIBOR or the use of SOFR as a replacement for LIBOR. An increase in our cost of capital or a disruption in the financial market could have an adverse effect on our business and financial condition.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terms of the agreements governing our outstanding indebtedness may restrict our current and future operations, particularly our ability to respond to changes in business or to take certain actions.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Credit Agreement, the San Mateo Credit Facility and the indenture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incur or guarantee additional debt or issue certain types of preferred stock;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pay dividends on capital stock or redeem, repurchase or retire our capital stock or subordinated indebtedness;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transfer or sell assets;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make certain investments;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create certain liens;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enter into agreements that restrict dividends or other payments from our Restricted Subsidiaries (as defined in the indenture) to us;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consolidate, merge or transfer all or substantially all of our assets;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engage in transactions with affiliates;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create unrestricted subsidiaries.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any of these covenants could result in an event of default under our Credit Agreement, the San Mateo Credit Facility and the indenture governing our outstanding senior notes. For example, our Credit Agreement requires us to maintain a debt to EBITDA ratio, which is defined as debt outstanding (net of up to $75 million of cash or cash equivalents) divided by a rolling four quarter EBITDA calculation, of 3.50 or less and a current ratio, which is defined as current assets plus the unused availability under the Credit Agreement, divided by current liabilities, of equal to or greater than 1.0. Low oil and natural gas prices or a decline in our oil or natural gas production may adversely impact our EBITDA, cash flows and debt levels, and therefore our ability to comply with this covenant.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Similarly, the San Mateo Credit Facility requires San Mateo to meet a debt to EBITDA ratio, which is defined as consolidated total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 Lower revenues as a result of less volumes than anticipated, or otherwise, or an increase in interest rates may adversely impact San Mateo’s EBITDA and interest expense, and therefore San Mateo’s ability to comply with these covenants. The San Mateo Credit Facility also restricts the ability of San Mateo to distribute cash to its members if San Mateo’s liquidity is less than 10% of the lender commitments under the San Mateo Credit Facility.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 governing our outstanding senior notes is accelerated, there can be no assurance that we will have sufficient assets to repay such indebtedness. The operating and financial restrictions and covenants in these debt agreements and any future financing agreements could adversely affect our ability to finance future operations or capital needs or to engage in other business activities.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credit rating may be downgraded, which could reduce our financial flexibility, increase interest expense and adversely impact our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March 2020, our corporate credit rating from S&amp;P Global Ratings was downgraded from “B+” to “B-” and our corporate credit rating from Moody’s Investors Service was downgraded from “B1” to “B3.” The downgrades resulted in significant part due to the sudden decline in oil prices in early 2020. Moody’s Investor Services subsequently upgraded our corporate credit rating to “B2” in July 2020 and to “B1” in September 2021. S&amp;P Global Ratings upgraded our corporate credit rating to “B” in June 2021 and “B+” in January 2022. In September 2021, Fitch Ratings assigned us a corporate credit rating of “B+.” As of February 22, 2022, our corporate credit ratings from S&amp;P Global Ratings, Moody’s Investors Service and Fitch Ratings remained “B+,” “B1” and “B+,” respectively. We cannot assure you that our credit ratings will remain in effect for any given period of time or that a rating will not be lowered or withdrawn entirely by a rating agency if, in its judgment, circumstances so warrant. Any future downgrade could increase the cost of any indebtedness incurred in the future.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payment of dividends will be at the discretion of our Board of Directors and subject to numerous factors, and we do not presently intend to repurchase any shares of our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declared a quarterly dividend of $0.025 per share of common stock in each of the first three quarters of 2021 and, in October 2021, the Board amended our dividend policy to increase the quarterly dividend and declared a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quarterly cash dividend of $0.05 per share of common stock. We intend to continue to pay a quarterly dividend in the future pursuant to a dividend policy adopted by our Board of Directors. However, the payment and amount of future dividend payments, if any, are subject to declaration by our Board of Directors. Such payments will depend on, among other things, our available cash, earnings, financial condition, capital requirements, level of indebtedness, stock price, statutory and contractual restrictions applicable to the payment of dividends and other considerations that our Board of Directors deems relevant. Cash dividend payments in the future may only be made out of legally available funds, and, if we experience substantial losses, such funds may not be available.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presently intend to repurchase any shares of our common stock. Certain covenants in our Credit Agreement and the indenture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Drilling for and producing oil and natural gas are highly speculative and involve a high degree of operational and financial risk, with many uncertainties that could adversely affect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general economic and industry conditions, including the prices received for oil and natural gas;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shortages of, or delays in, obtaining equipment, including hydraulic fracturing equipment, and qualified personnel;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potential drainage of oil and natural gas from our properties by operations on adjacent properties;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existence or magnitude of faults or unanticipated geological features;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loss of or damage to oilfield development and service tools;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accidents, equipment failures or mechanical problems;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title defects of the underlying properties;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increases in severance taxes;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adverse weather conditions that delay drilling activities or cause producing wells to be shut in;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and foreign governmental regulations;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proximity to and capacity of gathering, processing, transportation and disposal facilities.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landing our wellbore in the desired drilling zone;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staying in the desired drilling zone while drilling horizontally through the formation;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running our casing the entire length of the wellbore;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fracture stimulating the planned number of stages;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drilling out the plugs between stages following hydraulic fracturing operations;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being able to run tools and other equipment consistently through the horizontal wellbore.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Each of these risks is magnified in wells with longer laterals. In 2021, 98% of the operated wells we turned to sales had lateral lengths of two miles or greater. In 2022, we anticipate that 90% of the operated wells we turn to sales should have lateral lengths of two miles or greater. If we do not drill productive and profitable wells in the future, our business, financial condition, results of operations, cash flows and reserves could be materially and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operations are subject to operational hazards and risks, which could result in significant damages and the loss of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are numerous operational hazards inherent in oil and natural gas exploration, development, production, gathering, transportation and processing,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natural disasters;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adverse weather conditions;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or global health concerns, including the outbreak of contagious or pandemic diseases, such as COVID-19;</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loss of drilling fluid circulation;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blowouts where oil or natural gas flows uncontrolled at a wellhead;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cratering or collapse of the formation;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pipe or cement leaks, failures or casing collapses;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damage to pipelines, processing plants and disposal wells and associated facilities;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fires or explosions;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releases of hazardous substances or other waste materials that cause environmental damage;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pressures or irregularities in formations;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equipment failures or accidents.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Furthermore, our operations may be subject to curtailment due to seismic events. In 2021, the NMOCD implemented new rules establishing protocols in response to seismic events in New Mexico. The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San Mateo’s operations, San Mateo may be required to shut in or curtail the volumes disposed in its salt water disposal wells. Any such events could adversely impact our and San Mateo’s revenues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also significant risks associated with the operation of cryogenic natural gas processing plants such as the Black River Processing Plant owned by San Mateo and operated by us. Natural gas and NGLs are volatile and explosive and may include carcinogens. Damage to or improper operation of the Black River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if we were unable to process such natural gas, we may be forced to flare natural gas from, or shut in, the affected wells for an indefinite period of time.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 these third-party pipelines significantly increase, its profitability could be reduced. If any such increase in costs occurs, if any of these pipelines or other midstream facilities become unable to receive, transport, process or dispose of product, or if the volumes San Mateo gathers, processes or transports do not meet the product quality requirements of such pipelines or facilities, our and San Mateo’s revenues and cash flows could be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Insurance against all operational risks is not available to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Because our reserves and production are concentrated in a few core areas, problems with production in and markets for a particular area could have a material impact on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93% of our total oil and natural gas production for 2021 was attributable to our properties in the Delaware Basin. Since 2016, the vast majority of our capital expenditures have been allocated to the Delaware Basin. We expect that substantially all of our capital expenditures in 2022 will continue to be in the Delaware Basin, with the exception of amounts allocated to limited operations in our South Texas and Haynesville shale positions to maintain and extend leases and to participate in certain non-operated well opportunities.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Condition—An increase in the differential between the NYMEX or other benchmark prices of oil and natural gas and the wellhead price we receive for our production could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including in February 2021, the Delaware Basin has experienced periods of severe winter weather that impacted many operators. In particular, weather conditions and freezing temperatures have resulted in shut 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certain areas of the Eagle Ford shale play are prone to severe tropical weather, such as Hurricane Harvey in August 2017, which caused many operators to shut in production. We experienced minor operational interruptions in our central and eastern Eagle Ford operations as a result of Hurricane Harvey, although future storms might cause more severe damage and interruptions or disrupt our ability to market production from our operating areas, including the Eagle Ford shale and the Delaware Basin.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There is no guarantee that we will be successful in optimizing our spacing, drilling and completions techniques in order to maximize our rate of return, cash flow from operations and shareholder value.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Certain of our properties are in areas that may have been partially depleted or drained by offset wells, and certain of our wells may be adversely affected by actions other operators may take when drilling, completing or operating wells that they own.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Multi-well pad drilling may result in volatility in our operating results.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 Further, supply chain disruptions being experienced throughout the United States may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limit our ability to procure the necessary products and services for drilling and completing wells, which could cause delays in our drilling and completion activities which, in turn, could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but not limited to, the use of fresh water in such operations, or (ii) disposal of waste, including, but not limited to,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an adverse effect on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If regulatory changes prevent our ability to continue to pool wells in the manner we have been, it could have a material adverse impact on our future production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Construction of midstream projects subjects us to risks of construction delays, cost over-runs, limitations on our growth and negative effects on our financial condition, results of operations, cash flows and liquidity.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time-to-time, we, through San Mateo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and financial condition.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identified drilling locations are scheduled over several years, making them susceptible to uncertainties that could materially alter the occurrence or timing of their drilling.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has identified and scheduled drilling locations in our operating areas over a multi-year period. Our ability to drill and develop these locations depends on a number of factors, including oil and natural gas prices, assessment of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In January 2021, the Biden administration issued the Biden Administration Federal Lease Orders limiting the issuance of federal drilling permits and other necessary federal approvals. In addition, the BLM has indicated that the Lease Sale Litigation and the Social Cost of Carbon Litigation may delay lease sales and the approval of drilling permits. Although some of the restrictions in the Biden Administration Federal Lease Orders have lapsed at December 31, 2021, the impact of these federal actions related to the natural gas industry remains unclear. Should these or other limitations or prohibitions be imposed or continue to be applied, our drilling locations on federal lands may not be drilled as scheduled.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Certain of our unproved and unevaluated acreage is subject to leases that will expire over the next several years unless production is established on units containing the acreage.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leasehold interests in approximately 25,100 net acres across all of our areas of interest that are not currently held by production and are subject to leases with primary or renewed terms that expire prior to 2027.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2-D and 3-D seismic data and other advanced technologies we use cannot eliminate exploration risk, which could limit our ability to replace and grow our reserves and materially and adversely affect our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Third Parties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Financial difficulties encountered by our oil and natural gas purchasers, third-party operators or other third parties could decrease our cash flows from operations and adversely affect the exploration and development of our prospects and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the years ended December 31, 2021, 2020 and 2019, we had three, two and two significant purchasers, respectively, that collectively accounted for approximately 72%, 65% and 67%,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credit risk related to purchasers of our production, we also face credit risk through receivables from joint interest owners on properties we operate and from San Mateo’s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negatively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We may experience similar interruptions and processing capacity constraints as we continue to explore and develop our Wolfcamp, Bone Spring and other liquids-rich plays in the Delaware Basin in 2022.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We conduct a portion of our operations through joint ventures, which subjects us to additional risks that could have a material adverse effect on the success of these operations, our financial position, results of operations or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own and operate substantially all of our midstream assets in the Delaware Basin through San Mateo, and we have and may continue to enter into other joint venture arrangements in the future. The nature of a joint venture requires us to share a portion of control with unaffiliated third parties. If our joint venture partners do not fulfill their contractual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Because of the natural decline in production in the regions of San Mateo’s midstream operations, San Mateo’s long-term success depends on its ability to obtain new sources of products, which depends on certain factors beyond San Mateo’s control. Any decrease in supplies to its midstream facilities could adversely affect San Mateo’s business and operating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sources of products.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activity in the areas of its operations, the amount of reserves associated with the wells or the rate at which production from a well will decline. In addition, San Mateo has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have entered into certain long-term contracts that require us to pay fees to our service providers based on minimum volumes regardless of actual volume throughput and that may limit our ability to use other service providers.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entered into and may in the future enter into certain oil, natural gas or produced water gathering or transportation agreements, natural gas processing agreements, NGL transportation agreements, produced water disposal agreements or similar commercial arrangements with midstream companies, including San Mateo. Certain of these agreements require us to meet minimum volume commitments, often regardless of actual throughput. Reductions in our drilling activity could result in insufficient production to fulfill our obligations under these agreements. As of December 31, 2021, our long-term contractual obligations under agreements with minimum volume commitments totaled approximately $987.6 million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We do not own all of the land on which our midstream assets are located, which could disrupt our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its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other companies may be able to offer better compensation packages to attract and retain qualified personnel than we are able to offer. The cost to attract and retain qualified personnel has increased in recent years due to competition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Strategic relationships upon which we may rely are subject to change, which may diminish our ability to conduct our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 develop our business, we endeavor to use the business relationships of our management, Board of Directors and special Board advisors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We have limited control over activities on properties we do not operate.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not the operator on some of our properties in Northwest Louisiana, particularly in the Haynesville shale. We also have other non-operated acreage positions in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timing and amount of capital expenditures;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operator’s expertise and financial resources;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rate of production of reserves, if any;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approval of other participants in drilling wells;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selection and implementation or execution of technology.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Laws and Regulations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Matador held approximately 124,800 net leasehold and mineral acres in the Delaware Basin in Eddy and Lea Counties, New Mexico and in Loving County, Texas, of which approximately 38,600 net acres, or about 31%, were on federal lands administered by the BLM. In addition to permits issued by state and local authorities, oil and natural gas activities on federal lands also require permits from the BLM. Permitting for oil and natural gas activities on federal lands can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limiting the issuance of federal drilling permits and other necessary federal approvals. In addition, the BLM has indicated that the Lease Sale Litigation and the Social Cost of Carbon Litigation may delay lease sales and the approval of drilling permits. Although some of the restrictions in the Biden Administration Federal Lease Orders have lapsed at December 31, 2021, the impact of these federal actions remains unclear. Should these or other limitations or prohibitions be imposed or continue to be applied, our oil and natural gas operations on federal lands could be adversely impacted. At the federal level, various policy makers, regulatory agencies and political candidates, including President Biden,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an adverse impact on our business, financial condition, results of operations and cash flows.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that may be implemented, has the potential to delay or even halt development of future oil and natural gas projects with NEPA applicability.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are subject to government regulation and liability, including complex environmental laws, which could require significant expenditures.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exploration, development, production, gathering, processing, transportation and sale of oil and natural gas in the United States are subject to many federal, state and local laws, rules and regulations, including complex environmental laws and regulations. The change in the presidential administration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personal injuries;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property damage;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containment and clean-up of oil, produced water and other spills;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venting, flaring or other emissions;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management and disposal of hazardous materials;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remediation, clean-up costs and natural resource damages;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other environmental damages.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 For example, it is possible that courts could vacate relevant NWPs as such potential permit coverage relates to activities in the oil and natural gas sector, or the Biden administration could choose to suspend the availability of NWPs in the future, thereby forcing our relevant operations to seek coverage under individual permits under CWA Section 404 (which is a longer and more administratively complex process that is subject to NEPA).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Furthermore, we participate in candidate conservation agreements for the lesser prairie-chicken, the sand dune lizard and the Texas hornshell mussel, pursuant to which we are restricted from operating in certain sensitive locations or at certain times. Participation in such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an adverse impact on our business, financial condition, results of operations and cash flows. See “Business—Regulation.”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Build Back Better Act (H.R. 5376) was passed by the U.S. House of Representatives on November 19, 2021 and contains certain U.S. federal income tax changes, including a 15% corporate minimum tax imposed on net taxable income of certain corporations with more than $1 billion in average adjusted financial statement income for the three-year tax period ending with the corporation’s current tax year. The passage of any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Federal and state legislation and regulatory initiatives relating to hydraulic fracturing could result in increased costs and additional operating restrictions or delays.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rules, including new requirements relating to public disclosure, wellbore integrity and handling of flowback water, to regulate hydraulic fracturing on federal and Indian lands. These rules were rescinded by rule in December 2017; however, in January 2018, California and a coalition of environmental groups filed a lawsuit in the Northern District of California to challenge the BLM’s rescission of the rules. The Northern District of California upheld the rescission in 2020, but this decision was then appealed to the Ninth Circuit Court of Appeals.</w:t>
      </w:r>
      <w:r>
        <w:rPr>
          <w:color w:val="000000"/>
        </w:rPr>
        <w:t xml:space="preserve"> </w:t>
      </w:r>
      <w:r>
        <w:rPr>
          <w:rFonts w:ascii="Times New Roman;sans-serif" w:hAnsi="Times New Roman;sans-serif"/>
          <w:b w:val="false"/>
          <w:color w:val="000000"/>
          <w:sz w:val="20"/>
        </w:rPr>
        <w:t>However, in October 2020, the U.S. District Court for the District of Wyoming found that the BLM exceeded its statutory authority and acted arbitrarily in promulgating the 2016 Waste Prevention Rule. The court ordered that the rule be vacated, except for certain severable provisions. This decision has been appealed to the Tenth Circuit Court of Appeals.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Various policymakers, regulatory agencies and political candidates at the federal, state and local levels have proposed restrictions on hydraulic fracturing, including its outright prohibition. At various times during his presidential campaign, President Biden indicated support for prohibitions of hydraulic fracturing on federal lands or outright.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in December 2014, New York announced a moratorium on high volume fracturing activities combined with horizontal drilling following the issuance of a study regarding the safety of hydraulic fracturing. Certain communities in Colorado have also enacted bans on hydraulic fracturing. These actions are the subject of legal challenges. Texas and New Mexico have adopted regulations that require the disclosure of information regarding the substances used in the hydraulic fracturing process. Recently,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at the local, state or federal level could limit our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our and San Mateo’s revenues and result in increased costs and additional operating restrictions or delays.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salt water disposal wells or otherwise, to assess the relationship between seismicity and the use of such wells.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wells, in the area of seismic events based on the magnitude, timing and proximity of the seismic event. See “Business—Regulation— Environmental, Health and Safety Regulation.”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Increased seismicity in areas in which we operate could result in additional regulation and restrictions on our operations and could lead to operational delays or increased operating costs. Additional regulation and attention given to induced seismicity could also lead to greater opposition, including litigation, to oil and natural gas activities.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which set greenhouse gas emission reduction goals, every five years beginning in 2020. While the United States exited the Paris Agreement in November 2020, effective February 19, 2021, President Biden caused the United States to rejoin the Paris Agreement. In April 2021, President Biden set a new goal for the United States to achieve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NMED has also proposed similar rules and regulations.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an interpretative guidance on climate change disclosures, the SEC indicated that climate change could have an effect on the severity of weather (including hurricanes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programs to reduce emissions of greenhouse gases could have an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and certain family foundations and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In January 2021, the Biden administration issued the Biden Administration Federal Lease Orders, limiting the issuance of federal drilling permits and other federal approvals. In addition, the BLM has indicated that the Lease Sale Litigation and the Social Cost of Carbon Litigation may delay lease sales and the approval of drilling permits. Although some of the restrictions in the Biden Administration Federal Lease Orders have lapsed at December 31, 2021, the impact of these federal actions remains unclear. Should these or other limitations or prohibitions be imposed or continue to be applied, our oil and natural gas operations on federal lands could be adversely impacted.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President Biden and the Democratic Party, which now controls Congress,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and likely will be proposed and/or promulgated during the Biden administration. In addition, the Biden administration has already issued multiple executive orders pertaining to environmental regulations and climate change, including the Executive Order on Protecting Public Health and the Environment and Restoring Science to Tackle the Climate Crisis and the Executive Order on Tackling the Climate Crisis at Home and Abroad. In the latter executive order, President Biden established climate change as a primary foreign policy and national security consideration, affirmed that achieving net-zero greenhouse gas emissions by or before 2050 is a critical priority, affirmed his administration’s desire to establish the United States as a leader in addressing climate change and generally further integrated climate change and environmental justice considerations into government agencies’ decision-making, among other measures.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New regulations on all emissions from our operations could cause us to incur significant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 EPA issued final rules to subject oil and natural gas operations to regulation under the New Source Performance Standards (“NSPS”) and National Emission Standards for Hazardous Air Pollutants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The EPA finalized a more stringent National Ambient Air Quality Standard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the Department of the Interior issued final rules relating to the venting, flaring and leaking of natural gas by oil and natural gas producers who operate on federal and Indian lands. The rules limit routine flaring of natural gas, require the payment of royalties on avoidable natural gas losses and require plans or programs relating to natural gas capture and leak detection and repair. However, in October 2020, the U.S. District Court for the District of Wyoming found that the BLM exceeded its statutory authority and acted arbitrarily in promulgating the 2016 Waste Prevention Rule. The court ordered that the rule be vacated, except for certain severable provisions. This decision has been appealed to the Tenth Circuit Court of Appeals. If not withdrawn or significantly revised, these rules are expected to result in an increase to our operating costs and changes in our operations. In November 2021, the EPA also proposed new NSPS updates and emission guidelines to reduce methane and other pollutants from the oil and gas industry. In addition, several states are pursuing similar measures to regulate emissions of methane from new and existing sources within the oil and natural gas source category. As a result of this continued regulatory focus, future federal and state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regulations of the oil and natural gas industry remain a possibility and could result in increased compliance costs for our operations.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incur significant costs and liabilities resulting from compliance with pipeline safety regulations.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 PHMSA also recently proposed rulemaking that would expand existing integrity management requirements to natural gas transmission and gathering lines in areas with medium population densities.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 change in the jurisdictional characterization of some of our assets by FERC or a change in policy by FERC may result in increased regulation of our assets, which may cause our revenues to decline and operating expenses to increase.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is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rates of our regulated assets are subject to review and reporting by federal regulators, which could adversely affect our 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FERC’s ratemaking policies are subject to change and may impact the rates charged and revenues received on the Rustler Breaks Oil Pipeline System and any other natural gas or crude oil pipeline that is determined to be under the jurisdiction of FERC.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Should we fail to comply with all applicable FERC-administered statutes, rules, regulations and orders, we could be subject to substantial penalties and fines.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derivatives legislation adopted by Congress could have an adverse impact on our ability to hedge risks associated with our business.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business, financial condition and results of operations.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Relating to Our Common Stock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The price of our common stock has fluctuated substantially and may fluctuate substantially in the future.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stock price has experienced volatility and could vary significantly as a result of a number of factors. In 2021, our stock price fluctuated between a high of $47.23 and a low of $12.02.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Factors that could affect our stock price or result in fluctuations in the market price or trading volume of our common stock include: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actual or anticipated operating and financial performance and drilling locations, including oil and natural gas reserves estimates;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quarterly variations in the rate of growth of our financial indicators, such as net income per share, net income and cash flows, or those of companies that are perceived to be similar to us;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changes in revenue, cash flows or earnings estimates or publication of reports by equity research analysts;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declaration of dividends or adjustments to our dividend policy;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speculation in the press or investment community;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announcement or consummation of acquisitions, dispositions or joint ventures by us;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public reaction to our operations or plans, press releases, announcements and filings with the SEC;</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publication of research or reports by industry analysts regarding the Company, its competitors or our industry;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enactment of federal, state or local laws, rules or regulations that restrict our ability to conduct our operations, such as the Biden Administration Federal Lease Orders;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sales of our common stock by the Company, directors, officers or other shareholders, or the perception that such sales may occur;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general financial market conditions and oil and natural gas industry market conditions, including fluctuations in the price of oil, natural gas and NGLs;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or global health concerns, including the outbreak of contagious or pandemic diseases, such as COVID-19;</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realization of any of the risk factors presented in this Annual Report;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recruitment or departure of key personnel;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commencement of, involvement in or unfavorable resolution of litigation;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success of our exploration and development operations, our midstream business (including San Mateo) and the marketing of any oil, natural gas and NGLs we produce;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changes in market valuations of companies similar to ours;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domestic and international economic, legal and regulatory factors unrelated to our performance.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Conservation measures and a negative shift in market perception towards the oil and natural gas industry could adversely affect demand for oil and natural gas and our stock price.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Some investors, including certain pension funds, sovereign wealth funds, university endowments and family foundations, have stated policies to reduce or eliminate their investments in the oil and natural gas sector based on social and environmental considerations. Other significant investors have published ESG disclosure standards that companies in which they invest are expected to adopt or follow. Furthermore, fuel conservation measures, alternative fuel requirements, increasing consumer demand for alternatives to oil and natural gas, technological advances in fuel economy and energy generation devices could reduce demand for oil and natural gas. Such developments could result in downward pressure on the stock prices of oil and natural gas companies, including ours.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other stakeholders have pressured commercial and investment banks and other capital providers to stop funding oil and natural gas projects.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plays.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Future sales of shares of our common stock by existing shareholders and future offerings of our common stock by us could depress the price of our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directors and executive officers own a significant percentage of our equity, which could give them influence in corporate transactions and other matters, and the interests of our directors and executive officers could differ from other shareholders.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22, 2022, our directors and executive officers beneficially owned approximately 6.5% of our outstanding common stock. These shareholders could influence or control to some degree the outcome of matters requiring a shareholder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Board can authorize the issuance of preferred stock, which could diminish the rights of holders of our common stock and make a change of control of the Company more difficult even if it might benefit our shareholders.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may have difficulty managing growth in our business, which could have a material adverse effect on our business, financial condition, results of operations and cash flows and our ability to execute our business plan in a timely fashion.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Our success depends, to a large extent, on our ability to retain our key personnel, including our chairman and chief executive officer, management and technical team, the members of our Board and our special Board advisors, and the loss of any key personnel, Board member or special Board advisor could disrupt our business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an active Board of Directors that meets at least quarterly throughout the year and is closely involved in our business and the determination of our operational strategies. Members of our Board of Directors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our Board of Directors consults regularly with our special Board advisors regarding our business and the evaluation, exploration, engineering and development of our prospects and properties. Due to the knowledge and experience of our special advisors, they play a key role in our multi-disciplined approach to making decisions regarding prospects, acquisitions and development. If any of our special advisors resign or become unable to continue in their present role, our operations may be adversely affected.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If we fail to maintain effective internal control over financial reporting in the future, our ability to accurately report our financial results could be adversely affected.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listed equity securities, we are required to comply with laws, regulations and requirements, certain corporate governance provisions of the Sarbanes-Oxley Act of 2002, related regulations of the SEC and the requirements of the NYSE. Complying with these statutes, regulations and requirements is difficult and costly and occupies a significant amount of time of our Board of Directors and management.</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Sarbanes-Oxley Act, we are required to maintain internal control over financial reporting. Our efforts to maintain our internal controls may not be successful, and we may be unable to maintain effective controls over our financial processes and reporting in the future and comply with the certification and reporting obligations under Sections 302 and 404 of the Sarbanes-Oxley Act. Our management does not expect that our internal controls and disclosure controls will prevent all possible error or all fraud. Any failure to maintain effective controls could result in material misstatements that are not prevented or detected and corrected on a timely basis, which could potentially subject us to sanction or investigation by the SEC, the NYSE or other regulatory authorities. Ineffective internal controls could also cause investors to lose confidence in our reported financial information and adversely affect our business and our stock price.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cyber incident could occur and result in information theft, data corruption, operational disruption or financial loss.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dependent on digital technologies to conduct certain exploration, development, production, gathering, processing and financial activities. We depend on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supervisory control and data acquisition (SCADA) systems, control important processes and facilities that are critical to our operations. If any of such programs or systems were to fail or create erroneous information in our hardware or software network infrastructure or we were subject to cyberspace breaches, phishing schemes or attacks, possible consequences include financial losses and the inability to engage in any of the aforementioned activities. Any such consequence could have a material adverse effect on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experienced certain phishing schemes and efforts to access our network, we have not experienced any material losses due to cyber incidents. However, we may suffer such losses in the future. If our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operational disruptions or financial loss. As cyber threats continue to evolve, we may be required to expend additional resources to continue to modify and enhance our protective systems or to investigate and remediate any vulnerabilities.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Provisions of our certificate of formation, bylaws and Texas law may have anti-takeover effects that could prevent a change in control even if it might be beneficial to our shareholders.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certificate of formation and bylaws contain certain provisions that may discourage, delay or prevent a merger or acquisition that our shareholders may consider favorable. These provisions include: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authorization for our Board of Directors to issue preferred stock without shareholder approval;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classified Board of Directors so that not all members of our Board of Directors are elected at one time;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prohibition of cumulative voting in the election of directors;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limitation on the ability of shareholders to call special meetings to those owning at least 25% of our outstanding shares of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of Directors before this person became an affiliated shareholder or approval of the holders of at least two-thirds of our outstanding voting shares not beneficially owned by the affiliated shareholder.</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 operate in a litigious environment and may be involved in legal proceedings that could have an adverse effect on our results of operations and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Like many oil and natural gas companies, we are from time to time involved in various legal and other proceedings, such as title, royalty or contractual disputes, regulatory compliance matters and personal injury or property damage matters, in the ordinary course of our business. Such legal proceedings are inherently uncertain and their results cannot be predicted. Regardless of the outcome, such proceedings could have an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20" w:after="283"/>
        <w:ind w:left="0" w:right="0" w:firstLine="495"/>
        <w:rPr/>
      </w:pPr>
      <w:r>
        <w:rPr>
          <w:rFonts w:ascii="Times New Roman;sans-serif" w:hAnsi="Times New Roman;sans-serif"/>
          <w:b w:val="false"/>
          <w:color w:val="000000"/>
          <w:sz w:val="20"/>
        </w:rPr>
        <w:t>Not applicable.</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4, 2019, we received a Notice of Violation and Finding of Violation from the EPA and a Notice of Violation from the NMED alleging violations of the CAA and New Mexico State Implementation Plan at certain of our operated locations in New Mexico. We have provided information to the EPA and NMED and are engaged in discussions regarding a resolution of the alleged violations. We believe it is remote that the resolution of this matter will have a material adverse impact on our financial condition, results of operations or cash flows. Resolution of the matter may result in monetary sanctions of more than $300,000.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hanging="72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General Market Information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traded on the NYSE under the symbol “MTDR.” Our shares have been traded on the NYSE since February 2, 2012. Prior to trading on the NYSE, there was no established public trading market for our common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February 22, 2022, we had 118,043,776 shares of common stock outstanding held by approximately 335 record holders, excluding shareholders for whom shares are held in “nominee” or “street” name.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securities authorized for issuance under our equity compensation plans as of December 31, 2021.</w:t>
      </w:r>
    </w:p>
    <w:tbl>
      <w:tblPr>
        <w:tblW w:w="10205" w:type="dxa"/>
        <w:jc w:val="left"/>
        <w:tblInd w:w="0" w:type="dxa"/>
        <w:tblCellMar>
          <w:top w:w="28" w:type="dxa"/>
          <w:left w:w="28" w:type="dxa"/>
          <w:bottom w:w="28" w:type="dxa"/>
          <w:right w:w="28" w:type="dxa"/>
        </w:tblCellMar>
      </w:tblPr>
      <w:tblGrid>
        <w:gridCol w:w="676"/>
        <w:gridCol w:w="594"/>
        <w:gridCol w:w="515"/>
        <w:gridCol w:w="110"/>
        <w:gridCol w:w="110"/>
        <w:gridCol w:w="110"/>
        <w:gridCol w:w="907"/>
        <w:gridCol w:w="749"/>
        <w:gridCol w:w="751"/>
        <w:gridCol w:w="110"/>
        <w:gridCol w:w="110"/>
        <w:gridCol w:w="110"/>
        <w:gridCol w:w="552"/>
        <w:gridCol w:w="1569"/>
        <w:gridCol w:w="310"/>
        <w:gridCol w:w="110"/>
        <w:gridCol w:w="110"/>
        <w:gridCol w:w="110"/>
        <w:gridCol w:w="854"/>
        <w:gridCol w:w="715"/>
        <w:gridCol w:w="1023"/>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 Plan Information</w:t>
            </w:r>
          </w:p>
        </w:tc>
      </w:tr>
      <w:tr>
        <w:trPr/>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to be Issued Upon Exercise of Outstanding Options, Warrants and Rights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Remaining Available for Future Issuance Under Equity Compensation Plans</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Equity compensation plans approved by security holders</w:t>
            </w:r>
            <w:r>
              <w:rPr>
                <w:rFonts w:ascii="Times New Roman;sans-serif" w:hAnsi="Times New Roman;sans-serif"/>
                <w:b w:val="false"/>
                <w:color w:val="000000"/>
                <w:sz w:val="10"/>
              </w:rPr>
              <w:t>(1)(2)</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2,248,984 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1,571,972 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not approved by security holders</w:t>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2,248,984 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1,571,972 </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before="0" w:after="0"/>
        <w:ind w:left="0" w:right="0" w:firstLine="495"/>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(1)Our Board of Directors has determined not to make any additional grants of awards under the Matador Resources Company Amended and Restated 2012 Long-Term Incentive Plan (the “2012 Incentive Plan”).</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Matador Resources Company 2019 Long-Term Incentive Plan (the “2019 Incentive Plan”) was adopted by our Board of Directors in April 2019 and approved by our shareholders on June 6, 2019. For a description of our 2019 Incentive Plan, see Note 9 to the consolidated financial statements in this Annual Report.</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Share Performance Graph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return on a $100 investment in our common stock from December 31, 2016 through December 31, 2021, to that of the cumulative return on a $100 investment in the Russell 2000 Index and the Russell 2000 Energy Index for the same period. In calculating the cumulative return, reinvestment of dividends, if any, is assumed.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 This graph is included in accordance with the SEC’s disclosure rules. This historic stock performance is not indicative of future stock performance.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Among</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the Russell 2000 Index</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the Russell 2000 Energy Index</w:t>
      </w:r>
    </w:p>
    <w:p>
      <w:pPr>
        <w:pStyle w:val="TextBody"/>
        <w:spacing w:lineRule="auto" w:line="288" w:before="0" w:after="0"/>
        <w:jc w:val="center"/>
        <w:rPr/>
      </w:pPr>
      <w:r>
        <w:rPr>
          <w:color w:val="000000"/>
        </w:rPr>
        <w:t> </w:t>
      </w:r>
      <w:r>
        <w:rPr/>
        <w:drawing>
          <wp:inline distT="0" distB="63500" distL="0" distR="0">
            <wp:extent cx="6496050" cy="4572000"/>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2"/>
                    <a:stretch>
                      <a:fillRect/>
                    </a:stretch>
                  </pic:blipFill>
                  <pic:spPr bwMode="auto">
                    <a:xfrm>
                      <a:off x="0" y="0"/>
                      <a:ext cx="6496050" cy="45720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Repurchase of Equity by the Company or Affiliates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2021, the Company re-acquired shares of common stock from certain employees in order to satisfy the employees’ tax liability in connection with the vesting of restricted stock.</w:t>
      </w:r>
    </w:p>
    <w:tbl>
      <w:tblPr>
        <w:tblW w:w="10205" w:type="dxa"/>
        <w:jc w:val="left"/>
        <w:tblInd w:w="0" w:type="dxa"/>
        <w:tblCellMar>
          <w:top w:w="28" w:type="dxa"/>
          <w:left w:w="28" w:type="dxa"/>
          <w:bottom w:w="28" w:type="dxa"/>
          <w:right w:w="28" w:type="dxa"/>
        </w:tblCellMar>
      </w:tblPr>
      <w:tblGrid>
        <w:gridCol w:w="631"/>
        <w:gridCol w:w="418"/>
        <w:gridCol w:w="423"/>
        <w:gridCol w:w="109"/>
        <w:gridCol w:w="109"/>
        <w:gridCol w:w="109"/>
        <w:gridCol w:w="493"/>
        <w:gridCol w:w="493"/>
        <w:gridCol w:w="494"/>
        <w:gridCol w:w="109"/>
        <w:gridCol w:w="109"/>
        <w:gridCol w:w="109"/>
        <w:gridCol w:w="289"/>
        <w:gridCol w:w="844"/>
        <w:gridCol w:w="149"/>
        <w:gridCol w:w="109"/>
        <w:gridCol w:w="109"/>
        <w:gridCol w:w="109"/>
        <w:gridCol w:w="773"/>
        <w:gridCol w:w="773"/>
        <w:gridCol w:w="775"/>
        <w:gridCol w:w="109"/>
        <w:gridCol w:w="109"/>
        <w:gridCol w:w="109"/>
        <w:gridCol w:w="683"/>
        <w:gridCol w:w="683"/>
        <w:gridCol w:w="976"/>
      </w:tblGrid>
      <w:tr>
        <w:trPr/>
        <w:tc>
          <w:tcPr>
            <w:tcW w:w="63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r>
      <w:tr>
        <w:trPr/>
        <w:tc>
          <w:tcPr>
            <w:tcW w:w="14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4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2021 to October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 to November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2021 to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pStyle w:val="TextBody"/>
        <w:spacing w:before="240" w:after="283"/>
        <w:rPr/>
      </w:pPr>
      <w:r>
        <w:rPr/>
      </w:r>
    </w:p>
    <w:p>
      <w:pPr>
        <w:pStyle w:val="TextBody"/>
        <w:spacing w:before="120" w:after="283"/>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6. Selected Financial Data.</w:t>
      </w:r>
    </w:p>
    <w:p>
      <w:pPr>
        <w:pStyle w:val="TextBody"/>
        <w:spacing w:lineRule="auto" w:line="288" w:before="120" w:after="283"/>
        <w:ind w:left="0" w:right="0" w:firstLine="495"/>
        <w:rPr/>
      </w:pPr>
      <w:r>
        <w:rPr>
          <w:rFonts w:ascii="Times New Roman;sans-serif" w:hAnsi="Times New Roman;sans-serif"/>
          <w:b w:val="false"/>
          <w:color w:val="000000"/>
          <w:sz w:val="20"/>
        </w:rPr>
        <w:t>Not applicable.</w:t>
      </w:r>
      <w:r>
        <w:rPr>
          <w:color w:val="000000"/>
        </w:rP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0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impact of the worldwide spread of COVID-19 on oil and natural gas demand, oil and natural gas prices and our business,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For a comparison of our results of operations for the years ended December 31, 2020 and December 31, 2019, see “Management’s Discussion and Analysis of Financial Condition and Results of Operations” in our Annual Report on Form 10-K for the year ended December 31, 2020, filed with the SEC on February 26, 2021.</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2021 Operational Highlights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began 2021 operating three drilling rigs in the Delaware Basin, as we continued to focus on the exploration, delineation and development of our Delaware Basin acreage in Lea and Eddy Counties, New Mexico and Loving County, Texas. In March 2021, we added a fourth rig to our operated drilling program, and in August 2021, we began operating a fifth drilling rig on behalf of San Mateo for the purpose of drilling an additional salt water disposal well in the southern part of the Arrowhead asset area in Eddy County, New Mexico (the “Greater Stebbins Area”). In October 2021, following the conclusion of drilling operations on the salt water disposal well, we moved this rig to the Rodney Robinson leasehold in the western portion of the Antelope Ridge asset area in Lea County, New Mexico. We operated five drilling rigs in the Delaware Basin during the remainder of 2021. Despite the addition of the fifth operated drilling rig and the acceleration of 11 Voni well completions forward into the fourth quarter of 2021, we were able to achieve D/C/E capital expenditures for 2021 of $513 million, which was below our original estimated range for 2021 D/C/E capital expenditures of $525 to $575 million as provided on February 23, 2021 and our revised estimated range for 2021 D/C/E capital expenditures of $535 to $565 million as provided on October 26, 2021.</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completed and began producing oil and natural gas from 47 gross (44.2 net) operated and 50 gross (4.0 net) non-operated wells in the Delaware Basin. We did not conduct any operated drilling and completion activities on our leasehold properties in South Texas or Northwest Louisiana during 2021, although we did participate in the drilling and completion of seven gross (less than 0.1 net) non-operated Haynesville shale wells that began producing in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our 2021 capital expenditures was directed to (i) the delineation and development of our leasehold position in the Delaware Basin, (ii) the development of certain midstream assets to support our operations there, (iii) our participation in non-operated wells drilled and completed in the Delaware Basin and (iv) the acquisition of additional producing properties, leasehold and mineral interests prospective for the Wolfcamp, Bone Spring and other liquids-rich plays in the Delaware Basin. Our remaining capital expenditures were primarily directed to the installation of pumping units and other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on certain of our Eagle Ford shale wells in South Texas and to our participation in several non-operated wells drilled and completed in the Haynesville shale in Northwest Louisiana throughout 2021.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average daily oil equivalent production for the year ended December 31, 2021 was 86,176 BOE per day, including 48,876 Bbl of oil per day and 223.8 MMcf of natural gas per day, an increase of 15%, as compared to 75,175 BOE per day, including 43,526 Bbl of oil per day and 189.9 MMcf of natural gas per day, for the year ended December 31, 2020. Our average daily oil production in 2021 of 48,876 Bbl of oil per day increased 12% from 43,526 Bbl of oil per day in 2020. This increase in oil production was primarily a result of our ongoing delineation and development drilling activities in the Delaware Basin, which offset declining oil production in the Eagle Ford shale where we have not turned to sales any new operated wells since the second quarter of 2019. Our average daily natural gas production of 223.8 MMcf per day in 2021 increased 18% from 189.9 MMcf per day in 2020. This increase in natural gas production was primarily attributable to our ongoing delineation and development drilling activities in the Delaware Basin, which offset declining natural gas production in the Haynesville shale where we had significantly less non-operated activity in 2020 and 2021 as compared to 2019. Oil production comprised 57% of our total production for the year ended December 31, 2021, as compared to 58% in 2020.</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our oil and natural gas revenues were $1.70 billion, an increase of 128% from oil and natural gas revenues of $744.5 million for the year ended December 31, 2020. Our oil revenues increased 102% to $1.21 billion, as compared to $595.5 million for the year ended December 31, 2020. The increase in oil revenues resulted from a significantly higher weighted average realized oil price of $67.58 per Bbl in 2021, as compared to $37.38 per Bbl in 2020, as well as the 12% increase in oil production for the year ended December 31, 2021 noted above. Our natural gas revenues increased 232% to $494.9 million, as compared to $149.0 million for the year ended December 31, 2020. The increase in natural gas revenues resulted from an almost three-fold increase in our weighted average realized natural gas price of $6.06 per Mcf in 2021, as compared to $2.14 per Mcf in 2020, and the 18% increase in our natural gas production noted above.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net income attributable to Matador shareholders of approximately $585.0 million, or $4.91 per diluted common share, on a GAAP basis for the year ended December 31, 2021, as compared to a net loss of $593.2 million, or ($5.11) per diluted common share, for the year ended December 31, 2020. Adjusted EBITDA for the year ended December 31, 2021 was $1.05 billion, as compared to Adjusted EBITDA of $519.3 million for the year ended December 31, 2020. Adjusted EBITDA is a non-GAAP financial measure. For a definition of Adjusted EBITDA and a reconciliation of Adjusted EBITDA to our net income (loss) and net cash provided by operating activities, see “Selected Financial Data—Non-GAAP Financial Measures.”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our estimated total proved oil and natural gas reserves were 323.4 million BOE, including 181.3 million Bbl of oil and 852.5 Bcf of natural gas, with a Standardized Measure of $4.38 billion and a PV-10 of $5.35 billion. At December 31, 2020, our estimated total proved oil and natural gas reserves were 270.3 million BOE, including 159.9 million Bbl of oil and 662.3 Bcf of natural gas, with a Standardized Measure of $1.58 billion and a PV-10 of $1.66 billion. Our estimated total proved reserves of 323.4 million BOE at December 31, 2021 represented a 20% year-over-year increase, as compared to 270.3 million BOE at December 31, 2020. Our estimated proved oil reserves of 181.3 million Bbl at December 31, 2021 increased 13%, as compared to 159.9 million Bbl at December 31, 2020, and our estimated proved natural gas reserves of 852.5 Bcf at December 31, 2021 increased 29%, as compared to 662.3 Bcf at December 31, 2020. Proved oil reserves comprised 56% of our total proved reserves at December 31, 2021, as compared to 59% at December 31, 2020. At December 31, 2021, 60% of our total proved reserves were proved developed reserves, as compared to 46% at December 31, 2020.</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proved oil and natural gas reserves in the Delaware Basin increased 19% to 312.0 million BOE at December 31, 2021, as compared to 261.9 million BOE at December 31, 2020, primarily as a result of our ongoing delineation and development operations there. At December 31, 2021, approximately 96% of our total proved oil and natural gas reserves were attributable to our properties in the Delaware Basin. Our proved oil reserves in the Delaware Basin increased 13% to 177.1 million Bbl at December 31, 2021, as compared to 156.3 million Bbl at December 31, 2020, and our proved natural gas reserves in the Delaware Basin increased 28% to 809.3 Bcf, as compared to 633.5 Bcf at December 31, 2020. Proved oil reserves comprised 57% of our Delaware Basin total proved reserves at December 31, 2021, as compared to 60% at December 31, 2020.</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both December 31, 2021 and December 31, 2020,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 PV-10 is a non-GAAP financial measure. For a reconciliation of PV-10 to Standardized Measure, see “Business—Estimated Proved Reserves.”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2021 Midstream Highlights</w:t>
      </w:r>
    </w:p>
    <w:p>
      <w:pPr>
        <w:pStyle w:val="TextBody"/>
        <w:spacing w:lineRule="auto" w:line="288"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 achieved strong operating results in 2021, highlighted by (i) free cash flow generation, (ii) increased midstream services revenues and (iii) increased natural gas gathering and processing volumes, produced water handling volumes and oil gathering and transportation volumes, all as compared to 2020. Volumes for the years ended December 31, 2021 and 2020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2021 and 2020. San Mateo is owned 51% by us and 49% by our joint venture partner, Five Point. </w:t>
      </w:r>
    </w:p>
    <w:p>
      <w:pPr>
        <w:pStyle w:val="TextBody"/>
        <w:spacing w:lineRule="auto" w:line="288"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2021, San Mateo closed seven new midstream transactions with oil and natural gas producers and other counterparties in Eddy County, New Mexico, which are expected to generate additional natural gas gathering and processing, oil gathering and transportation and water handling volumes in future periods. A majority of these new opportunities reflect additional business awarded to San Mateo by existing customers, which we believe is indicative of the quality of service San Mateo provides to all of its customers in the Delaware Basin. For example, San Mateo was able to keep its gathering, processing and disposal systems operational throughout the historically prolonged cold weather conditions experienced in New Mexico and Texas during Winter Storm Uri in February 2021.</w:t>
      </w:r>
    </w:p>
    <w:p>
      <w:pPr>
        <w:pStyle w:val="TextBody"/>
        <w:spacing w:lineRule="auto" w:line="288" w:before="12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San Mateo’s midstream system included: </w:t>
      </w:r>
    </w:p>
    <w:p>
      <w:pPr>
        <w:pStyle w:val="TextBody"/>
        <w:spacing w:lineRule="auto" w:line="288" w:before="120" w:after="160"/>
        <w:ind w:left="0" w:right="0" w:hanging="360"/>
        <w:rPr/>
      </w:pPr>
      <w:r>
        <w:rPr>
          <w:color w:val="000000"/>
        </w:rPr>
        <w:t>•</w:t>
      </w:r>
      <w:r>
        <w:rPr>
          <w:rFonts w:ascii="Times New Roman;sans-serif" w:hAnsi="Times New Roman;sans-serif"/>
          <w:b w:val="false"/>
          <w:color w:val="000000"/>
          <w:sz w:val="20"/>
          <w:u w:val="single"/>
        </w:rPr>
        <w:t>Natural Gas Assets</w:t>
      </w:r>
      <w:r>
        <w:rPr>
          <w:rFonts w:ascii="Times New Roman;sans-serif" w:hAnsi="Times New Roman;sans-serif"/>
          <w:b w:val="false"/>
          <w:color w:val="000000"/>
          <w:sz w:val="20"/>
        </w:rPr>
        <w:t xml:space="preserve">: 460 MMcf per day of designed natural gas cryogenic processing capacity and approximately 150 miles of natural gas gathering pipelines in Eddy County, New Mexico and Loving County, Texas, including 43 miles of large diameter natural gas gathering lines spanning from the Stateline asset area to the Greater Stebbins Area in Eddy County, New Mexico; </w:t>
      </w:r>
    </w:p>
    <w:p>
      <w:pPr>
        <w:pStyle w:val="TextBody"/>
        <w:spacing w:lineRule="auto" w:line="288" w:before="120" w:after="160"/>
        <w:ind w:left="0" w:right="0" w:hanging="360"/>
        <w:rPr/>
      </w:pPr>
      <w:r>
        <w:rPr>
          <w:color w:val="000000"/>
        </w:rPr>
        <w:t>•</w:t>
      </w:r>
      <w:r>
        <w:rPr>
          <w:rFonts w:ascii="Times New Roman;sans-serif" w:hAnsi="Times New Roman;sans-serif"/>
          <w:b w:val="false"/>
          <w:color w:val="000000"/>
          <w:sz w:val="20"/>
          <w:u w:val="single"/>
        </w:rPr>
        <w:t>Oil Assets</w:t>
      </w:r>
      <w:r>
        <w:rPr>
          <w:rFonts w:ascii="Times New Roman;sans-serif" w:hAnsi="Times New Roman;sans-serif"/>
          <w:b w:val="false"/>
          <w:color w:val="000000"/>
          <w:sz w:val="20"/>
        </w:rPr>
        <w:t>: Three oil CDPs with over 100,000 Bbl of designed oil throughput capacity and approximately 90 miles of oil gathering and transportation pipelines in Eddy County, New Mexico and Loving County, Texas, as well as a 400,000-acre joint development area with Plains to gather our and other producers’ oil production in Eddy County, New Mexico; and</w:t>
      </w:r>
    </w:p>
    <w:p>
      <w:pPr>
        <w:pStyle w:val="TextBody"/>
        <w:spacing w:lineRule="auto" w:line="288" w:before="120" w:after="160"/>
        <w:ind w:left="0" w:right="0" w:hanging="360"/>
        <w:rPr/>
      </w:pPr>
      <w:r>
        <w:rPr>
          <w:color w:val="000000"/>
        </w:rPr>
        <w:t>•</w:t>
      </w:r>
      <w:r>
        <w:rPr>
          <w:rFonts w:ascii="Times New Roman;sans-serif" w:hAnsi="Times New Roman;sans-serif"/>
          <w:b w:val="false"/>
          <w:color w:val="000000"/>
          <w:sz w:val="20"/>
          <w:u w:val="single"/>
        </w:rPr>
        <w:t>Produced Water Assets</w:t>
      </w:r>
      <w:r>
        <w:rPr>
          <w:rFonts w:ascii="Times New Roman;sans-serif" w:hAnsi="Times New Roman;sans-serif"/>
          <w:b w:val="false"/>
          <w:color w:val="000000"/>
          <w:sz w:val="20"/>
        </w:rPr>
        <w:t>: 14 commercial salt water disposal wells and associated facilities with designed produced water disposal capacity of 370,000 Bbl per day and approximately 130 miles of produced water gathering pipelines in Eddy County, New Mexico and Loving County, Texas.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2022 Capital Expenditure Budget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development of our Delaware Basin assets will be the primary focus of our operations and capital expenditures in 2022. In the second half of 2021, we added a fifth operated drilling rig in the Delaware Basin to drill a salt water disposal well on behalf of San Mateo. In October 2021, following the conclusion of drilling operations on the salt water disposal well, we began drilling oil and natural gas wells with this rig, and we plan to operate these five contracted drilling rigs in the Delaware Basin throughout 2022. In addition, at February 22, 2022, we had contracted a sixth operated drilling rig to begin drilling operations immediately on recently acquired acreage in western Lea County, New Mexico in our Ranger asset area. We expect to operate this sixth rig on the newly acquired acreage throughout the remainder of 2022. We have built significant optionality into our 2022 drilling program, which should generally allow us to decrease or increase the number of rigs we operate as necessary based on changing commodity prices and other factors. Our 2022 estimated capital expenditure budget consists of $640.0 to $710.0 million for D/C/E capital expenditures and $50.0 to $60.0 million for midstream capital expenditures, which primarily reflects our proportionate share of San Mateo’s estimated 2022 capital expenditures. Substantially all of these 2022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2022 Delaware Basin operated drilling program is expected to focus on the continued development of our various asset areas throughout the Delaware Basin, with a continued emphasis on drilling and completing a high percentage of longer horizontal wells in 2022, including 90% with anticipated completed lateral lengths of two miles or greater.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$48.1 million in cash (excluding restricted cash) and $554.2 million in undrawn borrowing capacity under the Credit Agreement (after giving effect to outstanding letters of credit based upon our elected borrowing commitment of $700.0 million). Excluding any possible significant acquisitions, we expect to fund our 2022 capital expenditures through a combination of cash on hand, operating cash flows and performance incentives paid to us by Five Point in connection with San Mateo. If capital expenditures were to exceed our operating cash flows in 2022, we expect to fund any such excess capital expenditures through borrowings under the Credit Agreement or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may divest portions of our non-core assets, particularly in the Haynesville shale and in our South Texas position (as we did in 2020, 2021 and early 2022),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2022. These monetizations, divestitures and expenditures are opportunity-specific, and purchase price multiples and per-acre prices can vary significantly based on the asset or prospect. As a result, it is difficult to estimate these 2022 monetizations, divestitures and capital expenditures with any degree of certainty; therefore, we have not provided estimated proceeds related to monetizations or divestitures or estimated capital expenditures related to acquisitions of producing properties, acreage and mineral interests and midstream assets for 2022. The aggregate amount of capital we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2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revenues and production data for the periods indicated.</w:t>
      </w:r>
    </w:p>
    <w:tbl>
      <w:tblPr>
        <w:tblW w:w="7899" w:type="dxa"/>
        <w:jc w:val="left"/>
        <w:tblInd w:w="0" w:type="dxa"/>
        <w:tblCellMar>
          <w:top w:w="28" w:type="dxa"/>
          <w:left w:w="28" w:type="dxa"/>
          <w:bottom w:w="28" w:type="dxa"/>
          <w:right w:w="28" w:type="dxa"/>
        </w:tblCellMar>
      </w:tblPr>
      <w:tblGrid>
        <w:gridCol w:w="1310"/>
        <w:gridCol w:w="1147"/>
        <w:gridCol w:w="1158"/>
        <w:gridCol w:w="109"/>
        <w:gridCol w:w="109"/>
        <w:gridCol w:w="109"/>
        <w:gridCol w:w="196"/>
        <w:gridCol w:w="871"/>
        <w:gridCol w:w="109"/>
        <w:gridCol w:w="109"/>
        <w:gridCol w:w="109"/>
        <w:gridCol w:w="109"/>
        <w:gridCol w:w="196"/>
        <w:gridCol w:w="736"/>
        <w:gridCol w:w="109"/>
        <w:gridCol w:w="109"/>
        <w:gridCol w:w="109"/>
        <w:gridCol w:w="109"/>
        <w:gridCol w:w="196"/>
        <w:gridCol w:w="736"/>
        <w:gridCol w:w="154"/>
      </w:tblGrid>
      <w:tr>
        <w:trPr/>
        <w:tc>
          <w:tcPr>
            <w:tcW w:w="1310"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Revenues (in thousands):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759,811 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and natural gas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Third-party midstream services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purchased natural gas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bonus - mineral acreage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(loss) gain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Net Production Volumes:</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Average daily production (BOE/d)</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without realized derivatives (per 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 realized derivatives (per 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without realized derivatives (per 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 realized derivatives (per Mcf)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(2)Estimated using a conversion ratio of one Bbl of oil per six Mcf of natural gas.</w:t>
      </w:r>
    </w:p>
    <w:p>
      <w:pPr>
        <w:pStyle w:val="TextBody"/>
        <w:spacing w:before="0" w:after="0"/>
        <w:ind w:left="0" w:right="0" w:firstLine="225"/>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2021 as Compared to Year Ended December 31, 2020 </w:t>
      </w:r>
    </w:p>
    <w:p>
      <w:pPr>
        <w:pStyle w:val="TextBody"/>
        <w:spacing w:lineRule="auto" w:line="288" w:before="100" w:after="283"/>
        <w:ind w:left="0" w:right="0" w:firstLine="495"/>
        <w:rPr/>
      </w:pPr>
      <w:r>
        <w:rPr>
          <w:rFonts w:ascii="Times New Roman;sans-serif" w:hAnsi="Times New Roman;sans-serif"/>
          <w:b w:val="false"/>
          <w:i/>
          <w:color w:val="000000"/>
          <w:sz w:val="20"/>
        </w:rPr>
        <w:t>Oil and natural gas revenues</w:t>
      </w:r>
      <w:r>
        <w:rPr>
          <w:rFonts w:ascii="Times New Roman;sans-serif" w:hAnsi="Times New Roman;sans-serif"/>
          <w:b w:val="false"/>
          <w:color w:val="000000"/>
          <w:sz w:val="20"/>
        </w:rPr>
        <w:t>. Our oil and natural gas revenues increased $956.1 million, or 128%, to $1.70 billion for the year ended December 31, 2021, as compared to $744.5 million for the year ended December 31, 2020. Our oil revenues increased $610.1 million, or 102%, to $1.21 billion for the year ended December 31, 2021, as compared to $595.5 million for the year ended December 31, 2020. This increase in oil revenues resulted from an 81% increase in the weighted average oil price realized for the year ended December 31, 2021 to $67.58 per Bbl, as compared to $37.38 per Bbl realized for the year ended December 31, 2020, and the 12% increase in our oil production to 17.8 million Bbl of oil for the year ended December 31, 2021, as compared to 15.9 million Bbl of oil</w:t>
      </w:r>
      <w:r>
        <w:rPr>
          <w:color w:val="000000"/>
          <w:highlight w:val="white"/>
        </w:rPr>
        <w:t xml:space="preserve"> </w:t>
      </w:r>
      <w:r>
        <w:rPr>
          <w:rFonts w:ascii="Times New Roman;sans-serif" w:hAnsi="Times New Roman;sans-serif"/>
          <w:b w:val="false"/>
          <w:color w:val="000000"/>
          <w:sz w:val="20"/>
        </w:rPr>
        <w:t>for the year ended December 31, 2020. The increase in oil production was primarily attributable to our ongoing delineation and development drilling activities in the Delaware Basin. Our natural gas revenues increased by $346.0 million, or 232%, to $494.9 million for the year ended December 31, 2021, as compared to $149.0 million for the year ended December 31, 2020. The increase in natural gas revenues was primarily attributable to the almost three-fold increase in the weighted average natural gas price realized for the year ended December 31, 2021 to $6.06 per Mcf, as compared to $2.14 per Mcf realized for the year ended December 31, 2020, and the 18% increase in our natural gas production to 81.7 Bcf for the year ended December 31, 2021, as compared to 69.5 Bcf for the year ended December 31, 2020. The increase in natural gas production was primarily attributable to our ongoing delineation and development drilling activities in the Delaware Basin, which offset declining natural gas production from our properties in the Haynesville shale.</w:t>
      </w:r>
    </w:p>
    <w:p>
      <w:pPr>
        <w:pStyle w:val="TextBody"/>
        <w:spacing w:lineRule="auto" w:line="288" w:before="180" w:after="283"/>
        <w:ind w:left="0" w:right="0" w:firstLine="495"/>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$10.6 million, or 16%, to $75.5 million for the year ended December 31, 2021, as compared to $64.9 million for the year ended December 31, 2020.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$37.6 million for the year ended December 31, 2021, as compared to $30.1 million for the year ended December 31, 2020, (ii) an increase in our third-party oil gathering and transportation revenues to $10.2 million for the year ended December 31, 2021, as compared to $9.4 million for the year ended December 31, 2020, and (iii) an increase in third-party produced water handling revenues to $27.6 million for the year ended December 31, 2021, as compared to $25.5 million for the year ended December 31, 2020.</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495"/>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Our sales of purchased natural gas increased $44.3 million, or 106%, to $86.0 million for the year ended December 31, 2021, as compared to $41.7 million for the year ended December 31, 2020. This increase was primarily the result of the increase in realized natural gas prices and an increase in natural gas volumes sold during the year ended December 31, 2021. Sales of purchased natural gas primarily reflect those natural gas purchase transactions that we periodically enter into with third parties whereby we purchase natural gas and (i) subsequently sell the natural gas to other purchasers or (ii) process the natural gas at the Black River Processing Plant and subsequently sell the residue gas and NGLs to other purchasers. These revenues, and the expenses related to these transactions included in “Purchased natural gas,” are presented on a gross basis in our consolidated statements of operations.</w:t>
      </w:r>
    </w:p>
    <w:p>
      <w:pPr>
        <w:pStyle w:val="TextBody"/>
        <w:spacing w:lineRule="auto" w:line="288" w:before="180" w:after="283"/>
        <w:ind w:left="0" w:right="0" w:firstLine="495"/>
        <w:rPr/>
      </w:pPr>
      <w:r>
        <w:rPr>
          <w:rFonts w:ascii="Times New Roman;sans-serif" w:hAnsi="Times New Roman;sans-serif"/>
          <w:b w:val="false"/>
          <w:i/>
          <w:color w:val="000000"/>
          <w:sz w:val="20"/>
        </w:rPr>
        <w:t xml:space="preserve">Lease bonus - mineral acreage. </w:t>
      </w:r>
      <w:r>
        <w:rPr>
          <w:rFonts w:ascii="Times New Roman;sans-serif" w:hAnsi="Times New Roman;sans-serif"/>
          <w:b w:val="false"/>
          <w:color w:val="000000"/>
          <w:sz w:val="20"/>
        </w:rPr>
        <w:t>We did not lease any of our mineral acreage to third parties during</w:t>
      </w:r>
      <w:r>
        <w:rPr>
          <w:color w:val="000000"/>
        </w:rPr>
        <w:t xml:space="preserve"> </w:t>
      </w:r>
      <w:r>
        <w:rPr>
          <w:rFonts w:ascii="Times New Roman;sans-serif" w:hAnsi="Times New Roman;sans-serif"/>
          <w:b w:val="false"/>
          <w:color w:val="000000"/>
          <w:sz w:val="20"/>
        </w:rPr>
        <w:t>the year ended December 31, 2021. Our lease bonus - mineral acreage revenues were $4.1 million for the year ended December 31, 2020. Lease bonus - mineral acreage revenues reflect the payments we receive to enter into or extend leases to third-party lessees to develop the oil and natural gas attributable to certain of our mineral interests.</w:t>
      </w:r>
    </w:p>
    <w:p>
      <w:pPr>
        <w:pStyle w:val="TextBody"/>
        <w:spacing w:lineRule="auto" w:line="288" w:before="180" w:after="283"/>
        <w:ind w:left="0" w:right="0" w:firstLine="495"/>
        <w:rPr/>
      </w:pPr>
      <w:r>
        <w:rPr>
          <w:rFonts w:ascii="Times New Roman;sans-serif" w:hAnsi="Times New Roman;sans-serif"/>
          <w:b w:val="false"/>
          <w:i/>
          <w:color w:val="000000"/>
          <w:sz w:val="20"/>
        </w:rPr>
        <w:t>Realized (loss) gain on derivatives</w:t>
      </w:r>
      <w:r>
        <w:rPr>
          <w:rFonts w:ascii="Times New Roman;sans-serif" w:hAnsi="Times New Roman;sans-serif"/>
          <w:b w:val="false"/>
          <w:color w:val="000000"/>
          <w:sz w:val="20"/>
        </w:rPr>
        <w:t>. Our realized net loss on derivatives was $220.1 million for the year ended December 31, 2021, as compared to a realized net gain of approximately $38.9 million for the year ended December 31, 2020. We realized a net loss of $197.5 million related to our oil costless collar and swap contracts for the year ended December 31, 2021, resulting primarily from oil prices that were above the ceiling prices of certain of our oil costless collar contracts and above the strike price of certain of our oil swap contracts. We also realized a net loss of approximately $26.1 million related to our natural gas costless collar contracts for the year ended December 31, 2021, resulting primarily from natural gas prices that were above the ceiling prices of certain of our natural gas costless collar contracts. We realized a net gain of $3.5 million from our oil basis swap contracts for the year ended December 31, 2021, resulting from oil basis prices that were lower than the fixed prices of certain of our oil basis swap contracts. We realized a net gain of $35.1 million related to our oil costless collar, put and swap contracts for the year ended December 31, 2020, resulting primarily from oil prices that were below the floor prices of certain of our oil costless collar contracts and below the strike price of certain of our oil put and swap contracts. We realized a net gain of $3.8 million from our oil basis swap contracts for the year ended December 31, 2020, resulting from oil basis prices that were lower than the fixed prices of certain of our oil basis swap contracts. We realized an average loss on our oil derivatives of approximately $10.88 per Bbl of oil produced during the year ended December 31, 2021, as compared to an average gain of $2.45 per Bbl of oil produced during the year ended December 31, 2020. We realized an average loss on our natural gas derivatives of approximately $0.32 per Mcf of natural gas produced during the year ended December 31, 2021, as compared to no gain or loss on our natural gas derivatives during the year ended December 31, 2020. Our total oil volumes hedged for the year ended December 31, 2021 represented 61% of our total oil production, as compared to 77% of our total oil production for the year ended December 31, 2020. Our total natural gas volumes hedged for the year ended December 31, 2021 represented 62% of our total natural gas production, as compared to 10% of our total natural gas production for the year ended December 31, 2020.</w:t>
      </w:r>
    </w:p>
    <w:p>
      <w:pPr>
        <w:pStyle w:val="TextBody"/>
        <w:spacing w:lineRule="auto" w:line="288" w:before="180" w:after="283"/>
        <w:ind w:left="0" w:right="0" w:firstLine="495"/>
        <w:rPr/>
      </w:pPr>
      <w:r>
        <w:rPr>
          <w:rFonts w:ascii="Times New Roman;sans-serif" w:hAnsi="Times New Roman;sans-serif"/>
          <w:b w:val="false"/>
          <w:i/>
          <w:color w:val="000000"/>
          <w:sz w:val="20"/>
        </w:rPr>
        <w:t>Unrealized gain (loss) on derivatives.</w:t>
      </w:r>
      <w:r>
        <w:rPr>
          <w:color w:val="000000"/>
        </w:rPr>
        <w:t xml:space="preserve"> </w:t>
      </w:r>
      <w:r>
        <w:rPr>
          <w:rFonts w:ascii="Times New Roman;sans-serif" w:hAnsi="Times New Roman;sans-serif"/>
          <w:b w:val="false"/>
          <w:color w:val="000000"/>
          <w:sz w:val="20"/>
        </w:rPr>
        <w:t>Our unrealized gain on derivatives was approximately $21.0 million for the year ended December 31, 2021, as compared to an unrealized loss of $32.0 million for the year ended December 31, 2020. During the year ended December 31, 2021, the aggregate net fair value of our open oil and natural gas derivatives and oil basis swap contracts increased from a net liability of approximately $35.9 million to a net liability of approximately $14.9 million, resulting in an unrealized gain on derivatives of approximately $21.0 million for the year ended December 31, 2021. During the year ended December 31, 2020, the aggregate net fair value of our open oil and natural gas derivative and oil basis swap contracts decreased from a net liability of approximately $3.9 million to a net liability of $35.9 million, resulting in an unrealized loss on derivatives of approximately $32.0 million for the year ended December 31, 2020.</w:t>
      </w:r>
    </w:p>
    <w:p>
      <w:pPr>
        <w:pStyle w:val="TextBody"/>
        <w:spacing w:before="0" w:after="0"/>
        <w:ind w:left="0" w:right="0" w:firstLine="225"/>
        <w:rPr/>
      </w:pPr>
      <w:r>
        <w:rPr/>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The following table summarizes our operating expenses and other income (expense) for the periods indicated. </w:t>
      </w:r>
    </w:p>
    <w:tbl>
      <w:tblPr>
        <w:tblW w:w="9473" w:type="dxa"/>
        <w:jc w:val="left"/>
        <w:tblInd w:w="0" w:type="dxa"/>
        <w:tblCellMar>
          <w:top w:w="28" w:type="dxa"/>
          <w:left w:w="28" w:type="dxa"/>
          <w:bottom w:w="28" w:type="dxa"/>
          <w:right w:w="28" w:type="dxa"/>
        </w:tblCellMar>
      </w:tblPr>
      <w:tblGrid>
        <w:gridCol w:w="1936"/>
        <w:gridCol w:w="1699"/>
        <w:gridCol w:w="1704"/>
        <w:gridCol w:w="109"/>
        <w:gridCol w:w="109"/>
        <w:gridCol w:w="109"/>
        <w:gridCol w:w="196"/>
        <w:gridCol w:w="736"/>
        <w:gridCol w:w="109"/>
        <w:gridCol w:w="109"/>
        <w:gridCol w:w="109"/>
        <w:gridCol w:w="109"/>
        <w:gridCol w:w="196"/>
        <w:gridCol w:w="811"/>
        <w:gridCol w:w="109"/>
        <w:gridCol w:w="109"/>
        <w:gridCol w:w="109"/>
        <w:gridCol w:w="109"/>
        <w:gridCol w:w="196"/>
        <w:gridCol w:w="646"/>
        <w:gridCol w:w="154"/>
      </w:tblGrid>
      <w:tr>
        <w:trPr/>
        <w:tc>
          <w:tcPr>
            <w:tcW w:w="1936"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Full-cost ceiling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asset sales and inventory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income tax provision (benefit)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Matador Resources Company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 per BOE: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2021 as Compared to Year Ended December 31, 2020 </w:t>
      </w:r>
    </w:p>
    <w:p>
      <w:pPr>
        <w:pStyle w:val="TextBody"/>
        <w:spacing w:lineRule="auto" w:line="288" w:before="100" w:after="283"/>
        <w:ind w:left="0" w:right="0" w:firstLine="495"/>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 xml:space="preserve">Our production taxes and transportation and processing expenses increased $85.6 million, or 92%, to $179.0 million for the year ended December 31, 2021, as compared to $93.3 million for the year ended December 31, 2020. On a unit-of-production basis, our production taxes and transportation and processing expenses increased 68% to $5.69 per BOE for the year ended December 31, 2021, as compared to $3.39 per BOE for the year ended December 31, 2020. These increases were primarily attributable to the $76.5 million increase in our production taxes to $129.8 million for the year ended December 31, 2021, as compared to $53.4 million for the year ended December 31, 2020, resulting from the $956.1 million increase in oil and natural gas revenues for the year ended December 31, 2021, as compared to the year ended December 31, 2020 and the $9.2 million increase in transportation and processing expenses to $49.2 million for the year ended December 31, 2021, as compared to $40.0 million for the year ended December 31, 2020, primarily resulting from the 14% increase in total oil equivalent production between the respective periods. </w:t>
      </w:r>
    </w:p>
    <w:p>
      <w:pPr>
        <w:pStyle w:val="TextBody"/>
        <w:spacing w:lineRule="auto" w:line="288" w:before="100" w:after="283"/>
        <w:ind w:left="0" w:right="0" w:firstLine="495"/>
        <w:rPr/>
      </w:pPr>
      <w:r>
        <w:rPr>
          <w:rFonts w:ascii="Times New Roman;sans-serif" w:hAnsi="Times New Roman;sans-serif"/>
          <w:b w:val="false"/>
          <w:i/>
          <w:color w:val="000000"/>
          <w:sz w:val="20"/>
        </w:rPr>
        <w:t>Lease operating expenses.</w:t>
      </w:r>
      <w:r>
        <w:rPr>
          <w:color w:val="000000"/>
        </w:rPr>
        <w:t xml:space="preserve"> </w:t>
      </w:r>
      <w:r>
        <w:rPr>
          <w:rFonts w:ascii="Times New Roman;sans-serif" w:hAnsi="Times New Roman;sans-serif"/>
          <w:b w:val="false"/>
          <w:color w:val="000000"/>
          <w:sz w:val="20"/>
        </w:rPr>
        <w:t xml:space="preserve">Our lease operating expenses increased $4.0 million, or 4%, to $109.0 million for the year ended December 31, 2021, as compared to $105.0 million for the year ended December 31, 2020. This increase in our lease operating expenses for the year ended December 31, 2021 was attributable to an increase in workover expenses of $4.0 million, which resulted from additional well maintenance operations conducted during the year-ended December 31, 2021, as compared to 2020. On a unit-of-production basis, our lease operating expenses decreased 9% to $3.46 per BOE for the year ended December 31, 2021, as compared to $3.81 per BOE for the year ended December 31, 2020, primarily resulting from the 14% increase in total oil equivalent production between the respective periods. </w:t>
      </w:r>
    </w:p>
    <w:p>
      <w:pPr>
        <w:pStyle w:val="TextBody"/>
        <w:spacing w:lineRule="auto" w:line="288" w:before="180" w:after="283"/>
        <w:ind w:left="0" w:right="0" w:firstLine="495"/>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 xml:space="preserve">Our plant and other midstream services operating expenses increased $20.0 million, or 48%, to $61.5 million for the year ended December 31, 2021, as compared to $41.5 million for the year ended December 31, 2020. This increase was primarily attributable to (i) increased expenses associated with our expanded commercial produced water disposal operations of $30.8 million for the year ended December 31, 2021, as compared to $21.8 million for the year ended December 31, 2020, (ii) increased expenses associated with our expanded pipeline operations of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$17.5 million for the year ended December 31, 2021, as compared to $10.0 million for the year ended December 31, 2020, and (iii) increased expenses associated with operating the Black River Processing Plant of $13.1 million for the year ended December 31, 2021, as compared to $9.7 million for the year ended December 31, 2020.</w:t>
      </w:r>
    </w:p>
    <w:p>
      <w:pPr>
        <w:pStyle w:val="TextBody"/>
        <w:spacing w:lineRule="auto" w:line="288" w:before="180" w:after="283"/>
        <w:ind w:left="0" w:right="0" w:firstLine="495"/>
        <w:rPr/>
      </w:pPr>
      <w:r>
        <w:rPr>
          <w:rFonts w:ascii="Times New Roman;sans-serif" w:hAnsi="Times New Roman;sans-serif"/>
          <w:b w:val="false"/>
          <w:i/>
          <w:color w:val="000000"/>
          <w:sz w:val="20"/>
        </w:rPr>
        <w:t>Depletion, depreciation and amortization.</w:t>
      </w:r>
      <w:r>
        <w:rPr>
          <w:color w:val="000000"/>
        </w:rPr>
        <w:t xml:space="preserve"> </w:t>
      </w:r>
      <w:r>
        <w:rPr>
          <w:rFonts w:ascii="Times New Roman;sans-serif" w:hAnsi="Times New Roman;sans-serif"/>
          <w:b w:val="false"/>
          <w:color w:val="000000"/>
          <w:sz w:val="20"/>
        </w:rPr>
        <w:t xml:space="preserve">Our depletion, depreciation and amortization expenses decreased $16.9 million, or 5%, to $344.9 million for the year ended December 31, 2021, as compared to $361.8 million for the year ended December 31, 2020. On a unit-of-production basis, our depletion, depreciation and amortization expenses decreased 17% to $10.97 per BOE for the year ended December 31, 2021, as compared to $13.15 per BOE for the year ended December 31, 2020. These decreases were primarily attributable to the decrease in unamortized property costs resulting from the full-cost ceiling impairments recorded during the year ended December 31, 2020. These decreases were partially offset by (i) the 14% increase in total oil equivalent production to 31.5 million BOE for the year ended December 31, 2021, as compared to 27.5 million BOE for the year ended December 31, 2020, and (ii) increased depreciation expenses attributable to our midstream segment of approximately $31.5 million for the year ended December 31, 2021, as compared to $23.3 million for the year ended December 31, 2020. </w:t>
      </w:r>
    </w:p>
    <w:p>
      <w:pPr>
        <w:pStyle w:val="TextBody"/>
        <w:spacing w:lineRule="auto" w:line="288" w:before="120" w:after="283"/>
        <w:ind w:left="0" w:right="0" w:firstLine="495"/>
        <w:rPr/>
      </w:pPr>
      <w:r>
        <w:rPr>
          <w:rFonts w:ascii="Times New Roman;sans-serif" w:hAnsi="Times New Roman;sans-serif"/>
          <w:b w:val="false"/>
          <w:i/>
          <w:color w:val="000000"/>
          <w:sz w:val="20"/>
        </w:rPr>
        <w:t>Full-cost ceiling impairment.</w:t>
      </w:r>
      <w:r>
        <w:rPr>
          <w:color w:val="000000"/>
        </w:rPr>
        <w:t xml:space="preserve"> </w:t>
      </w:r>
      <w:r>
        <w:rPr>
          <w:rFonts w:ascii="Times New Roman;sans-serif" w:hAnsi="Times New Roman;sans-serif"/>
          <w:b w:val="false"/>
          <w:color w:val="000000"/>
          <w:sz w:val="20"/>
        </w:rPr>
        <w:t>No impairment to the net carrying value of our oil and natural gas properties and no corresponding charge resulting from a full-cost ceiling impairment were recorded for the year ended December 31, 2021. Due to the sharp decline in oil and natural gas prices used to estimate proved oil and natural gas reserves in 2020, at June 30, 2020, September 30, 2020 and December 31, 2020, the net capitalized costs of our oil and natural gas properties less related deferred income taxes exceeded the full-cost ceiling. As a result, we recorded an impairment charge of $684.7 million, exclusive of tax effect, to our net capitalized costs. This full-cost ceiling impairment is reflected in our consolidated statement of operations for the year ended December 31, 2020, with the related deferred income tax credit recorded net of a valuation allowance.</w:t>
      </w:r>
    </w:p>
    <w:p>
      <w:pPr>
        <w:pStyle w:val="TextBody"/>
        <w:spacing w:lineRule="auto" w:line="288" w:before="180" w:after="283"/>
        <w:ind w:left="0" w:right="0" w:firstLine="495"/>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Our general and administrative expenses increased $33.8 million, or 54%, to $96.4 million for the year ended December 31, 2021, as compared to $62.6 million for the year ended December 31, 2020. Our general and administrative expenses on a unit-of-production basis increased 35% to $3.06 per BOE for the year ended December 31, 2021, as compared to $2.27 per BOE for the year ended December 31, 2020. These increases were largely attributable to employee compensation costs, including a $16.1 million increase in stock-based compensation expense primarily associated with our cash-settled stock awards, the values of which are remeasured at each reporting period based upon our share price at the end of each reporting period. The share price of our common stock increased from $12.06 at December 31, 2020 to $36.92 at December 31, 2021. The remainder of the increase for the year ended December 31, 2021, as compared to December 31, 2020, resulted primarily from the reinstatement of employee compensation beginning in March 2021, which had been previously reduced beginning in March 2020 in response to the significantly lower oil and natural gas price environment at that time.</w:t>
      </w:r>
    </w:p>
    <w:p>
      <w:pPr>
        <w:pStyle w:val="TextBody"/>
        <w:spacing w:lineRule="auto" w:line="288" w:before="180" w:after="283"/>
        <w:ind w:left="0" w:right="0" w:firstLine="495"/>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For the year ended December 31, 2021, we incurred total interest expense of approximately $79.5 million. We capitalized approximately $4.8 million of our interest expense on certain qualifying projects for the year ended December 31, 2021 and expensed the remaining $74.7 million to operations. For the year ended December 31, 2020, we incurred total interest expense of approximately $82.2 million. We capitalized $5.5 million of our interest expense on certain qualifying projects for the year ended December 31, 2020 and expensed the remaining $76.7 million to operations.</w:t>
      </w:r>
    </w:p>
    <w:p>
      <w:pPr>
        <w:pStyle w:val="TextBody"/>
        <w:spacing w:lineRule="auto" w:line="288" w:before="180" w:after="283"/>
        <w:ind w:left="0" w:right="0" w:firstLine="495"/>
        <w:rPr/>
      </w:pPr>
      <w:r>
        <w:rPr>
          <w:rFonts w:ascii="Times New Roman;sans-serif" w:hAnsi="Times New Roman;sans-serif"/>
          <w:b w:val="false"/>
          <w:i/>
          <w:color w:val="000000"/>
          <w:sz w:val="20"/>
        </w:rPr>
        <w:t xml:space="preserve">Total income tax provision (benefit). </w:t>
      </w:r>
      <w:r>
        <w:rPr>
          <w:rFonts w:ascii="Times New Roman;sans-serif" w:hAnsi="Times New Roman;sans-serif"/>
          <w:b w:val="false"/>
          <w:color w:val="000000"/>
          <w:sz w:val="20"/>
        </w:rPr>
        <w:t xml:space="preserve">At December 31, 2020, our deferred tax assets exceeded our deferred tax liabilities due to the deferred tax assets generated by impairment charges recorded in 2020. As a result, we established a valuation allowance against most of the deferred tax assets beginning in the third quarter of 2020. Due to a variety of factors, including our significant net income in 2021, our federal valuation allowance was reversed at September 30, 2021 as the deferred tax assets were determined to be more likely than not to be utilized. As a portion of our state net operating loss carryforwards are not expected to be utilized before expiration, a valuation allowance will continue to be recognized until the state deferred tax assets are more likely than not to be utilized. We recorded a total income tax provision of $74.7 million for the year ended December 31, 2021. Our effective tax rate was 11.3% for the year ended December 31, 2021, which differed from amounts computed by applying the U.S. federal statutory tax rates to pre-tax income due primarily to the impact of reversing the valuation allowance, but also due to permanent differences between book and taxable income and state taxes, primarily in New Mexico. We recorded a total income tax benefit of $45.6 million for the year ended December 31, 2020. Our effective tax rate was 7.6% for the year ended December 31, 2020, which differed from amounts computed by applying the U.S. federal statutory tax rates to pre-tax income due primarily to the impact of the valuation allowance, but also due to permanent differences between book and taxable income and state taxes, primarily in New Mexico.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primary use of capital has been, and we expect will continue to be during 2022 and for the foreseeable future, for the acquisition, exploration and development of oil and natural gas properties and for midstream investments. Excluding any possible significant acquisitions, we expect to fund our capital expenditures for 2022 primarily through a combination of cash on hand, operating cash flows and performance incentives paid to us by Five Point in connection with San Mateo. If capital expenditures were to exceed our operating cash flows in 2022, we expect to fund any such excess capital expenditures through borrowings under the Credit Agreement or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cash totaling $48.1 million and restricted cash totaling $38.8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(i) $1.05 billion of outstanding 5.875% senior notes due September 2026 (the “Notes”), (ii) $100.0 million in borrowings outstanding under the Credit Agreement, (iii) approximately $45.8 million in outstanding letters of credit issued pursuant to the Credit Agreement and (iv) $7.5 million outstanding under an unsecured U.S. Small Business Administration (“SBA”) loan. In November 2021, the Company and lenders under our Credit Agreement entered into a Fourth Amended and Restated Credit Agreement, under which the borrowing base was increased to $1.35 billion. We elected to keep the borrowing commitment at $700.0 million, the maximum facility amount remained $1.5 billion and certain modifications were made to the terms of the Credit Agreement. These modifications include extending the maturity date to October 31, 2026, increasing the borrowing rate for a base rate loan or a Eurodollar loan under such facility by 0.50% and updating the key financial covenants under the Credit Agreement to require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total debt outstanding (net of up to $75.0 million of cash or cash equivalents) divided by a rolling four quarter EBITDA calculation, of 3.50 to 1.0 or less. This November 2021 update to the Credit Agreement took the place of the regularly scheduled November 1 redetermination. Borrowings under the Credit Agreement are limited to the lowest of the borrowing base, the maximum facility amount and the elected commitment (subject to compliance with the covenants noted above). We believe that we were in compliance with the terms of the Credit Agreement at December 31, 2021. Between December 31, 2021 and February 28, 2022, we repaid an additional $25.0 million of borrowings outstanding under the Credit Agreement.</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San Mateo had $385.0 million in borrowings outstanding under the San Mateo Credit Facility and approximately $9.0 million in outstanding letters of credit issued pursuant to the San Mateo Credit Facility. The San Mateo Credit Facility matures December 19, 2023 and was amended in June 2021 to increase the lender commitments under that facility from $375 million to $450 million (subject to San Mateo’s compliance with the covenants noted below) and to increase the borrowing rate for a base rate loan or a Eurodollar loan under such facility by 0.50%. The San Mateo Credit Facility contains an accordion feature, which, after the aforementioned amendment, provides for potential increases in lender commitments to up to $700.0 million. The San Mateo Credit Facility is guaranteed by San Mateo’s subsidiaries, secured by substantially all of San Mateo’s assets, including real property, and is non-recourse with respect to Matador and its wholly-owned subsidiaries.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December 31, 2021. Between December 31, 2021 and February 22, 2022, we repaid an additional $30.0 million of borrowings outstanding under the San Mateo Credit Facility.</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val="false"/>
          <w:color w:val="000000"/>
          <w:sz w:val="20"/>
        </w:rPr>
        <w:t>On April 13, 2020, we executed a promissory note evidencing an unsecured loan in the amount of approximately $7.5 million as part of the Paycheck Protection Program. The Paycheck Protection Program was established under the Coronavirus Aid, Relief, and Economic Security Act and is administered by the SBA. The loan was issued through Iberiabank, which is a lender under the Credit Agreement, matures on the second anniversary of the funding date and bears interest at a fixed rate of 1.00% per</w:t>
      </w:r>
      <w:r>
        <w:rPr>
          <w:color w:val="242424"/>
        </w:rPr>
        <w:t xml:space="preserve"> </w:t>
      </w:r>
      <w:r>
        <w:rPr>
          <w:rFonts w:ascii="Times New Roman;sans-serif" w:hAnsi="Times New Roman;sans-serif"/>
          <w:b w:val="false"/>
          <w:color w:val="242424"/>
          <w:sz w:val="20"/>
        </w:rPr>
        <w:t>a</w:t>
      </w:r>
      <w:r>
        <w:rPr>
          <w:rFonts w:ascii="Times New Roman;sans-serif" w:hAnsi="Times New Roman;sans-serif"/>
          <w:b w:val="false"/>
          <w:color w:val="000000"/>
          <w:sz w:val="20"/>
        </w:rPr>
        <w:t>nn</w:t>
      </w:r>
      <w:r>
        <w:rPr>
          <w:rFonts w:ascii="Times New Roman;sans-serif" w:hAnsi="Times New Roman;sans-serif"/>
          <w:b w:val="false"/>
          <w:color w:val="242424"/>
          <w:sz w:val="20"/>
        </w:rPr>
        <w:t xml:space="preserve">um. </w:t>
      </w:r>
      <w:r>
        <w:rPr>
          <w:rFonts w:ascii="Times New Roman;sans-serif" w:hAnsi="Times New Roman;sans-serif"/>
          <w:b w:val="false"/>
          <w:color w:val="000000"/>
          <w:sz w:val="20"/>
        </w:rPr>
        <w:t>We used the proceeds of the loan for payroll, including salaries, payroll taxes and employee medical benefits, as permitted by the program. The receipt of the loan allowed us to avoid further reductions to employee headcount and salaries above those taken in March 2020. The loan is eligible for forgiveness for the portion of the loan proceeds used for payroll costs and other designated operating expenses, provided at least 60% of the loan’s proceeds are used for payroll costs. During 2021, we applied to the SBA for forgiveness of the Paycheck Protection Program loan, as all proceeds were used for payroll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development of our Delaware Basin assets will be the primary focus of our operations and capital expenditures in 2022. In the second half of 2021, we added a fifth contracted drilling rig in the Delaware Basin and plan to operate these five contracted drilling rigs in the Delaware Basin throughout 2022. In addition, at February 22, 2022, we had contracted a sixth operated drilling rig to begin drilling operations immediately on recently acquired acreage in western Lea County, New Mexico in our Ranger asset area. We expect to operate this sixth rig on the newly acquired acreage throughout the remainder of 2022. We have built significant optionality into our drilling program, which should generally allow us to decrease or increase the number of rigs we operate as necessary based on changing commodity prices and other factors. Our 2022 estimated capital expenditure budget consists of $640.0 to $710.0 million for D/C/E capital expenditures and $50.0 to $60.0 million for midstream capital expenditures, which primarily reflects our proportionate share of San Mateo’s estimated 2022 capital expenditures. Substantially all of these 2022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as well as amounts allocated to limited operations in our South Texas and Haynesville shale positions to maintain and extend leases and to participate in certain non-operated well opportunities. Our 2022 Delaware Basin operated drilling program is expected to focus on the continued development of our various asset areas throughout the Delaware Basin, with a continued emphasis on drilling and completing a high percentage of longer horizontal wells in 2022, including 90% with anticipated completed lateral lengths of two miles or greater.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may divest portions of our non-core assets, particularly in the Eagle Ford shale in South Texas and the Haynesville shale in Northwest Louisiana, as well as consider monetizing other assets, such as certain mineral, royalty and midstream interests, as value-creating opportunities arise. In addition, we intend to continue evaluating the opportunistic acquisition of producing properties, acreage and mineral interests, principally in the Delaware Basin, during 2022. These monetizations, divestitures and expenditures are opportunity-specific, and purchase price multiples and per-acre prices can vary significantly based on the asset or prospect. As a result, it is difficult to estimate these 2022 monetizations, divestitures and capital expenditures with any degree of certainty; therefore, we have not provided estimated proceeds related to monetizations or divestitures or estimated capital expenditures related to acquiring producing properties, acreage and mineral interests for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2022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Exploration and development activities are subject to a number of risks and uncertainties, which could cause these activities to be less successful than we anticipate. A significant portion of our anticipated cash flows from operations for 2022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2022 and the hedges we currently have in place. For a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2021. See “Risk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and natural gas are highly speculative and involve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cash flows for the years ended December 31, 2021, 2020 and 2019 are presented below.</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048"/>
        <w:gridCol w:w="1767"/>
        <w:gridCol w:w="1775"/>
        <w:gridCol w:w="109"/>
        <w:gridCol w:w="109"/>
        <w:gridCol w:w="109"/>
        <w:gridCol w:w="211"/>
        <w:gridCol w:w="976"/>
        <w:gridCol w:w="109"/>
        <w:gridCol w:w="109"/>
        <w:gridCol w:w="109"/>
        <w:gridCol w:w="109"/>
        <w:gridCol w:w="211"/>
        <w:gridCol w:w="826"/>
        <w:gridCol w:w="109"/>
        <w:gridCol w:w="109"/>
        <w:gridCol w:w="109"/>
        <w:gridCol w:w="109"/>
        <w:gridCol w:w="211"/>
        <w:gridCol w:w="826"/>
        <w:gridCol w:w="155"/>
      </w:tblGrid>
      <w:tr>
        <w:trPr/>
        <w:tc>
          <w:tcPr>
            <w:tcW w:w="2048"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(903,976)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cash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 attributable to Matador Resources Company shareholders</w:t>
            </w:r>
            <w:r>
              <w:rPr>
                <w:rFonts w:ascii="Times New Roman;sans-serif" w:hAnsi="Times New Roman;sans-serif"/>
                <w:b w:val="false"/>
                <w:color w:val="000000"/>
                <w:sz w:val="13"/>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610,756 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(loss) and net cash provided by operating activities, see “—Non-GAAP Financial Measures” below.</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Operating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by $575.8 million to $1.05 billion for the year ended December 31, 2021, as compared to net cash provided by operating activities of $477.6 million for the year ended December 31, 2020. Excluding changes in operating assets and liabilities, net cash provided by operating activities increased to $1.05 billion for the year ended December 31, 2021 from $500.7 million for the year ended December 31, 2020. This increase was primarily attributable to significantly higher realized oil and natural gas prices for the year ended December 31, 2021, as compared to the year ended December 31, 2020, as well as the 14% increase in total oil equivalent production during 2021, as compared to 2020. Changes in our operating assets and liabilities between December 31, 2020 and December 31, 2021 resulted in a net increase of approximately $22.1 million in net cash provided by operating activities for the year ended December 31, 2021, as compared to the year ended December 31, 2020.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are sensitive to a number of variables, including changes in our production and the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For example, the effects of COVID-19 and the corresponding decline in oil demand significantly impacted the prices we received for our oil production in recent periods, particularly in 2020. These factors are beyond our control and are difficult to predict.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by $46.4 million to $729.3 million for the year ended December 31, 2021 from $775.7 million for the year ended December 31, 2020. This decrease in net cash used in investing activities was primarily attributable to a decrease of $40.0 million in D/C/E capital expenditures as compared to the year ended December 31, 2020, and a decrease of approximately $171.0 million in expenditures for midstream support equipment and facilities, resulting from completing the construction of the further expansion of the Black River Processing Plant and associated infrastructure, additional salt water disposal wells and additional pipeline infrastructure during 2020. These decreases were partially offset by an increase of $165.8 million in expenditures primarily related to our acquisition of oil and natural gas properties in the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Delaware Basin during 2021. Cash used for D/C/E capital expenditures for the year ended December 31, 2021 was primarily attributable to our operated and non-operated drilling and completion activities in the Delaware Basin.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Provided by Financing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$328.6 million for the year ended December 31, 2021, as compared to net cash provided by financing activities of $324.3 million for the year ended December 31, 2020. The net cash used in financing activities for the year ended December 31, 2021 was primarily attributable to (i) net repayments under our Credit Agreement of $340.0 million, (ii) net borrowings under the San Mateo Credit Facility of $51.0 million, (iii) net distributions related to non-controlling interest owners of less-than-wholly-owned subsidiaries of $13.4 million and (iv) dividends paid of $14.6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See Note 7 to the consolidated financial statements in this Annual Report for a summary of our debt, including the Credit Agreement, the San Mateo Credit Facility and the Notes.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Guarantor Financial Information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jointly and severally guaranteed by certain subsidiaries of Matador (the “Guarantor Subsidiaries”) on a full and unconditional basis (except for customary release provisions). At December 31, 2021,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tbl>
      <w:tblPr>
        <w:tblW w:w="4525" w:type="dxa"/>
        <w:jc w:val="left"/>
        <w:tblInd w:w="0" w:type="dxa"/>
        <w:tblCellMar>
          <w:top w:w="28" w:type="dxa"/>
          <w:left w:w="28" w:type="dxa"/>
          <w:bottom w:w="28" w:type="dxa"/>
          <w:right w:w="28" w:type="dxa"/>
        </w:tblCellMar>
      </w:tblPr>
      <w:tblGrid>
        <w:gridCol w:w="878"/>
        <w:gridCol w:w="774"/>
        <w:gridCol w:w="777"/>
        <w:gridCol w:w="109"/>
        <w:gridCol w:w="109"/>
        <w:gridCol w:w="109"/>
        <w:gridCol w:w="278"/>
        <w:gridCol w:w="1288"/>
        <w:gridCol w:w="203"/>
      </w:tblGrid>
      <w:tr>
        <w:trPr/>
        <w:tc>
          <w:tcPr>
            <w:tcW w:w="87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305,712 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3,060,233 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461,013 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1,142,580 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138,010 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381" w:type="dxa"/>
        <w:jc w:val="left"/>
        <w:tblInd w:w="0" w:type="dxa"/>
        <w:tblCellMar>
          <w:top w:w="28" w:type="dxa"/>
          <w:left w:w="28" w:type="dxa"/>
          <w:bottom w:w="28" w:type="dxa"/>
          <w:right w:w="28" w:type="dxa"/>
        </w:tblCellMar>
      </w:tblPr>
      <w:tblGrid>
        <w:gridCol w:w="1188"/>
        <w:gridCol w:w="1046"/>
        <w:gridCol w:w="1051"/>
        <w:gridCol w:w="109"/>
        <w:gridCol w:w="109"/>
        <w:gridCol w:w="109"/>
        <w:gridCol w:w="278"/>
        <w:gridCol w:w="1288"/>
        <w:gridCol w:w="203"/>
      </w:tblGrid>
      <w:tr>
        <w:trPr/>
        <w:tc>
          <w:tcPr>
            <w:tcW w:w="118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873,037 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670,383 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(67,823)</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attributable to Matador shareholders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calculation of Adjusted EBITDA and the reconciliation of Adjusted EBITDA to the GAAP financial measures of net income (loss) and net cash provided by operating activities, respectively.</w:t>
      </w:r>
    </w:p>
    <w:tbl>
      <w:tblPr>
        <w:tblW w:w="10195" w:type="dxa"/>
        <w:jc w:val="left"/>
        <w:tblInd w:w="0" w:type="dxa"/>
        <w:tblCellMar>
          <w:top w:w="28" w:type="dxa"/>
          <w:left w:w="28" w:type="dxa"/>
          <w:bottom w:w="28" w:type="dxa"/>
          <w:right w:w="28" w:type="dxa"/>
        </w:tblCellMar>
      </w:tblPr>
      <w:tblGrid>
        <w:gridCol w:w="1948"/>
        <w:gridCol w:w="1719"/>
        <w:gridCol w:w="1733"/>
        <w:gridCol w:w="109"/>
        <w:gridCol w:w="109"/>
        <w:gridCol w:w="109"/>
        <w:gridCol w:w="196"/>
        <w:gridCol w:w="871"/>
        <w:gridCol w:w="109"/>
        <w:gridCol w:w="109"/>
        <w:gridCol w:w="109"/>
        <w:gridCol w:w="109"/>
        <w:gridCol w:w="196"/>
        <w:gridCol w:w="811"/>
        <w:gridCol w:w="109"/>
        <w:gridCol w:w="109"/>
        <w:gridCol w:w="109"/>
        <w:gridCol w:w="109"/>
        <w:gridCol w:w="196"/>
        <w:gridCol w:w="736"/>
        <w:gridCol w:w="109"/>
        <w:gridCol w:w="109"/>
        <w:gridCol w:w="109"/>
        <w:gridCol w:w="109"/>
        <w:gridCol w:w="154"/>
      </w:tblGrid>
      <w:tr>
        <w:trPr/>
        <w:tc>
          <w:tcPr>
            <w:tcW w:w="1948"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Adjusted EBITDA Reconciliation 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Full-cost ceiling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asset sales and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 related to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120" w:type="dxa"/>
        <w:jc w:val="left"/>
        <w:tblInd w:w="0" w:type="dxa"/>
        <w:tblCellMar>
          <w:top w:w="28" w:type="dxa"/>
          <w:left w:w="28" w:type="dxa"/>
          <w:bottom w:w="28" w:type="dxa"/>
          <w:right w:w="28" w:type="dxa"/>
        </w:tblCellMar>
      </w:tblPr>
      <w:tblGrid>
        <w:gridCol w:w="1948"/>
        <w:gridCol w:w="1719"/>
        <w:gridCol w:w="173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54"/>
      </w:tblGrid>
      <w:tr>
        <w:trPr/>
        <w:tc>
          <w:tcPr>
            <w:tcW w:w="1948"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Adjusted EBITDA Reconciliation to Net Cash Provided by</w:t>
              <w:br/>
              <w:t>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 of non-cash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 related to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Matador Resources Company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we reported net income attributable to Matador shareholders of $585.0 million, as compared to a net loss attributable to Matador shareholders of $593.2 million for the year ended December 31, 2020. This increase primarily resulted from (i) significantly higher realized oil and natural gas prices and higher oil and natural gas production, for the year ended December 31, 2021, as compared to the year ended December 31, 2020, and (ii) no full-cost ceiling impairment recorded for the year ended December 31, 2021, as compared to $684.7 million recorded for the year ended December 31, 2020. These increases were partially offset by a realized loss on derivatives of $220.1 million for the year ended December 31, 2021, as compared to a realized gain on derivatives of $38.9 million for the year ended December 31, 2020, and an income tax provision of $74.7 million for the year ended December 31, 2021, as compared to an income tax benefit of $45.6 million for the year ended December 31, 2020.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$532.7 million to $1.05 billion for the year ended December 31, 2021, as compared to $519.3 million for the year ended December 31, 2020. This increase was primarily attributable to the significantly higher realized oil and natural gas prices and higher oil and natural gas production noted above for the year ended December 31, 2021, as compared to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20" w:after="283"/>
        <w:ind w:left="0" w:right="0" w:firstLine="450"/>
        <w:rPr>
          <w:color w:val="000000"/>
        </w:rPr>
      </w:pPr>
      <w:r>
        <w:rPr>
          <w:color w:val="000000"/>
        </w:rPr>
        <w:t> </w:t>
      </w:r>
      <w:r>
        <w:rPr>
          <w:rFonts w:ascii="Times New Roman;sans-serif" w:hAnsi="Times New Roman;sans-serif"/>
          <w:b w:val="false"/>
          <w:color w:val="000000"/>
          <w:sz w:val="20"/>
        </w:rPr>
        <w:t>From time-to-time, we enter into off-balance sheet arrangements and transactions that can give rise to material off-balance sheet obligations. As of December 31, 2021,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Obligations and Commitments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had the following material contractual obligations and commitments at December 31, 2021.</w:t>
      </w:r>
    </w:p>
    <w:tbl>
      <w:tblPr>
        <w:tblW w:w="10205" w:type="dxa"/>
        <w:jc w:val="left"/>
        <w:tblInd w:w="0" w:type="dxa"/>
        <w:tblCellMar>
          <w:top w:w="28" w:type="dxa"/>
          <w:left w:w="28" w:type="dxa"/>
          <w:bottom w:w="28" w:type="dxa"/>
          <w:right w:w="28" w:type="dxa"/>
        </w:tblCellMar>
      </w:tblPr>
      <w:tblGrid>
        <w:gridCol w:w="1115"/>
        <w:gridCol w:w="848"/>
        <w:gridCol w:w="815"/>
        <w:gridCol w:w="109"/>
        <w:gridCol w:w="109"/>
        <w:gridCol w:w="109"/>
        <w:gridCol w:w="196"/>
        <w:gridCol w:w="871"/>
        <w:gridCol w:w="109"/>
        <w:gridCol w:w="109"/>
        <w:gridCol w:w="109"/>
        <w:gridCol w:w="109"/>
        <w:gridCol w:w="216"/>
        <w:gridCol w:w="813"/>
        <w:gridCol w:w="120"/>
        <w:gridCol w:w="109"/>
        <w:gridCol w:w="109"/>
        <w:gridCol w:w="109"/>
        <w:gridCol w:w="196"/>
        <w:gridCol w:w="736"/>
        <w:gridCol w:w="109"/>
        <w:gridCol w:w="109"/>
        <w:gridCol w:w="109"/>
        <w:gridCol w:w="109"/>
        <w:gridCol w:w="196"/>
        <w:gridCol w:w="871"/>
        <w:gridCol w:w="109"/>
        <w:gridCol w:w="109"/>
        <w:gridCol w:w="109"/>
        <w:gridCol w:w="109"/>
        <w:gridCol w:w="224"/>
        <w:gridCol w:w="845"/>
        <w:gridCol w:w="181"/>
      </w:tblGrid>
      <w:tr>
        <w:trPr/>
        <w:tc>
          <w:tcPr>
            <w:tcW w:w="111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Borrowings, including letters of credit</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Senior unsecured notes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Non-operated drilling and other capital commitments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Drilling rig contracts</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Asset retirement obligations</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Transportation, gathering, processing and disposal agreements with non-affiliates</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70,014 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Transportation, gathering, processing and disposal agreements with San Mateo</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107,466 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contractual cash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130,856 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384,274 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December 31, 2021, we had $100.0 million of borrowings outstanding under the Credit Agreement, approximately $45.8 million in outstanding letters of credit issued pursuant to the Credit Agreement and $7.5 million in borrowings under the SBA loan. The Credit Agreement matures in October 2026. At December 31, 2021 San Mateo had $385.0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1.85% and 2.11%, for the Credit Agreement and the San Mateo Credit Facility, respectively, at December 31, 2021, the interest expense for such facilities is expected to be approximately $1.9 million and $8.2 million each year until maturity.</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$1.05 billion of Notes that were outstanding as of December 31, 2021 is expected to be approximately $61.7 million each year until maturity.</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(3)At December 31, 2021, we had outstanding commitments to drill and complete and to participate in the drilling and completion of various operated and non-operated wells.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(4)We do not own or operate our own drilling rigs, but instead we enter into contracts with third parties for such drilling rigs. See Note 14 to the consolidated financial statements in this Annual Report for more information regarding these contractual commitments.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December 31, 2021.</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14 to the consolidated financial statements in this Annual Report for more information about these contractual commitments.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(7)We dedicated to San Mateo our current and certain future leasehold interests in the Rustler Breaks and Wolf asset areas and acreage in the Greater Stebbins Area and Stateline asset area pursuant to 15-year, fixed-fee oil transportation, oil, natural gas and produced water gathering and produced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14 to the consolidated financial statements in this Annual Report for more information regarding these contractual commitments.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General Outlook and Trends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and results of operations. Commodity prices are affected by changes in market supply and demand, which are impacted by overall economic activity, political instability in Russia, Ukraine, China and the Middle East, the actions of OPEC+, the worldwide spread of COVID-19, weather, pipeline capacity constraints, inventory storage levels, oil and natural gas price differentials and other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the increase in global oil supply resulting from the actions of OPEC+. The sudden decline in oil prices began to improve later in the second quarter of 2020 and generally continued throughout the remainder of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and through February 22, 2022, the oil and natural gas industry experienced continued improvement in commodity prices, as compared to 2020, primarily resulting from (x) improvements in oil demand as the impact from COVID-19 has begun to abate, (y) actions taken by OPEC+ to reduce the worldwide supply of oil through coordinated production cuts and (z) changes in supply and demand dynamics, particularly with respect to natural gas markets generally and, more recently, instability in Russia and Ukraine. While oil and natural gas prices improved significantly in 2021 and early 2022, the general outlook for the oil and natural gas industry for the remainder of 2022 remains unclear, and we can provide no assurances that commodity prices will remain at current levels or increase further. In fact, commodity prices may decline from their current levels, particularly in response to the spread of new variants, if any, of COVID-19, the actions of OPEC+ and other governmental authorities to increase the global oil supply and milder weather conditions, among other factors.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this Annual Report. The economic disruptions associated with COVID-19 and the volatility in oil and natural gas prices have also impacted our ability to access the capital markets on reasonably similar terms as were available prior to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oil prices averaged $68.11 per Bbl, as compared to $39.34 per Bbl in 2020, ranging from a low of $47.62 per Bbl in early January to a high of $84.65 per Bbl in late October, based upon the WTI oil futures contract price for the earliest delivery date. We realized a weighted average oil price of $67.58 per Bbl ($56.70 per Bbl including realized losses from oil derivatives) for our oil production for the year ended December 31, 2021, as compared to $37.38 per Bbl ($39.83 per Bbl including realized gains from oil derivatives) for the year ended December 31, 2020. At February 22, 2022, the WTI oil futures contract price for the earliest delivery date had increased from year-end 2021, closing at $92.35 per Bbl, and was higher compared to $61.49 per Bbl on February 22, 2021. We are uncertain that oil prices will remain at these levels as noted above.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prices also improved significantly during 2021. For the year ended December 31, 2021, natural gas prices averaged $3.71 per MMBtu, as compared to $2.13 per MMBtu in 2020, ranging from a low of $2.45 per MMBtu in late January to a high of $6.31 per MMBtu in early October. As a result of milder-than-expected winter weather, natural gas prices declined over the course of the fourth quarter of 2021, finishing the year at $3.73 per MMBtu. We realized a weighted average natural gas price of $6.06 per Mcf ($5.74 per Mcf including realized losses from natural gas derivatives) for our natural gas production for the year ended December 31, 2021, as compared to $2.14 per Mcf (with no realized gains or losses from natural gas derivatives) for the year ended December 31, 2020. As a two-stream reporter, the revenues associated with our NGL production are included in the weighted average natural gas price. At February 22, 2022, the NYMEX Henry Hub natural gas futures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contract price for the earliest delivery date had increased from year-end 2021, closing at $4.50 per MMBtu, and was higher as compared to $2.95 per MMBtu at February 22, 2021. We are uncertain that natural gas prices will remain at these levels, particularly as we exit the winter heating season.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year ended December 31, 2021, we incurred realized losses on our oil and natural derivative contracts of approximately $220.1 million, primarily as a result of oil and natural prices that were above the ceiling prices of certain of our oil and natural gas costless collar contracts and above the strike price of certain of our oil swap and oil basis swap contracts. At February 22, 2022, almost all of the derivative contracts we had in place that contributed to these realized losses on derivatives in 2021 had expired. At February 22, 2022, given current oil and natural gas prices and the oil and natural gas derivative contracts we have in place, we do not anticipate losses of such magnitude from our derivative contracts in 2022, although there may be periods where we realize losses from derivatives. At December 31, 2021, adjusted for derivative contracts entered into between January 1, 2022 and February 22, 2022, we had derivative contracts in place for approximately 5.1 million Bbl of our anticipated full year 2022 oil production and approximately 54.7 Bcf of our anticipated full year 2022 natural gas production.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2021,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Midland-Cushing (Oklahoma) oil price differential has been highly volatile in recent years but began 2020 slightly positive to the WTI oil price and remained positive through much of the first quarter. With the abrupt decline in oil prices during the first quarter of 2020, however, the Midland-Cushing (Oklahoma) oil price differential experienced significant volatility in April 2020, reaching ($6.00) per Bbl before becoming positive later in the second quarter and improving throughout the rest of 2020 and 2021 and into early 2022. At February 22, 2022, this oil price differential was approximately +$1.00 per Bbl. At February 22, 2022, we had derivative contracts in place to mitigate our exposure to this Midland-Cushing (Oklahoma) oil price differential on a portion of our anticipated full year 2022 oil production.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volumes of our Delaware Basin natural gas production are exposed to the Waha-Henry Hub basis differential, which has also been highly volatile in recent years, including times in April 2019 when natural gas was being sold at the Waha hub for negative prices as high as ($7.00) to ($9.00) per MMBtu. In early 2020, the Waha basis differential remained significant at about ($1.20) per MMBtu and continued to deteriorate. Natural gas prices at the Waha hub were negative again on certain days in April 2020. The Waha basis differential narrowed during the remainder of the second quarter of 2020. During the third quarter of 2020 and, in particular, at the beginning of October 2020, the Waha basis differential widened significantly again, including several days when natural gas was being sold at the Waha hub for negative prices, due to seasonal pipeline maintenance and other factors that reduced capacity out of the Waha hub. These capacity issues have been largely resolved and the Waha basis differential improved during the remainder of 2020 and 2021. In early 2022, concerns about natural gas pipeline takeaway capacity out of the Delaware Basin, particularly beginning in the latter half of 2022, began to increase. As a result, the Waha basis differential began to widen, and, at February 22, 2022, this natural gas price differential was approximately ($0.60) per MMBtu.</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Delaware Basin natural gas production is sold at Houston Ship Channel pricing and is not exposed to Waha pricing. During 2021,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11% of our reported natural gas production for the year ended December 31, 2021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natural gas price differentials have recently at times been positive or close to zero,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in 2022.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February 22, 2022, we had not experienced material pipeline-related interruptions to our oil, natural gas or NGL production. In certain periods over the last few years,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result of the recent increases in oil and natural gas prices, we have begun to experience inflation in the costs of certain oilfield services, including diesel, steel, labor, trucking, personnel and completion costs, among others. Should oil and natural gas prices remain at their current levels or increase further, we expect to be subject to additional service cost inflation in future periods, which may increase our costs to drill, complete, equip and operate wells. We budgeted a 10 to 15% increase in oilfield service costs, as compared to the fourth quarter of 2021, in preparing our full-year D/C/E and midstream capital expenditures for 2022. Should we experience service cost inflation above 10 to 15% during 2022, we may be required to increase our 2022 estimated capital expenditure budget. Further, in early 2022, supply chain disruptions being experienced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should oil and natural gas prices remain at their current levels throughout 2022, we may exhaust our federal or state net operating loss carryforwards and become subject to federal and state income taxes in future periods. At February 22, 2022, given our current projections, we do not expect to pay significant federal income taxes, if any, in 2022, but may pay federal income taxes in 2023. We may pay state income taxes in 2022 and 2023, however, in New Mexico and Texas.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NMED has proposed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January 2021, the Biden administration issued the Biden Administration Federal Lease Orders. In addition, the BLM has indicated that the Lease Sale Litigation and the Social Cost of Carbon Litigation may delay lease sales and the approval of drilling permits. Although some of the restrictions in the Biden Administration Federal Lease Orders have lapsed at December 31, 2021, the impact of federal actions related to the oil and natural gas industry remains unclear, and should other limitations or prohibitions be imposed or continue to be applied, our operations on federal lands could be adversely impacted. Such limitations or prohibitions would almost certainly impact our 2022 and future drilling and completion plans and could materially impact our production volumes, revenues, reserves, cash flows and availability under our Credit Agreement. See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 See “Risk Factors—Risks Related to Laws and Regulations—The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our and San Mateo’s revenues and result in increased costs and additional operating restrictions or delays.”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2021.</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Oil and Natural Gas Properties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costs of oil and natural gas properties are amortized using the unit-of-production method based upon production and estimates of proved reserves quantities. Unproved and unevaluated property costs are excluded from the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Ceiling Test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net capitalized costs of oil and natural gas properties are limited to the lower of unamortized costs less related deferred income taxes or the cost center “ceiling.” The cost center ceiling is defined as the sum of:</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present value, discounted at 10%, of future net revenues of proved oil and natural gas reserves, reduced by the estimated costs of developing these reserves, plus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 unproved and unevaluated property costs not being amortized, plus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 the lower of cost or estimated fair value of unproved and unevaluated properties included in the costs being amortized, if any, less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 any income tax effects related to the properties involved.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Reserves Quantities and Standardized Measure of Future Net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proved oil and natural gas reserves are key inputs used for the calculations of depletion, the ceiling test and the fair value assigned to proved oil and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gas reserves acquired in a business combination are based upon a variety of factors on the date of acquisition. The associated commodity prices and the applicable discount rate used in estimates for depletion and the ceiling test are in accordance with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Prior to settlement, our derivative financial instruments are recorded on the balance sheet as either an asset or a liability measured at fair value. We have elected not to apply hedge accounting for our existing derivative financial instruments, and as a result, we recognize the change in derivative fair value between reporting periods currently as an unrealized gain or loss on derivatives in our consolidated statements of operations. Changes in the fair value of these open derivative financial instruments can have a significant impact on our reported results from period to period but do not impact our cash flows from operations, liquidity or capital resources. The fair value of our open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may grant equity-based and liability-based common stock, stock options, restricted stock, restricted stock units, performance stock units and other awards permitted under any long-term incentive plan then in effect to members of our Board of Directors and certain employees, contractors and advisors. We use the fair value method to measure and recognize the equity associated with our equity-based stock options. Stock options typically vest over three or four years, and the associated compensation expense is recognized on a straight-line basis over the vesting period. Restricted stock and restricted stock units typically vest over a period of one to four years, and compensation expense is recognized on a straight line basis over the vesting period. We use our own historical volatility to estimate the future volatility of our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Black Scholes Merton model to determine the fair value of service-based option awards and the Monte Carlo method to determine the fair value of awards that contain a market condition. The fair value of restricted stock and restricted stock unit awards is recognized based on the closing price of our common stock on the date of the grant for awards issued under the 2012 Incentive Plan and on the trading day prior to the date of grant for awards issued under the 2019 Incentive Plan. See Note 9 to the consolidated financial statements in this Annual Report for further details on our stock-based compensation at December 31, 2021.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pStyle w:val="TextBody"/>
        <w:spacing w:lineRule="auto" w:line="288" w:before="120" w:after="283"/>
        <w:ind w:left="0" w:right="0" w:firstLine="495"/>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In a swap contract, a floating price is exchanged for a fixed price over a specified period, providing downside price protection.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record all derivative financial instruments at fair value. The fair value of our derivative financial instruments is determined using purchase and sale information available for similarly traded securities. At December 31, 2021, The Bank of Nova Scotia, BMO Harris Financing (Bank of Montreal), PNC Bank and Royal Bank of Canada (or affiliates thereof) were the counterparties for all of our derivative instruments. We have considered the credit standing of the counterparties in determining the fair value of our 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entered into various costless collar contracts to mitigate our exposure to fluctuations in oil and natural gas prices, each with an established price floor and ceiling. When the settlement price is below the price floor established by one or more of these collars, we receive from our counterparty an amount equal to the difference between the settlement price and the price floor multiplied by the contract oil or natural gas volume. When the settlement price is above the price ceiling established by one or more of the costless collars, we pay our counterparty an amount equal to the difference between the settlement price and the price ceiling multiplied by the contract oil or natural gas volume.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entered into various swap contracts to mitigate our exposure to oil price differences between NYMEX WTI Cushing and Argus WTI Midland crude oil. When the settlement price is below the fixed price established by one or more of these basis swaps, we receive from the counterparty an amount equal to the difference between the settlement price and the fixed price multiplied by the contract oil volume. When the settlement price is above the fixed price established by one or more of these basis swaps, we pay to the counterparty an amount equal to the difference between the settlement price and the fixed price multiplied by the contract oil volume.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See Note 12 to the consolidated financial statements in this Annual Report for a summary of our open derivative financial instruments at December 31, 2021. Such information is incorporated herein by reference.</w:t>
      </w:r>
    </w:p>
    <w:p>
      <w:pPr>
        <w:pStyle w:val="TextBody"/>
        <w:spacing w:lineRule="auto" w:line="288" w:before="120" w:after="283"/>
        <w:ind w:left="0" w:right="0" w:firstLine="450"/>
        <w:rPr/>
      </w:pPr>
      <w:r>
        <w:rPr>
          <w:rFonts w:ascii="Times New Roman;sans-serif" w:hAnsi="Times New Roman;sans-serif"/>
          <w:b w:val="false"/>
          <w:i/>
          <w:color w:val="000000"/>
          <w:sz w:val="20"/>
        </w:rPr>
        <w:t xml:space="preserve">Effect of Derivatives Legislation. </w:t>
      </w:r>
      <w:r>
        <w:rPr>
          <w:rFonts w:ascii="Times New Roman;sans-serif" w:hAnsi="Times New Roman;sans-serif"/>
          <w:b w:val="false"/>
          <w:color w:val="000000"/>
          <w:sz w:val="20"/>
        </w:rPr>
        <w:t>The Dodd-Frank Act, among other things, established federal oversight and regulation of certain derivative 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Factors—Risks Related to Laws and Regulations—The derivatives legislation adopted by Congress could have an adverse impact on our ability to hedge risks associated with our business.”</w:t>
      </w:r>
    </w:p>
    <w:p>
      <w:pPr>
        <w:pStyle w:val="TextBody"/>
        <w:spacing w:lineRule="auto" w:line="288" w:before="120" w:after="283"/>
        <w:ind w:left="0" w:right="0" w:firstLine="495"/>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We do not and have not used interest rate derivatives to alter interest rate exposure in an attempt to reduce interest rate expense on existing debt. At December 31, 2021, we had outstanding borrowings of $100.0 million at an interest rate of 1.85% per annum under our Credit Agreement, $1.05 billion in Notes outstanding at a coupon rate of 5.875% per annum and $385.0 million of outstanding borrowings under the San Mateo Credit Facility at an interest rate of 2.11% per annum. If we incur additional indebtedness in the future and at higher interest rates, we may use interest rate derivatives. Interest rate derivatives would be used solely to modify interest rate exposure and not to modify the overall leverage of the debt portfolio.</w:t>
      </w:r>
    </w:p>
    <w:p>
      <w:pPr>
        <w:pStyle w:val="TextBody"/>
        <w:spacing w:lineRule="auto" w:line="288" w:before="120" w:after="283"/>
        <w:ind w:left="0" w:right="0" w:firstLine="495"/>
        <w:rPr/>
      </w:pPr>
      <w:r>
        <w:rPr>
          <w:rFonts w:ascii="Times New Roman;sans-serif" w:hAnsi="Times New Roman;sans-serif"/>
          <w:b w:val="false"/>
          <w:i/>
          <w:color w:val="000000"/>
          <w:sz w:val="20"/>
        </w:rPr>
        <w:t>Counterparty and customer credit risk.</w:t>
      </w:r>
      <w:r>
        <w:rPr>
          <w:color w:val="000000"/>
        </w:rPr>
        <w:t xml:space="preserve"> </w:t>
      </w:r>
      <w:r>
        <w:rPr>
          <w:rFonts w:ascii="Times New Roman;sans-serif" w:hAnsi="Times New Roman;sans-serif"/>
          <w:b w:val="false"/>
          <w:color w:val="000000"/>
          <w:sz w:val="20"/>
        </w:rPr>
        <w:t>Joint interest receivables arise from billing entities that own partial interests in the wells we operate. These 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is subject to the credit risk of its customers. The inability or failure of our or San Mateo’s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customer cannot and (ii) undertaking the due diligence necessary to determine credit terms and credit limits. The counterparties on our derivative financial instruments in place at February 22, 2022 were The Bank of Nova Scotia, BMO Harris Financing (Bank of Montreal), PNC Bank, Royal Bank of Canada and Truist Bank (or affiliates thereof), and all but BMO Harris Financing were lenders (or affiliates thereof) under our Credit Agreement, and we are likely to enter into any future derivative instruments with such banks or other lenders (or affiliates thereof) party to the Credit Agreement.</w:t>
      </w:r>
    </w:p>
    <w:p>
      <w:pPr>
        <w:pStyle w:val="TextBody"/>
        <w:spacing w:lineRule="auto" w:line="288" w:before="120" w:after="283"/>
        <w:ind w:left="0" w:right="0" w:firstLine="495"/>
        <w:rPr/>
      </w:pPr>
      <w:r>
        <w:rPr>
          <w:rFonts w:ascii="Times New Roman;sans-serif" w:hAnsi="Times New Roman;sans-serif"/>
          <w:b w:val="false"/>
          <w:i/>
          <w:color w:val="000000"/>
          <w:sz w:val="20"/>
        </w:rPr>
        <w:t>Impact of Inflation</w:t>
      </w:r>
      <w:r>
        <w:rPr>
          <w:rFonts w:ascii="Times New Roman;sans-serif" w:hAnsi="Times New Roman;sans-serif"/>
          <w:b w:val="false"/>
          <w:color w:val="000000"/>
          <w:sz w:val="20"/>
        </w:rPr>
        <w:t>. Inflation in the United States has been relatively low in recent years and did not have a material impact on our results of operations for the years ended December 31, 2021, 2020 and 2019. Although the impact of inflation has been generally insignificant in recent years, it is still a factor in the U.S. economy and has become much more significant in recent months, reaching its highest levels in approximately 40 years. At February 22, 2022, we do not 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We have begun to experience such inflationary pressure in our drilling and completion and midstream operations, and we budgeted a 10 to 15% increase in oil field service costs, as compared to the fourth quarter of 2021, in preparing our full year 2022 D/C/E and midstream capital expenditures estimates. See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appear at the end of this Annual Report beginning on page F-1.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2021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2021, there were no changes in our internal controls that have materially affected or are reasonably likely to have a material effect on our internal control over financial reporting.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Management’s Report on Internal Control over Financial Reporting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KPMG, our independent registered public accounting firm, has issued an attestation report on our controls over financial reporting as of December 31, 2021 as included herein.</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Important Considerations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spacing w:lineRule="auto" w:line="288" w:before="0" w:after="160"/>
        <w:jc w:val="both"/>
        <w:rPr/>
      </w:pPr>
      <w:r>
        <w:rPr>
          <w:rFonts w:ascii="Times New Roman;sans-serif" w:hAnsi="Times New Roman;sans-serif"/>
          <w:b w:val="false"/>
          <w:color w:val="000000"/>
          <w:sz w:val="20"/>
        </w:rPr>
        <w:t>We have audited Matador Resources Company and subsidiaries’ (the Company) internal control over financial reporting as of December 31, 2021,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In our opinion, the Company maintained, in all material respects, effective internal control over financial reporting as of December 31, 2021,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2021 and 2020, the related consolidated statements of operations, changes in shareholders’ equity, and cash flows for each of the years in the three-year period ended December 31, 2021, and the related notes (collectively, the consolidated financial statements), and our report dated February 28, 2022 expressed an unqualified opinion on those consolidated financial statements. </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lineRule="auto" w:line="288" w:before="0" w:after="16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160"/>
        <w:jc w:val="both"/>
        <w:rPr/>
      </w:pPr>
      <w:r>
        <w:rPr/>
      </w:r>
    </w:p>
    <w:p>
      <w:pPr>
        <w:pStyle w:val="TextBody"/>
        <w:spacing w:before="0" w:after="160"/>
        <w:jc w:val="both"/>
        <w:rPr/>
      </w:pPr>
      <w:r>
        <w:rPr/>
      </w:r>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2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10 is incorporated herein by reference to our definitive proxy statement for our 2022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2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in response to this Item 11 is incorporated herein by reference to our Definitive Proxy Statement under the caption “Executive Compensation.”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13 is incorporated herein by reference to our Definitive Proxy Statement under the captions “Transactions with Related Persons” and “Corporate Governance—Independence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14 is incorporated herein by reference to our Definitive Proxy Statement under the caption “Proposal 3—Ratification of Appointment of KPMG LLP.”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Index to Consolidated Financial Statements, Report of Independent Registered Public Accounting Firm, Consolidated Balance Sheets as of December 31, 2021 and 2020, Consolidated Statements of Operations for the Years Ended December 31, 2021, 2020 and 2019, Consolidated Statements of Changes in Shareholders’ Equity for the Years Ended December 31, 2021, 2020 and 2019 and Consolidated Statements of Cash Flows for the Years Ended December 31, 2021, 2020 and 2019.</w:t>
      </w:r>
    </w:p>
    <w:p>
      <w:pPr>
        <w:pStyle w:val="TextBody"/>
        <w:spacing w:lineRule="auto" w:line="288" w:before="120" w:after="283"/>
        <w:ind w:left="0" w:right="0" w:firstLine="495"/>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rFonts w:ascii="Times New Roman;sans-serif" w:hAnsi="Times New Roman;sans-serif"/>
          <w:b w:val="false"/>
          <w:color w:val="000000"/>
          <w:sz w:val="20"/>
        </w:rPr>
        <w:t>: All other schedules for which provision is made in the applicable accounting regulations of the SEC are omitted because the required information is either not applicable, not required or is shown in the respective financial statements or in the notes thereto.</w:t>
      </w:r>
    </w:p>
    <w:p>
      <w:pPr>
        <w:pStyle w:val="TextBody"/>
        <w:spacing w:lineRule="auto" w:line="288" w:before="120" w:after="283"/>
        <w:ind w:left="0" w:right="0" w:firstLine="495"/>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exhibits required to be filed by this Item 15 are set forth in the Exhibit Index included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EXHIBIT INDEX</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989"/>
        <w:gridCol w:w="2890"/>
        <w:gridCol w:w="2919"/>
        <w:gridCol w:w="109"/>
        <w:gridCol w:w="109"/>
        <w:gridCol w:w="156"/>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Subscription and Contribution Agreement, dated as of February 17, 2017, by and among Longwood Midstream Holdings, LLC, FP MMP Holdings LLC and San Mateo Midstream, LLC (incorporated by reference to Exhibit 2.1 to the Current Report on Form 8-K filed on February 24, 2017).*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8"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Form of Common Stock Certificate (incorporated by reference to Exhibit 4.1 to Amendment No. 4 to the Registration Statement on Form S-1 filed on January 19, 2012).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Indenture, dated as of August 21, 2018, by and among Matador Resources Company, the subsidiary guarantors party thereto and Wells Fargo Bank, National Association, as trustee (incorporated by reference to Exhibit 4.1 to the Current Report on Form 8-K filed on August 21,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First Supplemental Indenture, dated as of February 27, 2019, by and among Matador Resources Company, WR Permian, LLC, the subsidiary guarantors party thereto and Wells Fargo Bank, National Association, as trustee (incorporated by reference to Exhibit 4.3 to the Annual Report on Form 10-K for the year ended December 31, 2018).</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Second Supplemental Indenture, dated as of December 14, 2021, by and among Matador Resources Company, the subsidiary guarantors party thereto and Computershare Trust Company, N. A., as agent for Wells Fargo Bank, National Association, as trustee (incorporated by reference to Exhibit 4.1 to the Current Report on Form 8-K filed on December 14, 2021).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Description of Capital Stock (incorporated by reference to Exhibit 4.4 to the Annual Report on Form 10-K for the year ended December 31, 2019).</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Employment Agreement between Matador Resources Company and Joseph Wm. Foran (incorporated by reference to Exhibit 10.3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Employment Agreement between Matador Resources Company and David E. Lancaster (incorporated by reference to Exhibit 10.4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Employment Agreement between Matador Resources Company and Matthew Hairford (incorporated by reference to Exhibit 10.5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First Amendment to the Employment Agreement between Matador Resources Company and Joseph Wm. Foran (incorporated by reference to Exhibit 10.8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First Amendment to the Employment Agreement between Matador Resources Company and David E. Lancaster (incorporated by reference to Exhibit 10.9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First Amendment to the Employment Agreement between Matador Resources Company and Matthew Hairford (incorporated by reference to Exhibit 10.10 to Amendment No. 1 to the Registration Statement on Form S-1 filed on November 14,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Second Amendment to the Employment Agreement between Matador Resources Company and Joseph Wm. Foran (incorporated by reference to Exhibit 10.12 to Amendment No. 2 to the Registration Statement on Form S-1 filed on December 30,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Second Amendment to the Employment Agreement between Matador Resources Company and David E. Lancaster (incorporated by reference to Exhibit 10.13 to Amendment No. 2 to the Registration Statement on Form S-1 filed on December 30, 2011).</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17"/>
        <w:gridCol w:w="192"/>
        <w:gridCol w:w="195"/>
        <w:gridCol w:w="109"/>
        <w:gridCol w:w="109"/>
        <w:gridCol w:w="109"/>
        <w:gridCol w:w="3078"/>
        <w:gridCol w:w="2907"/>
        <w:gridCol w:w="2914"/>
        <w:gridCol w:w="109"/>
        <w:gridCol w:w="109"/>
        <w:gridCol w:w="157"/>
      </w:tblGrid>
      <w:tr>
        <w:trPr/>
        <w:tc>
          <w:tcPr>
            <w:tcW w:w="21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c>
          <w:tcPr>
            <w:tcW w:w="2907"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Second Amendment to the Employment Agreement between Matador Resources Company and Matthew Hairford (incorporated by reference to Exhibit 10.14 to Amendment No. 2 to the Registration Statement on Form S-1 filed on December 30, 2011).</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Form of Employment Agreement between Matador Resources Company and Craig N. Adams (incorporated by reference to Exhibit 10.51 to the Annual Report on Form 10-K for the year ended December 31, 2013).</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Form of Employment Agreement between Matador Resources Company and Van H. Singleton, II, effective February 5, 2015 (incorporated by reference to Exhibit 10.52 to the Annual Report on Form 10-K for the year ended December 31, 2014).</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Form of Employment Agreement between Matador Resources Company and each of Billy E. Goodwin and G. Gregg Krug, effective February 19, 2016 (incorporated by reference to Exhibit 10.1 to the Quarterly Report on Form 10-Q for the quarter ended March 31, 2017).</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First Amendment to the Employment Agreement between Matador Resources Company and Billy E. Goodwin (incorporated by reference to Exhibit 10.1 to the Quarterly Report on Form 10-Q for the quarter ended June 30, 2018).</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160"/>
              <w:jc w:val="left"/>
              <w:rPr/>
            </w:pPr>
            <w:hyperlink r:id="rId26">
              <w:r>
                <w:rPr>
                  <w:rStyle w:val="InternetLink"/>
                  <w:rFonts w:ascii="Times New Roman;sans-serif" w:hAnsi="Times New Roman;sans-serif"/>
                  <w:b w:val="false"/>
                  <w:color w:val="0000FF"/>
                  <w:sz w:val="20"/>
                  <w:u w:val="single"/>
                </w:rPr>
                <w:t>First Amendment to the Employment Agreement between Matador Resources Company and G. Gregg Krug (incorporated by reference to Exhibit 10.4 to the Quarterly Report on Form 10-Q for the quarter ended June 30, 2019).</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Amended and Restated Employment Agreement between Matador Resources Company and Bradley M. Robinson (incorporated by reference to Exhibit 10.2 to the Quarterly Report on Form 10-Q for the quarter ended June 30, 2018).</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First Amendment to the Amended and Restated Employment Agreement between Matador Resources Company and Bradley M. Robinson (incorporated by reference to Exhibit 10.5 to the Quarterly Report on Form 10-Q for the quarter ended June 30, 2019).</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9">
              <w:r>
                <w:rPr>
                  <w:rStyle w:val="InternetLink"/>
                </w:rPr>
                <w:t>Second Amendment to the Amended and Restated Employment Agreement between Matador Resources Company and Bradley M. Robinson (</w:t>
              </w:r>
            </w:hyperlink>
            <w:hyperlink r:id="rId30">
              <w:r>
                <w:rPr>
                  <w:rStyle w:val="InternetLink"/>
                </w:rPr>
                <w:t>incorporated by reference to Exhibit 10.55 to the Annual Report on Form 10-K for the year ended December 31, 2020</w:t>
              </w:r>
            </w:hyperlink>
            <w:hyperlink r:id="rId31">
              <w:r>
                <w:rPr>
                  <w:rStyle w:val="InternetLink"/>
                </w:rPr>
                <w:t>).</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Form of Indemnification Agreement between Matador Resources Company and each of the directors and executive officers thereof (incorporated by reference to Exhibit 10.22 to Amendment No. 1 to the Registration Statement on Form S-1 filed on November 14, 2011).</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Third Amended and Restated Credit Agreement, dated as of September 28, 2012, by and among MRC Energy Company, as Borrower, the Lending Entities from time to time parties thereto, as Lenders, and Royal Bank of Canada, as Administrative Agent (incorporated by reference to Exhibit 10.1 to the Current Report on Form 8-K filed on October 4, 2012).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Second Amended and Restated Pledge and Security Agreement, by and among MRC Energy Company, Longwood Gathering and Disposal Systems GP, Inc. and Royal Bank of Canada, as Administrative Agent, dated as of September 28, 2012 (incorporated by reference to Exhibit 10.49 to the Annual Report on Form 10-K for the year ended December 31, 2012).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Second Amended, Restated and Consolidated Unconditional Guaranty, by and among MRC Permian Company, MRC Rockies Company, Matador Production Company, Longwood Gathering and Disposal Systems GP, Inc., Longwood Gathering and Disposal Systems, LP, Matador Resources Company and Royal Bank of Canada, as Administrative Agent, dated as of September 28, 2012 (incorporated by reference to Exhibit 10.50 to the Annual Report on Form 10-K for the year ended December 31, 2012).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First Amendment to Third Amended and Restated Credit Agreement dated as of March 11, 2013, by and among MRC Energy Company, as Borrower, the Lenders party thereto and Royal Bank of Canada, as Administrative Agent (incorporated by reference to Exhibit 10.51 to the Annual Report on Form 10-K for the year ended December 31, 2012).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Second Amendment to Third Amended and Restated Credit Agreement dated as of June 4, 2013, by and among MRC Energy Company, as Borrower, the Lenders party thereto and Royal Bank of Canada, as Administrative Agent (incorporated by reference to Exhibit 10.1 to the Current Report on Form 8-K filed June 6, 2013).</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Third Amendment to Third Amended and Restated Credit Agreement, dated as of August 7, 2013, by and among MRC Energy Company, as Borrower, the Lenders party thereto and Royal Bank of Canada, as Administrative Agent (incorporated by reference to Exhibit 10.2 to the Quarterly Report on Form 10-Q for the quarter ended June 30, 2013).</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21"/>
        <w:gridCol w:w="194"/>
        <w:gridCol w:w="196"/>
        <w:gridCol w:w="109"/>
        <w:gridCol w:w="109"/>
        <w:gridCol w:w="109"/>
        <w:gridCol w:w="2969"/>
        <w:gridCol w:w="2958"/>
        <w:gridCol w:w="2964"/>
        <w:gridCol w:w="109"/>
        <w:gridCol w:w="109"/>
        <w:gridCol w:w="158"/>
      </w:tblGrid>
      <w:tr>
        <w:trPr/>
        <w:tc>
          <w:tcPr>
            <w:tcW w:w="2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58"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Fourth Amendment to Third Amended and Restated Credit Agreement, dated as of March 12, 2014, by and among MRC Energy Company, as Borrower, the Lenders party thereto and Royal Bank of Canada, as Administrative Agent (incorporated by reference to Exhibit 10.50 to the Annual Report on Form 10-K for the year ended December 31, 2013).</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Fifth Amendment to Third Amended and Restated Credit Agreement, dated as of September 5, 2014, by and among MRC Energy Company, as Borrower, the Lenders party thereto and Royal Bank of Canada, as Administrative Agent (incorporated by reference to Exhibit 10.1 to the Current Report on Form 8-K filed on September 8, 2014).</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Sixth Amendment to Third Amended and Restated Credit Agreement, dated as of April 14, 2015, by and among MRC Energy Company, as Borrower, the Lenders party thereto and Royal Bank of Canada, as Administrative Agent (incorporated by reference to Exhibit 10.2 to the Current Report on Form 8-K filed on April 14, 2015).</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Seventh Amendment to Third Amended and Restated Credit Agreement, dated as of October 16, 2015, by and among MRC Energy Company, as Borrower, the Lenders party thereto and Royal Bank of Canada, as Administrative Agent (incorporated by reference to Exhibit 10.1 to the Current Report on Form 8-K filed on October 21, 2015).</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Eighth Amendment to Third Amended and Restated Credit Agreement, dated as of October 31, 2016, by and among MRC Energy Company, as Borrower, the Lenders party thereto and Royal Bank of Canada, as Administrative Agent (incorporated by reference to Exhibit 10.1 to the Current Report on Form 8-K filed on November 2, 2016).</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FF"/>
                  <w:sz w:val="20"/>
                  <w:u w:val="single"/>
                </w:rPr>
                <w:t>Limited Consent and Ninth Amendment to Third Amended and Restated Credit Agreement, dated as of December 9, 2016, by and among MRC Energy Company, as Borrower, the Lenders party thereto and Royal Bank of Canada, as Administrative Agent (incorporated by reference to Exhibit 10.2 to the Current Report on Form 8-K filed on December 9, 2016).</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FF"/>
                  <w:sz w:val="20"/>
                  <w:u w:val="single"/>
                </w:rPr>
                <w:t>Tenth Amendment to Third Amended and Restated Credit Agreement, dated as of April 28, 2017, by and among MRC Energy Company, as Borrower, the Lenders party thereto and Royal Bank of Canada, as Administrative Agent (incorporated by reference to Exhibit 10.1 to the Current Report on Form 8-K filed on May 4, 2017)</w:t>
              </w:r>
            </w:hyperlink>
            <w:r>
              <w:rPr>
                <w:rFonts w:ascii="Times New Roman;sans-serif" w:hAnsi="Times New Roman;sans-serif"/>
                <w:b w:val="false"/>
                <w:color w:val="000000"/>
                <w:sz w:val="20"/>
              </w:rPr>
              <w:t>.</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Eleventh Amendment to Third Amended and Restated Credit Agreement, dated as of August 7, 2018, by and among MRC Energy Company, as Borrower, the Lenders party thereto and Royal Bank of Canada, as Administrative Agent (incorporated by reference to Exhibit 10.1 to the Current Report on Form 8-K filed on August 9, 2018).</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Pr>
                <w:t xml:space="preserve">Limited Consent and </w:t>
              </w:r>
            </w:hyperlink>
            <w:hyperlink r:id="rId48">
              <w:r>
                <w:rPr>
                  <w:rStyle w:val="InternetLink"/>
                </w:rPr>
                <w:t>Twelfth Amendment to Third Amended and Restated Credit Agreement, dated as of October 1, 2018, by and among MRC Energy Company, as Borrower, the Lenders party thereto and Royal Bank of Canada, as Administrative Agent (incorporated by reference to Exhibit 10.2 to the Current Report on Form 8-K filed on October 4, 2018).</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Thirteenth Amendment to Third Amended and Restated Credit Agreement, dated as of October 31, 2018, by and among MRC Energy Company, as Borrower, the Lenders party thereto and Royal Bank of Canada, as Administrative Agent (incorporated by reference to Exhibit 10.1 to the Current Report on Form 8-K filed on November 1, 2018).</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Fourteenth Amendment to Third Amended and Restated Credit Agreement, dated as of February 27, 2020, by and among MRC Energy Company, as Borrower, the Lenders party thereto and Royal Bank of Canada, as Administrative Agent (incorporated by reference to Exhibit 10.55 to the Annual Report on Form 10-K for the year ended December 31, 2019).</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Fonts w:ascii="Times New Roman;sans-serif" w:hAnsi="Times New Roman;sans-serif"/>
                  <w:b w:val="false"/>
                  <w:color w:val="0000FF"/>
                  <w:sz w:val="20"/>
                  <w:u w:val="single"/>
                </w:rPr>
                <w:t>Fifteenth Amendment to Third Amended and Restated Credit Agreement, dated as of April 23, 2021, by and among MRC Energy Company, as Borrower, the Lenders party thereto and Royal Bank of Canada, as Administrative Agent (incorporated by reference to Exhibit 10.1 to the Current Report on Form 8-K filed on April 29, 2021).</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2">
              <w:r>
                <w:rPr>
                  <w:rStyle w:val="InternetLink"/>
                  <w:rFonts w:ascii="Times New Roman;sans-serif" w:hAnsi="Times New Roman;sans-serif"/>
                  <w:b w:val="false"/>
                  <w:color w:val="0000FF"/>
                  <w:sz w:val="20"/>
                  <w:u w:val="single"/>
                </w:rPr>
                <w:t>Fourth Amended and Restated Credit Agreement, dated as of November 18, 2021, by and among MRC Energy Company, as Borrower, the Lending Entities from time to time parties thereto, as Lenders, and Royal Bank of Canada, as Administrative Agent (incorporated by reference to Exhibit 10.1 to the Current Report on Form 8-K filed on November 18, 2021).</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Times New Roman;sans-serif" w:hAnsi="Times New Roman;sans-serif"/>
                  <w:b w:val="false"/>
                  <w:color w:val="0000FF"/>
                  <w:sz w:val="20"/>
                  <w:u w:val="single"/>
                </w:rPr>
                <w:t>Matador Resources Company Nonqualified Deferred Compensation Plan for Non-Employee Directors (incorporated by reference to Exhibit 10.59 to the Annual Report on Form 10-K for the year ended December 31, 2015).</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Fonts w:ascii="Times New Roman;sans-serif" w:hAnsi="Times New Roman;sans-serif"/>
                  <w:b w:val="false"/>
                  <w:color w:val="0000FF"/>
                  <w:sz w:val="20"/>
                  <w:u w:val="single"/>
                </w:rPr>
                <w:t xml:space="preserve">Matador Resources Company Annual Cash Incentive Plan, effective as of January 1, 2019 (incorporated by reference to Exhibit 10.66 to the Annual Report on Form 10-K for the year ended December 31, 2018). </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5">
              <w:r>
                <w:rPr>
                  <w:rStyle w:val="InternetLink"/>
                  <w:rFonts w:ascii="Times New Roman;sans-serif" w:hAnsi="Times New Roman;sans-serif"/>
                  <w:b w:val="false"/>
                  <w:color w:val="0000FF"/>
                  <w:sz w:val="20"/>
                  <w:u w:val="single"/>
                </w:rPr>
                <w:t>Amended and Restated 2012 Long-Term Incentive Plan (incorporated by reference to Exhibit 10.2 to the Current Report on Form 8-K filed on June 11, 2015).</w:t>
              </w:r>
            </w:hyperlink>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23"/>
        <w:gridCol w:w="196"/>
        <w:gridCol w:w="198"/>
        <w:gridCol w:w="109"/>
        <w:gridCol w:w="109"/>
        <w:gridCol w:w="109"/>
        <w:gridCol w:w="2960"/>
        <w:gridCol w:w="2960"/>
        <w:gridCol w:w="2968"/>
        <w:gridCol w:w="109"/>
        <w:gridCol w:w="109"/>
        <w:gridCol w:w="155"/>
      </w:tblGrid>
      <w:tr>
        <w:trPr/>
        <w:tc>
          <w:tcPr>
            <w:tcW w:w="2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c>
          <w:tcPr>
            <w:tcW w:w="2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6">
              <w:r>
                <w:rPr>
                  <w:rStyle w:val="InternetLink"/>
                  <w:rFonts w:ascii="Times New Roman;sans-serif" w:hAnsi="Times New Roman;sans-serif"/>
                  <w:b w:val="false"/>
                  <w:color w:val="0000FF"/>
                  <w:sz w:val="20"/>
                  <w:u w:val="single"/>
                </w:rPr>
                <w:t>Amendment Number One to the Matador Resources Company Amended and Restated 2012 Long-Term Incentive Plan (incorporated by reference to Exhibit 10.1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7">
              <w:r>
                <w:rPr>
                  <w:rStyle w:val="InternetLink"/>
                  <w:rFonts w:ascii="Times New Roman;sans-serif" w:hAnsi="Times New Roman;sans-serif"/>
                  <w:b w:val="false"/>
                  <w:color w:val="0000FF"/>
                  <w:sz w:val="20"/>
                  <w:u w:val="single"/>
                </w:rPr>
                <w:t>Form of Nonqualified Stock Option Agreement relating to the Matador Resources Company Amended and Restated 2012 Long-Term Incentive Plan for employees without employment agreements (incorporated by reference to Exhibit 10.53 to the Annual Report on Form 10-K for the year ended December 31, 2015).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Form of Restricted Stock Award Agreement relating to the Matador Resources Company Amended and Restated 2012 Long-Term Incentive Plan for employees without employment agreements (incorporated by reference to Exhibit 10.54 to the Annual Report on Form 10-K for the year ended December 31, 2015).</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Fonts w:ascii="Times New Roman;sans-serif" w:hAnsi="Times New Roman;sans-serif"/>
                  <w:b w:val="false"/>
                  <w:color w:val="0000FF"/>
                  <w:sz w:val="20"/>
                  <w:u w:val="single"/>
                </w:rPr>
                <w:t>Form of Restricted Stock Unit Award Agreement for deferred delivery relating to the Matador Resources Company 2012 Long-Term Incentive Plan (incorporated by reference to Exhibit 10.63 to the Annual Report on Form 10-K for the year ended December 31, 2016).</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Fonts w:ascii="Times New Roman;sans-serif" w:hAnsi="Times New Roman;sans-serif"/>
                  <w:b w:val="false"/>
                  <w:color w:val="0000FF"/>
                  <w:sz w:val="20"/>
                  <w:u w:val="single"/>
                </w:rPr>
                <w:t>Form of Restricted Stock Unit Award Agreement for Annual Grants with delayed delivery relating to the Matador Resources Company Amended and Restated 2012 Long-Term Incentive Plan (incorporated by reference to Exhibit 10.4 to the Quarterly Report on Form 10-Q for the quarter ended June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1">
              <w:r>
                <w:rPr>
                  <w:rStyle w:val="InternetLink"/>
                  <w:rFonts w:ascii="Times New Roman;sans-serif" w:hAnsi="Times New Roman;sans-serif"/>
                  <w:b w:val="false"/>
                  <w:color w:val="0000FF"/>
                  <w:sz w:val="20"/>
                  <w:u w:val="single"/>
                </w:rPr>
                <w:t>Form of Restricted Stock Unit Award Agreement for director awards with deferred delivery under the Matador Resources Company Amended and Restated 2012 Long-Term Incentive Plan (incorporated by reference to Exhibit 10.3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Fonts w:ascii="Times New Roman;sans-serif" w:hAnsi="Times New Roman;sans-serif"/>
                  <w:b w:val="false"/>
                  <w:color w:val="0000FF"/>
                  <w:sz w:val="20"/>
                  <w:u w:val="single"/>
                </w:rPr>
                <w:t>Form of Nonqualified Stock Option Agreement for awards under the Matador Resources Company Amended and Restated 2012 Long-Term Incentive Plan for employees without employment agreements (incorporated by reference to Exhibit 10.4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3">
              <w:r>
                <w:rPr>
                  <w:rStyle w:val="InternetLink"/>
                  <w:rFonts w:ascii="Times New Roman;sans-serif" w:hAnsi="Times New Roman;sans-serif"/>
                  <w:b w:val="false"/>
                  <w:color w:val="0000FF"/>
                  <w:sz w:val="20"/>
                  <w:u w:val="single"/>
                </w:rPr>
                <w:t>Form of Nonqualified Stock Option Agreement for awards under the Matador Resources Company Amended and Restated 2012 Long-Term Incentive Plan for employees with employment agreements (incorporated by reference to Exhibit 10.5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4">
              <w:r>
                <w:rPr>
                  <w:rStyle w:val="InternetLink"/>
                  <w:rFonts w:ascii="Times New Roman;sans-serif" w:hAnsi="Times New Roman;sans-serif"/>
                  <w:b w:val="false"/>
                  <w:color w:val="0000FF"/>
                  <w:sz w:val="20"/>
                  <w:u w:val="single"/>
                </w:rPr>
                <w:t>Form of Restricted Stock Award Agreement for awards under the Matador Resources Company Amended and Restated 2012 Long-Term Incentive Plan for employees without employment agreements (incorporated by reference to Exhibit 10.6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5">
              <w:r>
                <w:rPr>
                  <w:rStyle w:val="InternetLink"/>
                  <w:rFonts w:ascii="Times New Roman;sans-serif" w:hAnsi="Times New Roman;sans-serif"/>
                  <w:b w:val="false"/>
                  <w:color w:val="0000FF"/>
                  <w:sz w:val="20"/>
                  <w:u w:val="single"/>
                </w:rPr>
                <w:t>Form of Restricted Stock Award Agreement for awards under the Matador Resources Company Amended and Restated 2012 Long-Term Incentive Plan for employees with employment agreements (incorporated by reference to Exhibit 10.7 to the Quarterly Report on Form 10-Q for the quarter ended September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6">
              <w:r>
                <w:rPr>
                  <w:rStyle w:val="InternetLink"/>
                  <w:rFonts w:ascii="Times New Roman;sans-serif" w:hAnsi="Times New Roman;sans-serif"/>
                  <w:b w:val="false"/>
                  <w:color w:val="0000FF"/>
                  <w:sz w:val="20"/>
                  <w:u w:val="single"/>
                </w:rPr>
                <w:t>Form of Phantom Unit Award Agreement for awards under the Matador Resources Company Amended and Restated 2012 Long-Term Incentive Plan for employees with employment agreements (incorporated by reference to Exhibit 10.67 to the Annual Report on Form 10-K for the year ended December 31,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7">
              <w:r>
                <w:rPr>
                  <w:rStyle w:val="InternetLink"/>
                  <w:rFonts w:ascii="Times New Roman;sans-serif" w:hAnsi="Times New Roman;sans-serif"/>
                  <w:b w:val="false"/>
                  <w:color w:val="0000FF"/>
                  <w:sz w:val="20"/>
                  <w:u w:val="single"/>
                </w:rPr>
                <w:t>Form of Performance Stock Unit Award Agreement for awards under the Matador Resources Company Amended and Restated 2012 Long-Term Incentive Plan for employees with employment agreements (incorporated by reference to Exhibit 10.68 to the Annual Report on Form 10-K for the year ended December 31,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Fonts w:ascii="Times New Roman;sans-serif" w:hAnsi="Times New Roman;sans-serif"/>
                  <w:b w:val="false"/>
                  <w:color w:val="0000FF"/>
                  <w:sz w:val="20"/>
                  <w:u w:val="single"/>
                </w:rPr>
                <w:t>Matador Resources Company 2019 Long-Term Incentive Plan (incorporated by reference to Exhibit 99.1 to the Registration Statement on Form S-8 filed on June 6, 2019).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9">
              <w:r>
                <w:rPr>
                  <w:rStyle w:val="InternetLink"/>
                  <w:rFonts w:ascii="Times New Roman;sans-serif" w:hAnsi="Times New Roman;sans-serif"/>
                  <w:b w:val="false"/>
                  <w:color w:val="0000FF"/>
                  <w:sz w:val="20"/>
                  <w:u w:val="single"/>
                </w:rPr>
                <w:t>Form of Restricted Stock Unit Award Agreement for director awards under the Matador Resources Company 2019 Long-Term Incentive Plan (incorporated by reference to Exhibit 10.2 to the Quarterly Report on Form 10-Q for the quarter ended June 30, 2019).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0">
              <w:r>
                <w:rPr>
                  <w:rStyle w:val="InternetLink"/>
                  <w:rFonts w:ascii="Times New Roman;sans-serif" w:hAnsi="Times New Roman;sans-serif"/>
                  <w:b w:val="false"/>
                  <w:color w:val="0000FF"/>
                  <w:sz w:val="20"/>
                  <w:u w:val="single"/>
                </w:rPr>
                <w:t>Form of Restricted Stock Unit Award Agreement for director awards with deferred delivery under the Matador Resources Company 2019 Long-Term Incentive Plan (incorporated by reference to Exhibit 10.3 to the Quarterly Report on Form 10-Q for the quarter ended June 30, 2019).</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1">
              <w:r>
                <w:rPr>
                  <w:rStyle w:val="InternetLink"/>
                  <w:rFonts w:ascii="Times New Roman;sans-serif" w:hAnsi="Times New Roman;sans-serif"/>
                  <w:b w:val="false"/>
                  <w:color w:val="0000FF"/>
                  <w:sz w:val="20"/>
                  <w:u w:val="single"/>
                </w:rPr>
                <w:t>Form of Phantom Unit Award Agreement for awards under the Matador Resources Company 2019 Long-Term Incentive Plan for employees with employment agreements (incorporated by reference to Exhibit 10.1 to the Quarterly Report on Form 10-Q for the quarter ended March 31, 2020).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2">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 employment agreements (incorporated by reference to Exhibit 10.2 to the Quarterly Report on Form 10-Q for the quarter ended March 31, 2020).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1058.htm">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 employment agreements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1059.htm">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without employment agreements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18"/>
        <w:gridCol w:w="192"/>
        <w:gridCol w:w="194"/>
        <w:gridCol w:w="109"/>
        <w:gridCol w:w="109"/>
        <w:gridCol w:w="109"/>
        <w:gridCol w:w="3102"/>
        <w:gridCol w:w="2895"/>
        <w:gridCol w:w="2902"/>
        <w:gridCol w:w="109"/>
        <w:gridCol w:w="109"/>
        <w:gridCol w:w="157"/>
      </w:tblGrid>
      <w:tr>
        <w:trPr/>
        <w:tc>
          <w:tcPr>
            <w:tcW w:w="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2" w:type="dxa"/>
            <w:tcBorders/>
            <w:shd w:fill="auto" w:val="clear"/>
            <w:vAlign w:val="center"/>
          </w:tcPr>
          <w:p>
            <w:pPr>
              <w:pStyle w:val="TableContents"/>
              <w:spacing w:before="0" w:after="283"/>
              <w:rPr>
                <w:sz w:val="4"/>
                <w:szCs w:val="4"/>
              </w:rPr>
            </w:pPr>
            <w:r>
              <w:rPr>
                <w:sz w:val="4"/>
                <w:szCs w:val="4"/>
              </w:rPr>
            </w:r>
          </w:p>
        </w:tc>
        <w:tc>
          <w:tcPr>
            <w:tcW w:w="2895"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1060.htm">
              <w:r>
                <w:rPr>
                  <w:rStyle w:val="InternetLink"/>
                  <w:rFonts w:ascii="Times New Roman;sans-serif" w:hAnsi="Times New Roman;sans-serif"/>
                  <w:b w:val="false"/>
                  <w:color w:val="0000FF"/>
                  <w:sz w:val="20"/>
                  <w:u w:val="single"/>
                </w:rPr>
                <w:t>Form of Restricted Stock Award Agreement for awards under the Matador Resources Company 2019 Long-Term Incentive Plan with ratable vesting for employees without employment agreements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3">
              <w:r>
                <w:rPr>
                  <w:rStyle w:val="InternetLink"/>
                  <w:rFonts w:ascii="Times New Roman;sans-serif" w:hAnsi="Times New Roman;sans-serif"/>
                  <w:b w:val="false"/>
                  <w:color w:val="0000FF"/>
                  <w:sz w:val="20"/>
                  <w:u w:val="single"/>
                </w:rPr>
                <w:t>Form of Stock Option Cancellation Agreement for certain stock options under the Matador Resources Company Amended and Restated 2012 Long-Term Incentive Plan (incorporated by reference to Exhibit 10.56 to the Annual Report on Form 10-K for the year ended December 31, 2020).</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211.htm">
              <w:r>
                <w:rPr>
                  <w:rStyle w:val="InternetLink"/>
                  <w:rFonts w:ascii="Times New Roman;sans-serif" w:hAnsi="Times New Roman;sans-serif"/>
                  <w:b w:val="false"/>
                  <w:color w:val="0000FF"/>
                  <w:sz w:val="20"/>
                  <w:u w:val="single"/>
                </w:rPr>
                <w:t>List of Subsidiaries of Matador Resources Company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231.htm">
              <w:r>
                <w:rPr>
                  <w:rStyle w:val="InternetLink"/>
                  <w:rFonts w:ascii="Times New Roman;sans-serif" w:hAnsi="Times New Roman;sans-serif"/>
                  <w:b w:val="false"/>
                  <w:color w:val="0000FF"/>
                  <w:sz w:val="20"/>
                  <w:u w:val="single"/>
                </w:rPr>
                <w:t>Consent of KPMG LLP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232.htm">
              <w:r>
                <w:rPr>
                  <w:rStyle w:val="InternetLink"/>
                  <w:rFonts w:ascii="Times New Roman;sans-serif" w:hAnsi="Times New Roman;sans-serif"/>
                  <w:b w:val="false"/>
                  <w:color w:val="0000FF"/>
                  <w:sz w:val="20"/>
                  <w:u w:val="single"/>
                </w:rPr>
                <w:t>Consent of Netherland, Sewell &amp; Associates, Inc.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mtdr10-kex991.htm">
              <w:r>
                <w:rPr>
                  <w:rStyle w:val="InternetLink"/>
                  <w:rFonts w:ascii="Times New Roman;sans-serif" w:hAnsi="Times New Roman;sans-serif"/>
                  <w:b w:val="false"/>
                  <w:color w:val="0000FF"/>
                  <w:sz w:val="20"/>
                  <w:u w:val="single"/>
                </w:rPr>
                <w:t>Audit report of Netherland, Sewell &amp; Associates, Inc. (filed herewith).</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Annual Report on Form 10-K for the year ended December 31, 2021, formatted in Inline XBRL (Inline eXtensible Business Reporting Language): (i) the Consolidated Balance Sheets, (ii) the Consolidated Statements of Operations, (iii) the Consolidated Statements of Changes in Shareholders’ Equity, (iv) the Consolidated Statements of Cash Flows and (v) the Notes to Consolidated Financial Statements (submitted electronically herewith).</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601(b)(2) of Regulation S-K, the Company agrees to furnish supplementally a copy of any omitted exhibit or schedule to the SEC upon request.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to be signed on its behalf by the undersigned, thereunto duly authorized.</w:t>
      </w:r>
    </w:p>
    <w:p>
      <w:pPr>
        <w:pStyle w:val="TextBody"/>
        <w:spacing w:lineRule="auto" w:line="288" w:before="0" w:after="0"/>
        <w:rPr>
          <w:color w:val="000000"/>
        </w:rPr>
      </w:pPr>
      <w:r>
        <w:rPr>
          <w:color w:val="000000"/>
        </w:rPr>
        <w:t> </w:t>
      </w:r>
    </w:p>
    <w:tbl>
      <w:tblPr>
        <w:tblW w:w="7345" w:type="dxa"/>
        <w:jc w:val="left"/>
        <w:tblInd w:w="0" w:type="dxa"/>
        <w:tblCellMar>
          <w:top w:w="28" w:type="dxa"/>
          <w:left w:w="28" w:type="dxa"/>
          <w:bottom w:w="28" w:type="dxa"/>
          <w:right w:w="28" w:type="dxa"/>
        </w:tblCellMar>
      </w:tblPr>
      <w:tblGrid>
        <w:gridCol w:w="580"/>
        <w:gridCol w:w="511"/>
        <w:gridCol w:w="513"/>
        <w:gridCol w:w="109"/>
        <w:gridCol w:w="109"/>
        <w:gridCol w:w="109"/>
        <w:gridCol w:w="360"/>
        <w:gridCol w:w="360"/>
        <w:gridCol w:w="360"/>
        <w:gridCol w:w="360"/>
        <w:gridCol w:w="360"/>
        <w:gridCol w:w="360"/>
        <w:gridCol w:w="946"/>
        <w:gridCol w:w="946"/>
        <w:gridCol w:w="1362"/>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8993" w:type="dxa"/>
        <w:jc w:val="left"/>
        <w:tblInd w:w="0" w:type="dxa"/>
        <w:tblCellMar>
          <w:top w:w="28" w:type="dxa"/>
          <w:left w:w="28" w:type="dxa"/>
          <w:bottom w:w="28" w:type="dxa"/>
          <w:right w:w="28" w:type="dxa"/>
        </w:tblCellMar>
      </w:tblPr>
      <w:tblGrid>
        <w:gridCol w:w="834"/>
        <w:gridCol w:w="737"/>
        <w:gridCol w:w="739"/>
        <w:gridCol w:w="109"/>
        <w:gridCol w:w="109"/>
        <w:gridCol w:w="109"/>
        <w:gridCol w:w="1459"/>
        <w:gridCol w:w="1459"/>
        <w:gridCol w:w="1477"/>
        <w:gridCol w:w="109"/>
        <w:gridCol w:w="109"/>
        <w:gridCol w:w="109"/>
        <w:gridCol w:w="478"/>
        <w:gridCol w:w="478"/>
        <w:gridCol w:w="678"/>
      </w:tblGrid>
      <w:tr>
        <w:trPr/>
        <w:tc>
          <w:tcPr>
            <w:tcW w:w="834"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Chairman and Chief Executive Officer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E. Lancaster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E. Lancaster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T. Macalik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Accounting Officer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T. Macalik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Reynald A. Baribault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Reynald A. Baribault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 Gaines Baty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 Gaines Baty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 Byerley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M. Byerley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Monika U. Ehrman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Monika U. Ehrman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Julia P. Forrester Rogers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Julia P. Forrester Rogers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M. Howard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M. Howard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E.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Parker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L. Stewart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Kenneth L. Stewart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GLOSSARY OF OIL AND NATURAL GAS TERMS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meanings of some of the oil and natural gas industry terms used in this Annual Report.</w:t>
      </w:r>
    </w:p>
    <w:p>
      <w:pPr>
        <w:pStyle w:val="TextBody"/>
        <w:spacing w:lineRule="auto" w:line="288" w:before="120" w:after="283"/>
        <w:ind w:left="0" w:right="0" w:firstLine="495"/>
        <w:rPr/>
      </w:pPr>
      <w:r>
        <w:rPr>
          <w:rFonts w:ascii="Times New Roman;sans-serif" w:hAnsi="Times New Roman;sans-serif"/>
          <w:b/>
          <w:color w:val="000000"/>
          <w:sz w:val="20"/>
        </w:rPr>
        <w:t>Batch drilling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process by which multiple horizontal wells are drilled from a single pad. In batch drilling, the surface holes for each well are drilled first and then the production holes, including the horizontal laterals for each well, are drilled.</w:t>
      </w:r>
    </w:p>
    <w:p>
      <w:pPr>
        <w:pStyle w:val="TextBody"/>
        <w:spacing w:lineRule="auto" w:line="288" w:before="120" w:after="283"/>
        <w:ind w:left="0" w:right="0" w:firstLine="495"/>
        <w:rPr/>
      </w:pPr>
      <w:r>
        <w:rPr>
          <w:rFonts w:ascii="Times New Roman;sans-serif" w:hAnsi="Times New Roman;sans-serif"/>
          <w:b/>
          <w:color w:val="000000"/>
          <w:sz w:val="20"/>
        </w:rPr>
        <w:t>Bbl</w:t>
      </w:r>
      <w:r>
        <w:rPr>
          <w:rFonts w:ascii="Times New Roman;sans-serif" w:hAnsi="Times New Roman;sans-serif"/>
          <w:b w:val="false"/>
          <w:color w:val="000000"/>
          <w:sz w:val="20"/>
        </w:rPr>
        <w:t>. One stock tank barrel, or 42 U.S. gallons liquid volume, used in this Annual Report in reference to crude oil, other liquid hydrocarbons or produced water.</w:t>
      </w:r>
    </w:p>
    <w:p>
      <w:pPr>
        <w:pStyle w:val="TextBody"/>
        <w:spacing w:lineRule="auto" w:line="288" w:before="120" w:after="283"/>
        <w:ind w:left="0" w:right="0" w:firstLine="495"/>
        <w:rPr/>
      </w:pPr>
      <w:r>
        <w:rPr>
          <w:rFonts w:ascii="Times New Roman;sans-serif" w:hAnsi="Times New Roman;sans-serif"/>
          <w:b/>
          <w:color w:val="000000"/>
          <w:sz w:val="20"/>
        </w:rPr>
        <w:t>Bcf</w:t>
      </w:r>
      <w:r>
        <w:rPr>
          <w:rFonts w:ascii="Times New Roman;sans-serif" w:hAnsi="Times New Roman;sans-serif"/>
          <w:b w:val="false"/>
          <w:color w:val="000000"/>
          <w:sz w:val="20"/>
        </w:rPr>
        <w:t>. One billion cubic feet of natural gas.</w:t>
      </w:r>
    </w:p>
    <w:p>
      <w:pPr>
        <w:pStyle w:val="TextBody"/>
        <w:spacing w:lineRule="auto" w:line="288" w:before="120" w:after="283"/>
        <w:ind w:left="0" w:right="0" w:firstLine="495"/>
        <w:rPr/>
      </w:pPr>
      <w:r>
        <w:rPr>
          <w:rFonts w:ascii="Times New Roman;sans-serif" w:hAnsi="Times New Roman;sans-serif"/>
          <w:b/>
          <w:color w:val="000000"/>
          <w:sz w:val="20"/>
        </w:rPr>
        <w:t>Bench</w:t>
      </w:r>
      <w:r>
        <w:rPr>
          <w:rFonts w:ascii="Times New Roman;sans-serif" w:hAnsi="Times New Roman;sans-serif"/>
          <w:b w:val="false"/>
          <w:color w:val="000000"/>
          <w:sz w:val="20"/>
        </w:rPr>
        <w:t>. A geologic zone or formation or a subdivision of a geologic formation.</w:t>
      </w:r>
    </w:p>
    <w:p>
      <w:pPr>
        <w:pStyle w:val="TextBody"/>
        <w:spacing w:lineRule="auto" w:line="288" w:before="120" w:after="283"/>
        <w:ind w:left="0" w:right="0" w:firstLine="495"/>
        <w:rPr/>
      </w:pPr>
      <w:r>
        <w:rPr>
          <w:rFonts w:ascii="Times New Roman;sans-serif" w:hAnsi="Times New Roman;sans-serif"/>
          <w:b/>
          <w:color w:val="000000"/>
          <w:sz w:val="20"/>
        </w:rPr>
        <w:t>BOE</w:t>
      </w:r>
      <w:r>
        <w:rPr>
          <w:rFonts w:ascii="Times New Roman;sans-serif" w:hAnsi="Times New Roman;sans-serif"/>
          <w:b w:val="false"/>
          <w:color w:val="000000"/>
          <w:sz w:val="20"/>
        </w:rPr>
        <w:t>. Barrels of oil equivalent, determined using the ratio of one Bbl of crude oil, condensate or NGLs to six Mcf of natural gas.</w:t>
      </w:r>
    </w:p>
    <w:p>
      <w:pPr>
        <w:pStyle w:val="TextBody"/>
        <w:spacing w:lineRule="auto" w:line="288" w:before="120" w:after="283"/>
        <w:ind w:left="0" w:right="0" w:firstLine="495"/>
        <w:rPr/>
      </w:pPr>
      <w:r>
        <w:rPr>
          <w:rFonts w:ascii="Times New Roman;sans-serif" w:hAnsi="Times New Roman;sans-serif"/>
          <w:b/>
          <w:color w:val="000000"/>
          <w:sz w:val="20"/>
        </w:rPr>
        <w:t>BOE/d</w:t>
      </w:r>
      <w:r>
        <w:rPr>
          <w:rFonts w:ascii="Times New Roman;sans-serif" w:hAnsi="Times New Roman;sans-serif"/>
          <w:b w:val="false"/>
          <w:color w:val="000000"/>
          <w:sz w:val="20"/>
        </w:rPr>
        <w:t>. BOE per day.</w:t>
      </w:r>
    </w:p>
    <w:p>
      <w:pPr>
        <w:pStyle w:val="TextBody"/>
        <w:spacing w:lineRule="auto" w:line="288" w:before="120" w:after="283"/>
        <w:ind w:left="0" w:right="0" w:firstLine="495"/>
        <w:rPr/>
      </w:pPr>
      <w:r>
        <w:rPr>
          <w:rFonts w:ascii="Times New Roman;sans-serif" w:hAnsi="Times New Roman;sans-serif"/>
          <w:b/>
          <w:color w:val="000000"/>
          <w:sz w:val="20"/>
        </w:rPr>
        <w:t>Btu or British thermal unit</w:t>
      </w:r>
      <w:r>
        <w:rPr>
          <w:rFonts w:ascii="Times New Roman;sans-serif" w:hAnsi="Times New Roman;sans-serif"/>
          <w:b w:val="false"/>
          <w:color w:val="000000"/>
          <w:sz w:val="20"/>
        </w:rPr>
        <w:t>. The quantity of heat required to raise the temperature of one pound of water by one degree Fahrenheit.</w:t>
      </w:r>
    </w:p>
    <w:p>
      <w:pPr>
        <w:pStyle w:val="TextBody"/>
        <w:spacing w:lineRule="auto" w:line="288" w:before="120" w:after="283"/>
        <w:ind w:left="0" w:right="0" w:firstLine="495"/>
        <w:rPr/>
      </w:pPr>
      <w:r>
        <w:rPr>
          <w:rFonts w:ascii="Times New Roman;sans-serif" w:hAnsi="Times New Roman;sans-serif"/>
          <w:b/>
          <w:color w:val="000000"/>
          <w:sz w:val="20"/>
        </w:rPr>
        <w:t>Central delivery point or CDP</w:t>
      </w:r>
      <w:r>
        <w:rPr>
          <w:rFonts w:ascii="Times New Roman;sans-serif" w:hAnsi="Times New Roman;sans-serif"/>
          <w:b w:val="false"/>
          <w:color w:val="000000"/>
          <w:sz w:val="20"/>
        </w:rPr>
        <w:t>. The point on an oil, natural gas or produced water system where such product is aggregated from one or more gathering or transportation pipelines, wells, tank batteries or leases. Custody is often transferred to a third party at a central delivery point.</w:t>
      </w:r>
    </w:p>
    <w:p>
      <w:pPr>
        <w:pStyle w:val="TextBody"/>
        <w:spacing w:lineRule="auto" w:line="288" w:before="120" w:after="283"/>
        <w:ind w:left="0" w:right="0" w:firstLine="495"/>
        <w:rPr/>
      </w:pPr>
      <w:r>
        <w:rPr>
          <w:rFonts w:ascii="Times New Roman;sans-serif" w:hAnsi="Times New Roman;sans-serif"/>
          <w:b/>
          <w:color w:val="000000"/>
          <w:sz w:val="20"/>
        </w:rPr>
        <w:t>Completion</w:t>
      </w:r>
      <w:r>
        <w:rPr>
          <w:rFonts w:ascii="Times New Roman;sans-serif" w:hAnsi="Times New Roman;sans-serif"/>
          <w:b w:val="false"/>
          <w:color w:val="000000"/>
          <w:sz w:val="20"/>
        </w:rPr>
        <w:t>. The operations required to establish production of oil or natural gas from a wellbore, usually involving perforations, stimulation and/or installation of permanent equipment in the well, or in the case of a dry hole, the reporting of abandonment to the appropriate agency.</w:t>
      </w:r>
    </w:p>
    <w:p>
      <w:pPr>
        <w:pStyle w:val="TextBody"/>
        <w:spacing w:lineRule="auto" w:line="288" w:before="120" w:after="283"/>
        <w:ind w:left="0" w:right="0" w:firstLine="495"/>
        <w:rPr/>
      </w:pPr>
      <w:r>
        <w:rPr>
          <w:rFonts w:ascii="Times New Roman;sans-serif" w:hAnsi="Times New Roman;sans-serif"/>
          <w:b/>
          <w:color w:val="000000"/>
          <w:sz w:val="20"/>
        </w:rPr>
        <w:t>Condensate</w:t>
      </w:r>
      <w:r>
        <w:rPr>
          <w:rFonts w:ascii="Times New Roman;sans-serif" w:hAnsi="Times New Roman;sans-serif"/>
          <w:b w:val="false"/>
          <w:color w:val="000000"/>
          <w:sz w:val="20"/>
        </w:rPr>
        <w:t>. Liquid hydrocarbons associated with the production of a primarily natural gas reservoir.</w:t>
      </w:r>
    </w:p>
    <w:p>
      <w:pPr>
        <w:pStyle w:val="TextBody"/>
        <w:spacing w:lineRule="auto" w:line="288" w:before="120" w:after="283"/>
        <w:ind w:left="0" w:right="0" w:firstLine="495"/>
        <w:rPr/>
      </w:pPr>
      <w:r>
        <w:rPr>
          <w:rFonts w:ascii="Times New Roman;sans-serif" w:hAnsi="Times New Roman;sans-serif"/>
          <w:b/>
          <w:color w:val="000000"/>
          <w:sz w:val="20"/>
        </w:rPr>
        <w:t>Conventional reservoirs or resources</w:t>
      </w:r>
      <w:r>
        <w:rPr>
          <w:rFonts w:ascii="Times New Roman;sans-serif" w:hAnsi="Times New Roman;sans-serif"/>
          <w:b w:val="false"/>
          <w:color w:val="000000"/>
          <w:sz w:val="20"/>
        </w:rPr>
        <w:t>. Natural gas or oil that is produced by a well drilled into a geologic formation in which the reservoir and fluid characteristics permit the natural gas or oil to readily flow to the wellbore.</w:t>
      </w:r>
    </w:p>
    <w:p>
      <w:pPr>
        <w:pStyle w:val="TextBody"/>
        <w:spacing w:lineRule="auto" w:line="288" w:before="120" w:after="283"/>
        <w:ind w:left="0" w:right="0" w:firstLine="495"/>
        <w:rPr/>
      </w:pPr>
      <w:r>
        <w:rPr>
          <w:rFonts w:ascii="Times New Roman;sans-serif" w:hAnsi="Times New Roman;sans-serif"/>
          <w:b/>
          <w:color w:val="000000"/>
          <w:sz w:val="20"/>
        </w:rPr>
        <w:t>Coring</w:t>
      </w:r>
      <w:r>
        <w:rPr>
          <w:rFonts w:ascii="Times New Roman;sans-serif" w:hAnsi="Times New Roman;sans-serif"/>
          <w:b w:val="false"/>
          <w:color w:val="000000"/>
          <w:sz w:val="20"/>
        </w:rPr>
        <w:t>. The act of taking a core. A core is a solid column of rock, usually from two to four inches in diameter, taken as a sample of an underground 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pStyle w:val="TextBody"/>
        <w:spacing w:lineRule="auto" w:line="288" w:before="120" w:after="283"/>
        <w:ind w:left="0" w:right="0" w:firstLine="495"/>
        <w:rPr/>
      </w:pPr>
      <w:r>
        <w:rPr>
          <w:rFonts w:ascii="Times New Roman;sans-serif" w:hAnsi="Times New Roman;sans-serif"/>
          <w:b/>
          <w:color w:val="000000"/>
          <w:sz w:val="20"/>
        </w:rPr>
        <w:t>Developed acreage</w:t>
      </w:r>
      <w:r>
        <w:rPr>
          <w:rFonts w:ascii="Times New Roman;sans-serif" w:hAnsi="Times New Roman;sans-serif"/>
          <w:b w:val="false"/>
          <w:color w:val="000000"/>
          <w:sz w:val="20"/>
        </w:rPr>
        <w:t>. The number of acres that are allocated or assignable to productive wells.</w:t>
      </w:r>
    </w:p>
    <w:p>
      <w:pPr>
        <w:pStyle w:val="TextBody"/>
        <w:spacing w:lineRule="auto" w:line="288" w:before="120" w:after="283"/>
        <w:ind w:left="0" w:right="0" w:firstLine="495"/>
        <w:rPr/>
      </w:pPr>
      <w:r>
        <w:rPr>
          <w:rFonts w:ascii="Times New Roman;sans-serif" w:hAnsi="Times New Roman;sans-serif"/>
          <w:b/>
          <w:color w:val="000000"/>
          <w:sz w:val="20"/>
        </w:rPr>
        <w:t>Development well</w:t>
      </w:r>
      <w:r>
        <w:rPr>
          <w:rFonts w:ascii="Times New Roman;sans-serif" w:hAnsi="Times New Roman;sans-serif"/>
          <w:b w:val="false"/>
          <w:color w:val="000000"/>
          <w:sz w:val="20"/>
        </w:rPr>
        <w:t>. A well drilled into a proved oil or natural gas reservoir to the depth of a stratigraphic horizon known to be productive.</w:t>
      </w:r>
    </w:p>
    <w:p>
      <w:pPr>
        <w:pStyle w:val="TextBody"/>
        <w:spacing w:lineRule="auto" w:line="288" w:before="120" w:after="283"/>
        <w:ind w:left="0" w:right="0" w:firstLine="495"/>
        <w:rPr/>
      </w:pPr>
      <w:r>
        <w:rPr>
          <w:rFonts w:ascii="Times New Roman;sans-serif" w:hAnsi="Times New Roman;sans-serif"/>
          <w:b/>
          <w:color w:val="000000"/>
          <w:sz w:val="20"/>
        </w:rPr>
        <w:t>Differential</w:t>
      </w:r>
      <w:r>
        <w:rPr>
          <w:rFonts w:ascii="Times New Roman;sans-serif" w:hAnsi="Times New Roman;sans-serif"/>
          <w:b w:val="false"/>
          <w:color w:val="000000"/>
          <w:sz w:val="20"/>
        </w:rPr>
        <w:t>. The difference between a particular oil or natural gas price and the applicable benchmark price, such as the NYMEX West Texas Intermediate oil price or the NYMEX Henry Hub natural gas price.</w:t>
      </w:r>
    </w:p>
    <w:p>
      <w:pPr>
        <w:pStyle w:val="TextBody"/>
        <w:spacing w:lineRule="auto" w:line="288" w:before="120" w:after="283"/>
        <w:ind w:left="0" w:right="0" w:firstLine="495"/>
        <w:rPr/>
      </w:pPr>
      <w:r>
        <w:rPr>
          <w:rFonts w:ascii="Times New Roman;sans-serif" w:hAnsi="Times New Roman;sans-serif"/>
          <w:b/>
          <w:color w:val="000000"/>
          <w:sz w:val="20"/>
        </w:rPr>
        <w:t>Dry hole</w:t>
      </w:r>
      <w:r>
        <w:rPr>
          <w:rFonts w:ascii="Times New Roman;sans-serif" w:hAnsi="Times New Roman;sans-serif"/>
          <w:b w:val="false"/>
          <w:color w:val="000000"/>
          <w:sz w:val="20"/>
        </w:rPr>
        <w:t>. A well found to be incapable of producing hydrocarbons.</w:t>
      </w:r>
    </w:p>
    <w:p>
      <w:pPr>
        <w:pStyle w:val="TextBody"/>
        <w:spacing w:lineRule="auto" w:line="288" w:before="120" w:after="283"/>
        <w:ind w:left="0" w:right="0" w:firstLine="495"/>
        <w:rPr/>
      </w:pPr>
      <w:r>
        <w:rPr>
          <w:rFonts w:ascii="Times New Roman;sans-serif" w:hAnsi="Times New Roman;sans-serif"/>
          <w:b/>
          <w:color w:val="000000"/>
          <w:sz w:val="20"/>
        </w:rPr>
        <w:t>ESP</w:t>
      </w:r>
      <w:r>
        <w:rPr>
          <w:rFonts w:ascii="Times New Roman;sans-serif" w:hAnsi="Times New Roman;sans-serif"/>
          <w:b w:val="false"/>
          <w:color w:val="000000"/>
          <w:sz w:val="20"/>
        </w:rPr>
        <w:t>. Electric submersible pump.</w:t>
      </w:r>
    </w:p>
    <w:p>
      <w:pPr>
        <w:pStyle w:val="TextBody"/>
        <w:spacing w:lineRule="auto" w:line="288" w:before="120" w:after="283"/>
        <w:ind w:left="0" w:right="0" w:firstLine="495"/>
        <w:rPr/>
      </w:pPr>
      <w:r>
        <w:rPr>
          <w:rFonts w:ascii="Times New Roman;sans-serif" w:hAnsi="Times New Roman;sans-serif"/>
          <w:b/>
          <w:color w:val="000000"/>
          <w:sz w:val="20"/>
        </w:rPr>
        <w:t>Exploratory well</w:t>
      </w:r>
      <w:r>
        <w:rPr>
          <w:rFonts w:ascii="Times New Roman;sans-serif" w:hAnsi="Times New Roman;sans-serif"/>
          <w:b w:val="false"/>
          <w:color w:val="000000"/>
          <w:sz w:val="20"/>
        </w:rPr>
        <w:t>. A well drilled to find and produce oil or natural gas reserves not classified as proved, to find a new reservoir in a field previously found to be productive of oil or natural gas in another reservoir or to extend a known reservoir.</w:t>
      </w:r>
    </w:p>
    <w:p>
      <w:pPr>
        <w:pStyle w:val="TextBody"/>
        <w:spacing w:lineRule="auto" w:line="288" w:before="120" w:after="283"/>
        <w:ind w:left="0" w:right="0" w:firstLine="495"/>
        <w:rPr/>
      </w:pPr>
      <w:r>
        <w:rPr>
          <w:rFonts w:ascii="Times New Roman;sans-serif" w:hAnsi="Times New Roman;sans-serif"/>
          <w:b/>
          <w:color w:val="000000"/>
          <w:sz w:val="20"/>
        </w:rPr>
        <w:t>Farmin or farmout</w:t>
      </w:r>
      <w:r>
        <w:rPr>
          <w:rFonts w:ascii="Times New Roman;sans-serif" w:hAnsi="Times New Roman;sans-serif"/>
          <w:b w:val="false"/>
          <w:color w:val="000000"/>
          <w:sz w:val="20"/>
        </w:rPr>
        <w:t>. An agreement under which the owner of a working interest in an oil or natural gas lease assigns the working interest or a portion 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pStyle w:val="TextBody"/>
        <w:spacing w:lineRule="auto" w:line="288" w:before="120" w:after="283"/>
        <w:ind w:left="0" w:right="0" w:firstLine="495"/>
        <w:rPr/>
      </w:pPr>
      <w:r>
        <w:rPr>
          <w:rFonts w:ascii="Times New Roman;sans-serif" w:hAnsi="Times New Roman;sans-serif"/>
          <w:b/>
          <w:color w:val="000000"/>
          <w:sz w:val="20"/>
        </w:rPr>
        <w:t>Field</w:t>
      </w:r>
      <w:r>
        <w:rPr>
          <w:rFonts w:ascii="Times New Roman;sans-serif" w:hAnsi="Times New Roman;sans-serif"/>
          <w:b w:val="false"/>
          <w:color w:val="000000"/>
          <w:sz w:val="20"/>
        </w:rPr>
        <w:t>. An area consisting of a single reservoir or multiple reservoirs all grouped on or related to the same individual geological structural feature and/or stratigraphic condition.</w:t>
      </w:r>
    </w:p>
    <w:p>
      <w:pPr>
        <w:pStyle w:val="TextBody"/>
        <w:spacing w:lineRule="auto" w:line="288" w:before="120" w:after="283"/>
        <w:ind w:left="0" w:right="0" w:firstLine="495"/>
        <w:rPr/>
      </w:pPr>
      <w:r>
        <w:rPr>
          <w:rFonts w:ascii="Times New Roman;sans-serif" w:hAnsi="Times New Roman;sans-serif"/>
          <w:b/>
          <w:color w:val="000000"/>
          <w:sz w:val="20"/>
        </w:rPr>
        <w:t>Gross acres or gross wells</w:t>
      </w:r>
      <w:r>
        <w:rPr>
          <w:rFonts w:ascii="Times New Roman;sans-serif" w:hAnsi="Times New Roman;sans-serif"/>
          <w:b w:val="false"/>
          <w:color w:val="000000"/>
          <w:sz w:val="20"/>
        </w:rPr>
        <w:t>. The total acres or wells in which a working interest is owned.</w:t>
      </w:r>
    </w:p>
    <w:p>
      <w:pPr>
        <w:pStyle w:val="TextBody"/>
        <w:spacing w:lineRule="auto" w:line="288" w:before="120" w:after="283"/>
        <w:ind w:left="0" w:right="0" w:firstLine="495"/>
        <w:rPr/>
      </w:pPr>
      <w:r>
        <w:rPr>
          <w:rFonts w:ascii="Times New Roman;sans-serif" w:hAnsi="Times New Roman;sans-serif"/>
          <w:b/>
          <w:color w:val="000000"/>
          <w:sz w:val="20"/>
        </w:rPr>
        <w:t>Held by production</w:t>
      </w:r>
      <w:r>
        <w:rPr>
          <w:rFonts w:ascii="Times New Roman;sans-serif" w:hAnsi="Times New Roman;sans-serif"/>
          <w:b w:val="false"/>
          <w:color w:val="000000"/>
          <w:sz w:val="20"/>
        </w:rPr>
        <w:t>. An oil and natural gas property under lease in which the lease continues to be in force after the primary term of the lease in accordance with its terms as a result of production from the property.</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10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color w:val="000000"/>
          <w:sz w:val="20"/>
        </w:rPr>
        <w:t>Horizontal drilling or well</w:t>
      </w:r>
      <w:r>
        <w:rPr>
          <w:rFonts w:ascii="Times New Roman;sans-serif" w:hAnsi="Times New Roman;sans-serif"/>
          <w:b w:val="false"/>
          <w:color w:val="000000"/>
          <w:sz w:val="20"/>
        </w:rPr>
        <w:t>. A drilling operation in which a portion of the well is drilled horizontally within a productive or potentially productive 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pStyle w:val="TextBody"/>
        <w:spacing w:lineRule="auto" w:line="288" w:before="120" w:after="283"/>
        <w:ind w:left="0" w:right="0" w:firstLine="495"/>
        <w:rPr/>
      </w:pPr>
      <w:r>
        <w:rPr>
          <w:rFonts w:ascii="Times New Roman;sans-serif" w:hAnsi="Times New Roman;sans-serif"/>
          <w:b/>
          <w:color w:val="000000"/>
          <w:sz w:val="20"/>
        </w:rPr>
        <w:t>Hydraulic fracturing</w:t>
      </w:r>
      <w:r>
        <w:rPr>
          <w:rFonts w:ascii="Times New Roman;sans-serif" w:hAnsi="Times New Roman;sans-serif"/>
          <w:b w:val="false"/>
          <w:color w:val="000000"/>
          <w:sz w:val="20"/>
        </w:rPr>
        <w:t>. The technique of improving a well’s production or injection rates by pumping a mixture of fluids into the formation and 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pStyle w:val="TextBody"/>
        <w:spacing w:lineRule="auto" w:line="288" w:before="120" w:after="283"/>
        <w:ind w:left="0" w:right="0" w:firstLine="495"/>
        <w:rPr/>
      </w:pPr>
      <w:r>
        <w:rPr>
          <w:rFonts w:ascii="Times New Roman;sans-serif" w:hAnsi="Times New Roman;sans-serif"/>
          <w:b/>
          <w:color w:val="000000"/>
          <w:sz w:val="20"/>
        </w:rPr>
        <w:t>Lateral length</w:t>
      </w:r>
      <w:r>
        <w:rPr>
          <w:rFonts w:ascii="Times New Roman;sans-serif" w:hAnsi="Times New Roman;sans-serif"/>
          <w:b w:val="false"/>
          <w:color w:val="000000"/>
          <w:sz w:val="20"/>
        </w:rPr>
        <w:t>. Length of the drilled or completed portion of a horizontal well.</w:t>
      </w:r>
    </w:p>
    <w:p>
      <w:pPr>
        <w:pStyle w:val="TextBody"/>
        <w:spacing w:lineRule="auto" w:line="288" w:before="120" w:after="283"/>
        <w:ind w:left="0" w:right="0" w:firstLine="495"/>
        <w:rPr/>
      </w:pPr>
      <w:r>
        <w:rPr>
          <w:rFonts w:ascii="Times New Roman;sans-serif" w:hAnsi="Times New Roman;sans-serif"/>
          <w:b/>
          <w:color w:val="000000"/>
          <w:sz w:val="20"/>
        </w:rPr>
        <w:t>Liquids</w:t>
      </w:r>
      <w:r>
        <w:rPr>
          <w:rFonts w:ascii="Times New Roman;sans-serif" w:hAnsi="Times New Roman;sans-serif"/>
          <w:b w:val="false"/>
          <w:color w:val="000000"/>
          <w:sz w:val="20"/>
        </w:rPr>
        <w:t>. Liquids, or natural gas liquids, are marketable liquid products including ethane, propane, butane, pentane and natural gasoline resulting from the further processing of liquefiable hydrocarbons separated from raw natural gas by a natural gas processing facility.</w:t>
      </w:r>
    </w:p>
    <w:p>
      <w:pPr>
        <w:pStyle w:val="TextBody"/>
        <w:spacing w:lineRule="auto" w:line="288" w:before="120" w:after="283"/>
        <w:ind w:left="0" w:right="0" w:firstLine="495"/>
        <w:rPr/>
      </w:pPr>
      <w:r>
        <w:rPr>
          <w:rFonts w:ascii="Times New Roman;sans-serif" w:hAnsi="Times New Roman;sans-serif"/>
          <w:b/>
          <w:color w:val="000000"/>
          <w:sz w:val="20"/>
        </w:rPr>
        <w:t>MBbl</w:t>
      </w:r>
      <w:r>
        <w:rPr>
          <w:rFonts w:ascii="Times New Roman;sans-serif" w:hAnsi="Times New Roman;sans-serif"/>
          <w:b w:val="false"/>
          <w:color w:val="000000"/>
          <w:sz w:val="20"/>
        </w:rPr>
        <w:t>. One thousand barrels of crude oil, other liquid hydrocarbons or produced water.</w:t>
      </w:r>
    </w:p>
    <w:p>
      <w:pPr>
        <w:pStyle w:val="TextBody"/>
        <w:spacing w:lineRule="auto" w:line="288" w:before="120" w:after="283"/>
        <w:ind w:left="0" w:right="0" w:firstLine="495"/>
        <w:rPr/>
      </w:pPr>
      <w:r>
        <w:rPr>
          <w:rFonts w:ascii="Times New Roman;sans-serif" w:hAnsi="Times New Roman;sans-serif"/>
          <w:b/>
          <w:color w:val="000000"/>
          <w:sz w:val="20"/>
        </w:rPr>
        <w:t>MBOE</w:t>
      </w:r>
      <w:r>
        <w:rPr>
          <w:rFonts w:ascii="Times New Roman;sans-serif" w:hAnsi="Times New Roman;sans-serif"/>
          <w:b w:val="false"/>
          <w:color w:val="000000"/>
          <w:sz w:val="20"/>
        </w:rPr>
        <w:t>. One thousand BOE.</w:t>
      </w:r>
    </w:p>
    <w:p>
      <w:pPr>
        <w:pStyle w:val="TextBody"/>
        <w:spacing w:lineRule="auto" w:line="288" w:before="120" w:after="283"/>
        <w:ind w:left="0" w:right="0" w:firstLine="495"/>
        <w:rPr/>
      </w:pPr>
      <w:r>
        <w:rPr>
          <w:rFonts w:ascii="Times New Roman;sans-serif" w:hAnsi="Times New Roman;sans-serif"/>
          <w:b/>
          <w:color w:val="000000"/>
          <w:sz w:val="20"/>
        </w:rPr>
        <w:t>Mcf</w:t>
      </w:r>
      <w:r>
        <w:rPr>
          <w:rFonts w:ascii="Times New Roman;sans-serif" w:hAnsi="Times New Roman;sans-serif"/>
          <w:b w:val="false"/>
          <w:color w:val="000000"/>
          <w:sz w:val="20"/>
        </w:rPr>
        <w:t>. One thousand cubic feet of natural gas.</w:t>
      </w:r>
    </w:p>
    <w:p>
      <w:pPr>
        <w:pStyle w:val="TextBody"/>
        <w:spacing w:lineRule="auto" w:line="288" w:before="120" w:after="283"/>
        <w:ind w:left="0" w:right="0" w:firstLine="495"/>
        <w:rPr/>
      </w:pPr>
      <w:r>
        <w:rPr>
          <w:rFonts w:ascii="Times New Roman;sans-serif" w:hAnsi="Times New Roman;sans-serif"/>
          <w:b/>
          <w:color w:val="000000"/>
          <w:sz w:val="20"/>
        </w:rPr>
        <w:t>MMBtu</w:t>
      </w:r>
      <w:r>
        <w:rPr>
          <w:rFonts w:ascii="Times New Roman;sans-serif" w:hAnsi="Times New Roman;sans-serif"/>
          <w:b w:val="false"/>
          <w:color w:val="000000"/>
          <w:sz w:val="20"/>
        </w:rPr>
        <w:t>. One million British thermal units.</w:t>
      </w:r>
    </w:p>
    <w:p>
      <w:pPr>
        <w:pStyle w:val="TextBody"/>
        <w:spacing w:lineRule="auto" w:line="288" w:before="120" w:after="283"/>
        <w:ind w:left="0" w:right="0" w:firstLine="495"/>
        <w:rPr/>
      </w:pPr>
      <w:r>
        <w:rPr>
          <w:rFonts w:ascii="Times New Roman;sans-serif" w:hAnsi="Times New Roman;sans-serif"/>
          <w:b/>
          <w:color w:val="000000"/>
          <w:sz w:val="20"/>
        </w:rPr>
        <w:t>MMcf</w:t>
      </w:r>
      <w:r>
        <w:rPr>
          <w:rFonts w:ascii="Times New Roman;sans-serif" w:hAnsi="Times New Roman;sans-serif"/>
          <w:b w:val="false"/>
          <w:color w:val="000000"/>
          <w:sz w:val="20"/>
        </w:rPr>
        <w:t>. One million cubic feet of natural gas.</w:t>
      </w:r>
    </w:p>
    <w:p>
      <w:pPr>
        <w:pStyle w:val="TextBody"/>
        <w:spacing w:lineRule="auto" w:line="288" w:before="120" w:after="283"/>
        <w:ind w:left="0" w:right="0" w:firstLine="495"/>
        <w:rPr/>
      </w:pPr>
      <w:r>
        <w:rPr>
          <w:rFonts w:ascii="Times New Roman;sans-serif" w:hAnsi="Times New Roman;sans-serif"/>
          <w:b/>
          <w:color w:val="000000"/>
          <w:sz w:val="20"/>
        </w:rPr>
        <w:t>NGL</w:t>
      </w:r>
      <w:r>
        <w:rPr>
          <w:rFonts w:ascii="Times New Roman;sans-serif" w:hAnsi="Times New Roman;sans-serif"/>
          <w:b w:val="false"/>
          <w:color w:val="000000"/>
          <w:sz w:val="20"/>
        </w:rPr>
        <w:t>. Natural gas liquids.</w:t>
      </w:r>
    </w:p>
    <w:p>
      <w:pPr>
        <w:pStyle w:val="TextBody"/>
        <w:spacing w:lineRule="auto" w:line="288" w:before="120" w:after="283"/>
        <w:ind w:left="0" w:right="0" w:firstLine="495"/>
        <w:rPr/>
      </w:pPr>
      <w:r>
        <w:rPr>
          <w:rFonts w:ascii="Times New Roman;sans-serif" w:hAnsi="Times New Roman;sans-serif"/>
          <w:b/>
          <w:color w:val="000000"/>
          <w:sz w:val="20"/>
        </w:rPr>
        <w:t>Net acres or net wells</w:t>
      </w:r>
      <w:r>
        <w:rPr>
          <w:rFonts w:ascii="Times New Roman;sans-serif" w:hAnsi="Times New Roman;sans-serif"/>
          <w:b w:val="false"/>
          <w:color w:val="000000"/>
          <w:sz w:val="20"/>
        </w:rPr>
        <w:t>. The sum of the fractional working interest owned in gross acres or wells.</w:t>
      </w:r>
    </w:p>
    <w:p>
      <w:pPr>
        <w:pStyle w:val="TextBody"/>
        <w:spacing w:lineRule="auto" w:line="288" w:before="120" w:after="283"/>
        <w:ind w:left="0" w:right="0" w:firstLine="495"/>
        <w:rPr/>
      </w:pPr>
      <w:r>
        <w:rPr>
          <w:rFonts w:ascii="Times New Roman;sans-serif" w:hAnsi="Times New Roman;sans-serif"/>
          <w:b/>
          <w:color w:val="000000"/>
          <w:sz w:val="20"/>
        </w:rPr>
        <w:t>Net revenue interest</w:t>
      </w:r>
      <w:r>
        <w:rPr>
          <w:rFonts w:ascii="Times New Roman;sans-serif" w:hAnsi="Times New Roman;sans-serif"/>
          <w:b w:val="false"/>
          <w:color w:val="000000"/>
          <w:sz w:val="20"/>
        </w:rPr>
        <w:t>. The interest that defines the percentage of revenue that an owner of a well receives from the sale of oil, natural gas and/or natural gas liquids that are produced from the well.</w:t>
      </w:r>
    </w:p>
    <w:p>
      <w:pPr>
        <w:pStyle w:val="TextBody"/>
        <w:spacing w:lineRule="auto" w:line="288" w:before="120" w:after="283"/>
        <w:ind w:left="0" w:right="0" w:firstLine="495"/>
        <w:rPr/>
      </w:pPr>
      <w:r>
        <w:rPr>
          <w:rFonts w:ascii="Times New Roman;sans-serif" w:hAnsi="Times New Roman;sans-serif"/>
          <w:b/>
          <w:color w:val="000000"/>
          <w:sz w:val="20"/>
        </w:rPr>
        <w:t>NYMEX</w:t>
      </w:r>
      <w:r>
        <w:rPr>
          <w:rFonts w:ascii="Times New Roman;sans-serif" w:hAnsi="Times New Roman;sans-serif"/>
          <w:b w:val="false"/>
          <w:color w:val="000000"/>
          <w:sz w:val="20"/>
        </w:rPr>
        <w:t>. New York Mercantile Exchange.</w:t>
      </w:r>
    </w:p>
    <w:p>
      <w:pPr>
        <w:pStyle w:val="TextBody"/>
        <w:spacing w:lineRule="auto" w:line="288" w:before="120" w:after="283"/>
        <w:ind w:left="0" w:right="0" w:firstLine="495"/>
        <w:rPr/>
      </w:pPr>
      <w:r>
        <w:rPr>
          <w:rFonts w:ascii="Times New Roman;sans-serif" w:hAnsi="Times New Roman;sans-serif"/>
          <w:b/>
          <w:color w:val="000000"/>
          <w:sz w:val="20"/>
        </w:rPr>
        <w:t>Organization of Petroleum Exporting Countries or OPEC</w:t>
      </w:r>
      <w:r>
        <w:rPr>
          <w:rFonts w:ascii="Times New Roman;sans-serif" w:hAnsi="Times New Roman;sans-serif"/>
          <w:b w:val="false"/>
          <w:color w:val="000000"/>
          <w:sz w:val="20"/>
        </w:rPr>
        <w:t>. An intergovernmental group of 13 of the world’s major oil-exporting countries, which was founded in 1960 to coordinate the petroleum policies of its members and to provide member countries with technical and economic aid.</w:t>
      </w:r>
    </w:p>
    <w:p>
      <w:pPr>
        <w:pStyle w:val="TextBody"/>
        <w:spacing w:lineRule="auto" w:line="288" w:before="120" w:after="283"/>
        <w:ind w:left="0" w:right="0" w:firstLine="495"/>
        <w:rPr/>
      </w:pPr>
      <w:r>
        <w:rPr>
          <w:rFonts w:ascii="Times New Roman;sans-serif" w:hAnsi="Times New Roman;sans-serif"/>
          <w:b/>
          <w:color w:val="000000"/>
          <w:sz w:val="20"/>
        </w:rPr>
        <w:t>OPEC+</w:t>
      </w:r>
      <w:r>
        <w:rPr>
          <w:rFonts w:ascii="Times New Roman;sans-serif" w:hAnsi="Times New Roman;sans-serif"/>
          <w:b w:val="false"/>
          <w:color w:val="000000"/>
          <w:sz w:val="20"/>
        </w:rPr>
        <w:t>. A loose affiliation of the member countries of OPEC and 10 of the world’s other major oil-exporting countries, including Russia.</w:t>
      </w:r>
    </w:p>
    <w:p>
      <w:pPr>
        <w:pStyle w:val="TextBody"/>
        <w:spacing w:lineRule="auto" w:line="288" w:before="120" w:after="283"/>
        <w:ind w:left="0" w:right="0" w:firstLine="495"/>
        <w:rPr/>
      </w:pPr>
      <w:r>
        <w:rPr>
          <w:rFonts w:ascii="Times New Roman;sans-serif" w:hAnsi="Times New Roman;sans-serif"/>
          <w:b/>
          <w:color w:val="000000"/>
          <w:sz w:val="20"/>
        </w:rPr>
        <w:t>Overriding royalty interest</w:t>
      </w:r>
      <w:r>
        <w:rPr>
          <w:rFonts w:ascii="Times New Roman;sans-serif" w:hAnsi="Times New Roman;sans-serif"/>
          <w:b w:val="false"/>
          <w:color w:val="000000"/>
          <w:sz w:val="20"/>
        </w:rPr>
        <w:t>. A fractional interest in the gross production of oil and natural gas under a lease, in addition to the usual royalties paid 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pStyle w:val="TextBody"/>
        <w:spacing w:lineRule="auto" w:line="288" w:before="120" w:after="283"/>
        <w:ind w:left="0" w:right="0" w:firstLine="495"/>
        <w:rPr/>
      </w:pPr>
      <w:r>
        <w:rPr>
          <w:rFonts w:ascii="Times New Roman;sans-serif" w:hAnsi="Times New Roman;sans-serif"/>
          <w:b/>
          <w:color w:val="000000"/>
          <w:sz w:val="20"/>
        </w:rPr>
        <w:t>Pad</w:t>
      </w:r>
      <w:r>
        <w:rPr>
          <w:rFonts w:ascii="Times New Roman;sans-serif" w:hAnsi="Times New Roman;sans-serif"/>
          <w:b w:val="false"/>
          <w:color w:val="000000"/>
          <w:sz w:val="20"/>
        </w:rPr>
        <w:t>. The surface constructed to accommodate the drilling, completion and production operations of an oil or natural gas well.</w:t>
      </w:r>
    </w:p>
    <w:p>
      <w:pPr>
        <w:pStyle w:val="TextBody"/>
        <w:spacing w:lineRule="auto" w:line="288" w:before="120" w:after="283"/>
        <w:ind w:left="0" w:right="0" w:firstLine="495"/>
        <w:rPr/>
      </w:pPr>
      <w:r>
        <w:rPr>
          <w:rFonts w:ascii="Times New Roman;sans-serif" w:hAnsi="Times New Roman;sans-serif"/>
          <w:b/>
          <w:color w:val="000000"/>
          <w:sz w:val="20"/>
        </w:rPr>
        <w:t>Pad drilling</w:t>
      </w:r>
      <w:r>
        <w:rPr>
          <w:rFonts w:ascii="Times New Roman;sans-serif" w:hAnsi="Times New Roman;sans-serif"/>
          <w:b w:val="false"/>
          <w:color w:val="000000"/>
          <w:sz w:val="20"/>
        </w:rPr>
        <w:t>. The process by which multiple horizontal wells are drilled from a single pad. In pad drilling, each well on the pad is drilled to total depth before the next well is initiated.</w:t>
      </w:r>
    </w:p>
    <w:p>
      <w:pPr>
        <w:pStyle w:val="TextBody"/>
        <w:spacing w:lineRule="auto" w:line="288" w:before="120" w:after="283"/>
        <w:ind w:left="0" w:right="0" w:firstLine="495"/>
        <w:rPr/>
      </w:pPr>
      <w:r>
        <w:rPr>
          <w:rFonts w:ascii="Times New Roman;sans-serif" w:hAnsi="Times New Roman;sans-serif"/>
          <w:b/>
          <w:color w:val="000000"/>
          <w:sz w:val="20"/>
        </w:rPr>
        <w:t>Permeability</w:t>
      </w:r>
      <w:r>
        <w:rPr>
          <w:rFonts w:ascii="Times New Roman;sans-serif" w:hAnsi="Times New Roman;sans-serif"/>
          <w:b w:val="false"/>
          <w:color w:val="000000"/>
          <w:sz w:val="20"/>
        </w:rPr>
        <w:t>. A reference to the ability of oil and/or natural gas to flow through a reservoir.</w:t>
      </w:r>
    </w:p>
    <w:p>
      <w:pPr>
        <w:pStyle w:val="TextBody"/>
        <w:spacing w:lineRule="auto" w:line="288" w:before="120" w:after="283"/>
        <w:ind w:left="0" w:right="0" w:firstLine="495"/>
        <w:rPr/>
      </w:pPr>
      <w:r>
        <w:rPr>
          <w:rFonts w:ascii="Times New Roman;sans-serif" w:hAnsi="Times New Roman;sans-serif"/>
          <w:b/>
          <w:color w:val="000000"/>
          <w:sz w:val="20"/>
        </w:rPr>
        <w:t>Petrophysical analysis</w:t>
      </w:r>
      <w:r>
        <w:rPr>
          <w:rFonts w:ascii="Times New Roman;sans-serif" w:hAnsi="Times New Roman;sans-serif"/>
          <w:b w:val="false"/>
          <w:color w:val="000000"/>
          <w:sz w:val="20"/>
        </w:rPr>
        <w:t>. The interpretation of well log measurements, obtained from a string of electronic tools inserted into the borehole, and from core measurements, in which rock samples are retrieved from the subsurface, then combining these measurements with other relevant geological and geophysical information to describe the reservoir rock properties.</w:t>
      </w:r>
    </w:p>
    <w:p>
      <w:pPr>
        <w:pStyle w:val="TextBody"/>
        <w:spacing w:lineRule="auto" w:line="288" w:before="120" w:after="283"/>
        <w:ind w:left="0" w:right="0" w:firstLine="495"/>
        <w:rPr/>
      </w:pPr>
      <w:r>
        <w:rPr>
          <w:rFonts w:ascii="Times New Roman;sans-serif" w:hAnsi="Times New Roman;sans-serif"/>
          <w:b/>
          <w:color w:val="000000"/>
          <w:sz w:val="20"/>
        </w:rPr>
        <w:t>Play</w:t>
      </w:r>
      <w:r>
        <w:rPr>
          <w:rFonts w:ascii="Times New Roman;sans-serif" w:hAnsi="Times New Roman;sans-serif"/>
          <w:b w:val="false"/>
          <w:color w:val="000000"/>
          <w:sz w:val="20"/>
        </w:rPr>
        <w:t>. A set of known or postulated oil and/or natural gas accumulations sharing similar geologic, geographic and temporal properties, such as source rock, migration pathways, timing, trapping mechanism and hydrocarbon type.</w:t>
      </w:r>
    </w:p>
    <w:p>
      <w:pPr>
        <w:pStyle w:val="TextBody"/>
        <w:spacing w:lineRule="auto" w:line="288" w:before="120" w:after="283"/>
        <w:ind w:left="0" w:right="0" w:firstLine="495"/>
        <w:rPr/>
      </w:pPr>
      <w:r>
        <w:rPr>
          <w:rFonts w:ascii="Times New Roman;sans-serif" w:hAnsi="Times New Roman;sans-serif"/>
          <w:b/>
          <w:color w:val="000000"/>
          <w:sz w:val="20"/>
        </w:rPr>
        <w:t>Possible reserves</w:t>
      </w:r>
      <w:r>
        <w:rPr>
          <w:rFonts w:ascii="Times New Roman;sans-serif" w:hAnsi="Times New Roman;sans-serif"/>
          <w:b w:val="false"/>
          <w:color w:val="000000"/>
          <w:sz w:val="20"/>
        </w:rPr>
        <w:t>. Additional reserves that are less certain to be recognized than probable reserves.</w:t>
      </w:r>
    </w:p>
    <w:p>
      <w:pPr>
        <w:pStyle w:val="TextBody"/>
        <w:spacing w:lineRule="auto" w:line="288" w:before="120" w:after="283"/>
        <w:ind w:left="0" w:right="0" w:firstLine="495"/>
        <w:rPr/>
      </w:pPr>
      <w:r>
        <w:rPr>
          <w:rFonts w:ascii="Times New Roman;sans-serif" w:hAnsi="Times New Roman;sans-serif"/>
          <w:b/>
          <w:color w:val="000000"/>
          <w:sz w:val="20"/>
        </w:rPr>
        <w:t>Probable reserves</w:t>
      </w:r>
      <w:r>
        <w:rPr>
          <w:rFonts w:ascii="Times New Roman;sans-serif" w:hAnsi="Times New Roman;sans-serif"/>
          <w:b w:val="false"/>
          <w:color w:val="000000"/>
          <w:sz w:val="20"/>
        </w:rPr>
        <w:t>. Additional reserves that are less certain to be recognized than proved reserves but which, in sum with proved reserves, are as likely as not to be recovered.</w:t>
      </w:r>
    </w:p>
    <w:p>
      <w:pPr>
        <w:pStyle w:val="TextBody"/>
        <w:spacing w:lineRule="auto" w:line="288" w:before="120" w:after="283"/>
        <w:ind w:left="0" w:right="0" w:firstLine="495"/>
        <w:rPr/>
      </w:pPr>
      <w:r>
        <w:rPr>
          <w:rFonts w:ascii="Times New Roman;sans-serif" w:hAnsi="Times New Roman;sans-serif"/>
          <w:b/>
          <w:color w:val="000000"/>
          <w:sz w:val="20"/>
        </w:rPr>
        <w:t>Producing well, or productive well</w:t>
      </w:r>
      <w:r>
        <w:rPr>
          <w:rFonts w:ascii="Times New Roman;sans-serif" w:hAnsi="Times New Roman;sans-serif"/>
          <w:b w:val="false"/>
          <w:color w:val="000000"/>
          <w:sz w:val="20"/>
        </w:rPr>
        <w:t>. A well that is found to be capable of producing hydrocarbons in sufficient quantities such that proceeds from the sale of the well’s production exceed production-related expenses and taxes.</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10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color w:val="000000"/>
          <w:sz w:val="20"/>
        </w:rPr>
        <w:t>Properties</w:t>
      </w:r>
      <w:r>
        <w:rPr>
          <w:rFonts w:ascii="Times New Roman;sans-serif" w:hAnsi="Times New Roman;sans-serif"/>
          <w:b w:val="false"/>
          <w:color w:val="000000"/>
          <w:sz w:val="20"/>
        </w:rPr>
        <w:t>. Natural gas and oil wells, production and related equipment and facilities and oil, natural gas, or other mineral fee, leasehold and related interests.</w:t>
      </w:r>
    </w:p>
    <w:p>
      <w:pPr>
        <w:pStyle w:val="TextBody"/>
        <w:spacing w:lineRule="auto" w:line="288" w:before="120" w:after="283"/>
        <w:ind w:left="0" w:right="0" w:firstLine="495"/>
        <w:rPr/>
      </w:pPr>
      <w:r>
        <w:rPr>
          <w:rFonts w:ascii="Times New Roman;sans-serif" w:hAnsi="Times New Roman;sans-serif"/>
          <w:b/>
          <w:color w:val="000000"/>
          <w:sz w:val="20"/>
        </w:rPr>
        <w:t>Prospect</w:t>
      </w:r>
      <w:r>
        <w:rPr>
          <w:rFonts w:ascii="Times New Roman;sans-serif" w:hAnsi="Times New Roman;sans-serif"/>
          <w:b w:val="false"/>
          <w:color w:val="000000"/>
          <w:sz w:val="20"/>
        </w:rPr>
        <w:t>. A specific geographic area which, based on supporting geological, geophysical or other data and preliminary economic analysis using reasonably anticipated prices and costs, is considered to have potential for the discovery of commercial hydrocarbons.</w:t>
      </w:r>
    </w:p>
    <w:p>
      <w:pPr>
        <w:pStyle w:val="TextBody"/>
        <w:spacing w:lineRule="auto" w:line="288" w:before="120" w:after="283"/>
        <w:ind w:left="0" w:right="0" w:firstLine="495"/>
        <w:rPr/>
      </w:pPr>
      <w:r>
        <w:rPr>
          <w:rFonts w:ascii="Times New Roman;sans-serif" w:hAnsi="Times New Roman;sans-serif"/>
          <w:b/>
          <w:color w:val="000000"/>
          <w:sz w:val="20"/>
        </w:rPr>
        <w:t>Prospectivity</w:t>
      </w:r>
      <w:r>
        <w:rPr>
          <w:rFonts w:ascii="Times New Roman;sans-serif" w:hAnsi="Times New Roman;sans-serif"/>
          <w:b w:val="false"/>
          <w:color w:val="000000"/>
          <w:sz w:val="20"/>
        </w:rPr>
        <w:t>. Having the potential for the discovery and/or future development of commercial hydrocarbons in a specific geographic area or formation.</w:t>
      </w:r>
    </w:p>
    <w:p>
      <w:pPr>
        <w:pStyle w:val="TextBody"/>
        <w:spacing w:lineRule="auto" w:line="288" w:before="120" w:after="283"/>
        <w:ind w:left="0" w:right="0" w:firstLine="495"/>
        <w:rPr/>
      </w:pPr>
      <w:r>
        <w:rPr>
          <w:rFonts w:ascii="Times New Roman;sans-serif" w:hAnsi="Times New Roman;sans-serif"/>
          <w:b/>
          <w:color w:val="000000"/>
          <w:sz w:val="20"/>
        </w:rPr>
        <w:t>Proved developed non-producing</w:t>
      </w:r>
      <w:r>
        <w:rPr>
          <w:rFonts w:ascii="Times New Roman;sans-serif" w:hAnsi="Times New Roman;sans-serif"/>
          <w:b w:val="false"/>
          <w:color w:val="000000"/>
          <w:sz w:val="20"/>
        </w:rPr>
        <w:t>. Hydrocarbons in a potentially producing horizon penetrated by a wellbore, the production of which has been postponed pending installation of surface equipment or gathering facilities, or pending the production of hydrocarbons from another formation penetrated by the wellbore. The hydrocarbons are classified as proved developed but non-producing reserves.</w:t>
      </w:r>
    </w:p>
    <w:p>
      <w:pPr>
        <w:pStyle w:val="TextBody"/>
        <w:spacing w:lineRule="auto" w:line="288" w:before="120" w:after="283"/>
        <w:ind w:left="0" w:right="0" w:firstLine="495"/>
        <w:rPr/>
      </w:pPr>
      <w:r>
        <w:rPr>
          <w:rFonts w:ascii="Times New Roman;sans-serif" w:hAnsi="Times New Roman;sans-serif"/>
          <w:b/>
          <w:color w:val="000000"/>
          <w:sz w:val="20"/>
        </w:rPr>
        <w:t>Proved developed reserves</w:t>
      </w:r>
      <w:r>
        <w:rPr>
          <w:rFonts w:ascii="Times New Roman;sans-serif" w:hAnsi="Times New Roman;sans-serif"/>
          <w:b w:val="false"/>
          <w:color w:val="000000"/>
          <w:sz w:val="20"/>
        </w:rPr>
        <w:t>. Proved reserves that can be expected to be recovered through existing wells and facilities and by existing operating methods.</w:t>
      </w:r>
    </w:p>
    <w:p>
      <w:pPr>
        <w:pStyle w:val="TextBody"/>
        <w:spacing w:lineRule="auto" w:line="288" w:before="120" w:after="283"/>
        <w:ind w:left="0" w:right="0" w:firstLine="495"/>
        <w:rPr/>
      </w:pPr>
      <w:r>
        <w:rPr>
          <w:rFonts w:ascii="Times New Roman;sans-serif" w:hAnsi="Times New Roman;sans-serif"/>
          <w:b/>
          <w:color w:val="000000"/>
          <w:sz w:val="20"/>
        </w:rPr>
        <w:t>Proved reserves</w:t>
      </w:r>
      <w:r>
        <w:rPr>
          <w:rFonts w:ascii="Times New Roman;sans-serif" w:hAnsi="Times New Roman;sans-serif"/>
          <w:b w:val="false"/>
          <w:color w:val="000000"/>
          <w:sz w:val="20"/>
        </w:rPr>
        <w:t>. Reserves of oil and natural gas that have been proved to a high degree of certainty by analysis of the producing history of a reservoir and/or by volumetric analysis of adequate geological and engineering data.</w:t>
      </w:r>
    </w:p>
    <w:p>
      <w:pPr>
        <w:pStyle w:val="TextBody"/>
        <w:spacing w:lineRule="auto" w:line="288" w:before="120" w:after="283"/>
        <w:ind w:left="0" w:right="0" w:firstLine="495"/>
        <w:rPr/>
      </w:pPr>
      <w:r>
        <w:rPr>
          <w:rFonts w:ascii="Times New Roman;sans-serif" w:hAnsi="Times New Roman;sans-serif"/>
          <w:b/>
          <w:color w:val="000000"/>
          <w:sz w:val="20"/>
        </w:rPr>
        <w:t>Proved undeveloped reserves</w:t>
      </w:r>
      <w:r>
        <w:rPr>
          <w:rFonts w:ascii="Times New Roman;sans-serif" w:hAnsi="Times New Roman;sans-serif"/>
          <w:b w:val="false"/>
          <w:color w:val="000000"/>
          <w:sz w:val="20"/>
        </w:rPr>
        <w:t>. Proved reserves that are expected to be recovered from new wells on undrilled acreage or from existing wells where a relatively major expenditure is required for recompletion.</w:t>
      </w:r>
    </w:p>
    <w:p>
      <w:pPr>
        <w:pStyle w:val="TextBody"/>
        <w:spacing w:lineRule="auto" w:line="288" w:before="120" w:after="283"/>
        <w:ind w:left="0" w:right="0" w:firstLine="495"/>
        <w:rPr/>
      </w:pPr>
      <w:r>
        <w:rPr>
          <w:rFonts w:ascii="Times New Roman;sans-serif" w:hAnsi="Times New Roman;sans-serif"/>
          <w:b/>
          <w:color w:val="000000"/>
          <w:sz w:val="20"/>
        </w:rPr>
        <w:t>Recompletion</w:t>
      </w:r>
      <w:r>
        <w:rPr>
          <w:rFonts w:ascii="Times New Roman;sans-serif" w:hAnsi="Times New Roman;sans-serif"/>
          <w:b w:val="false"/>
          <w:color w:val="000000"/>
          <w:sz w:val="20"/>
        </w:rPr>
        <w:t>. Completing in the same wellbore to reach a new reservoir after production from the original reservoir has been abandoned.</w:t>
      </w:r>
    </w:p>
    <w:p>
      <w:pPr>
        <w:pStyle w:val="TextBody"/>
        <w:spacing w:lineRule="auto" w:line="288" w:before="120" w:after="283"/>
        <w:ind w:left="0" w:right="0" w:firstLine="495"/>
        <w:rPr/>
      </w:pPr>
      <w:r>
        <w:rPr>
          <w:rFonts w:ascii="Times New Roman;sans-serif" w:hAnsi="Times New Roman;sans-serif"/>
          <w:b/>
          <w:color w:val="000000"/>
          <w:sz w:val="20"/>
        </w:rPr>
        <w:t>Repeatability</w:t>
      </w:r>
      <w:r>
        <w:rPr>
          <w:rFonts w:ascii="Times New Roman;sans-serif" w:hAnsi="Times New Roman;sans-serif"/>
          <w:b w:val="false"/>
          <w:color w:val="000000"/>
          <w:sz w:val="20"/>
        </w:rPr>
        <w:t>. The potential ability to drill multiple wells within a prospect or trend.</w:t>
      </w:r>
    </w:p>
    <w:p>
      <w:pPr>
        <w:pStyle w:val="TextBody"/>
        <w:spacing w:lineRule="auto" w:line="288" w:before="120" w:after="283"/>
        <w:ind w:left="0" w:right="0" w:firstLine="495"/>
        <w:rPr/>
      </w:pPr>
      <w:r>
        <w:rPr>
          <w:rFonts w:ascii="Times New Roman;sans-serif" w:hAnsi="Times New Roman;sans-serif"/>
          <w:b/>
          <w:color w:val="000000"/>
          <w:sz w:val="20"/>
        </w:rPr>
        <w:t>Reservoir</w:t>
      </w:r>
      <w:r>
        <w:rPr>
          <w:rFonts w:ascii="Times New Roman;sans-serif" w:hAnsi="Times New Roman;sans-serif"/>
          <w:b w:val="false"/>
          <w:color w:val="000000"/>
          <w:sz w:val="20"/>
        </w:rPr>
        <w:t>. A porous and permeable underground formation containing a natural accumulation of producible oil and/or natural gas that is confined by impermeable rock or water barriers and is individual and separate from other reservoirs.</w:t>
      </w:r>
    </w:p>
    <w:p>
      <w:pPr>
        <w:pStyle w:val="TextBody"/>
        <w:spacing w:lineRule="auto" w:line="288" w:before="120" w:after="283"/>
        <w:ind w:left="0" w:right="0" w:firstLine="495"/>
        <w:rPr/>
      </w:pPr>
      <w:r>
        <w:rPr>
          <w:rFonts w:ascii="Times New Roman;sans-serif" w:hAnsi="Times New Roman;sans-serif"/>
          <w:b/>
          <w:color w:val="000000"/>
          <w:sz w:val="20"/>
        </w:rPr>
        <w:t>Royalty interest</w:t>
      </w:r>
      <w:r>
        <w:rPr>
          <w:rFonts w:ascii="Times New Roman;sans-serif" w:hAnsi="Times New Roman;sans-serif"/>
          <w:b w:val="false"/>
          <w:color w:val="000000"/>
          <w:sz w:val="20"/>
        </w:rPr>
        <w:t>. An interest in an oil and natural gas lease that gives the owner of the interest the right to receive a portion of the production from 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pStyle w:val="TextBody"/>
        <w:spacing w:lineRule="auto" w:line="288" w:before="120" w:after="283"/>
        <w:ind w:left="0" w:right="0" w:firstLine="495"/>
        <w:rPr/>
      </w:pPr>
      <w:r>
        <w:rPr>
          <w:rFonts w:ascii="Times New Roman;sans-serif" w:hAnsi="Times New Roman;sans-serif"/>
          <w:b/>
          <w:color w:val="000000"/>
          <w:sz w:val="20"/>
        </w:rPr>
        <w:t>2-D seismic</w:t>
      </w:r>
      <w:r>
        <w:rPr>
          <w:rFonts w:ascii="Times New Roman;sans-serif" w:hAnsi="Times New Roman;sans-serif"/>
          <w:b w:val="false"/>
          <w:color w:val="000000"/>
          <w:sz w:val="20"/>
        </w:rPr>
        <w:t>. The method by which a cross-section of the earth’s subsurface is created through the interpretation of reflection seismic data collected along a single source profile.</w:t>
      </w:r>
    </w:p>
    <w:p>
      <w:pPr>
        <w:pStyle w:val="TextBody"/>
        <w:spacing w:lineRule="auto" w:line="288" w:before="120" w:after="283"/>
        <w:ind w:left="0" w:right="0" w:firstLine="495"/>
        <w:rPr/>
      </w:pPr>
      <w:r>
        <w:rPr>
          <w:rFonts w:ascii="Times New Roman;sans-serif" w:hAnsi="Times New Roman;sans-serif"/>
          <w:b/>
          <w:color w:val="000000"/>
          <w:sz w:val="20"/>
        </w:rPr>
        <w:t>3-D seismic</w:t>
      </w:r>
      <w:r>
        <w:rPr>
          <w:rFonts w:ascii="Times New Roman;sans-serif" w:hAnsi="Times New Roman;sans-serif"/>
          <w:b w:val="false"/>
          <w:color w:val="000000"/>
          <w:sz w:val="20"/>
        </w:rPr>
        <w:t>. The method by which a three-dimensional image of the earth’s subsurface is created through the interpretation of reflection seismic data collected over a surface grid. 3-D seismic surveys allow for a more detailed understanding of the subsurface than do 2-D seismic surveys and contribute significantly to field appraisal, exploitation and production.</w:t>
      </w:r>
    </w:p>
    <w:p>
      <w:pPr>
        <w:pStyle w:val="TextBody"/>
        <w:spacing w:lineRule="auto" w:line="288" w:before="120" w:after="283"/>
        <w:ind w:left="0" w:right="0" w:firstLine="495"/>
        <w:rPr/>
      </w:pPr>
      <w:r>
        <w:rPr>
          <w:rFonts w:ascii="Times New Roman;sans-serif" w:hAnsi="Times New Roman;sans-serif"/>
          <w:b/>
          <w:color w:val="000000"/>
          <w:sz w:val="20"/>
        </w:rPr>
        <w:t>Spud</w:t>
      </w:r>
      <w:r>
        <w:rPr>
          <w:rFonts w:ascii="Times New Roman;sans-serif" w:hAnsi="Times New Roman;sans-serif"/>
          <w:b w:val="false"/>
          <w:color w:val="000000"/>
          <w:sz w:val="20"/>
        </w:rPr>
        <w:t>. The act of beginning to drill an oil or natural gas well.</w:t>
      </w:r>
    </w:p>
    <w:p>
      <w:pPr>
        <w:pStyle w:val="TextBody"/>
        <w:spacing w:lineRule="auto" w:line="288" w:before="120" w:after="283"/>
        <w:ind w:left="0" w:right="0" w:firstLine="495"/>
        <w:rPr/>
      </w:pPr>
      <w:r>
        <w:rPr>
          <w:rFonts w:ascii="Times New Roman;sans-serif" w:hAnsi="Times New Roman;sans-serif"/>
          <w:b/>
          <w:color w:val="000000"/>
          <w:sz w:val="20"/>
        </w:rPr>
        <w:t>Throughput</w:t>
      </w:r>
      <w:r>
        <w:rPr>
          <w:rFonts w:ascii="Times New Roman;sans-serif" w:hAnsi="Times New Roman;sans-serif"/>
          <w:b w:val="false"/>
          <w:color w:val="000000"/>
          <w:sz w:val="20"/>
        </w:rPr>
        <w:t>. The volume of product transported or passing through a pipeline, plant or other facility.</w:t>
      </w:r>
    </w:p>
    <w:p>
      <w:pPr>
        <w:pStyle w:val="TextBody"/>
        <w:spacing w:lineRule="auto" w:line="288" w:before="120" w:after="283"/>
        <w:ind w:left="0" w:right="0" w:firstLine="495"/>
        <w:rPr/>
      </w:pPr>
      <w:r>
        <w:rPr>
          <w:rFonts w:ascii="Times New Roman;sans-serif" w:hAnsi="Times New Roman;sans-serif"/>
          <w:b/>
          <w:color w:val="000000"/>
          <w:sz w:val="20"/>
        </w:rPr>
        <w:t>Trend</w:t>
      </w:r>
      <w:r>
        <w:rPr>
          <w:rFonts w:ascii="Times New Roman;sans-serif" w:hAnsi="Times New Roman;sans-serif"/>
          <w:b w:val="false"/>
          <w:color w:val="000000"/>
          <w:sz w:val="20"/>
        </w:rPr>
        <w:t>. A region of oil and/or natural gas production, the geographic limits of which have not been fully defined, having geological characteristics that have been ascertained through supporting geological, geophysical or other data to contain the potential for oil and/or natural gas reserves in a particular formation or series of formations.</w:t>
      </w:r>
    </w:p>
    <w:p>
      <w:pPr>
        <w:pStyle w:val="TextBody"/>
        <w:spacing w:lineRule="auto" w:line="288" w:before="120" w:after="283"/>
        <w:ind w:left="0" w:right="0" w:firstLine="495"/>
        <w:rPr/>
      </w:pPr>
      <w:r>
        <w:rPr>
          <w:rFonts w:ascii="Times New Roman;sans-serif" w:hAnsi="Times New Roman;sans-serif"/>
          <w:b/>
          <w:color w:val="000000"/>
          <w:sz w:val="20"/>
        </w:rPr>
        <w:t>Unconventional resource play</w:t>
      </w:r>
      <w:r>
        <w:rPr>
          <w:rFonts w:ascii="Times New Roman;sans-serif" w:hAnsi="Times New Roman;sans-serif"/>
          <w:b w:val="false"/>
          <w:color w:val="000000"/>
          <w:sz w:val="20"/>
        </w:rPr>
        <w:t>. A set of known or postulated oil and or natural gas resources or reserves warranting further exploration which are extracted from (i) low-permeability sandstone and shale formations and (ii) coalbed methane. These plays require the application of advanced technology to extract the oil and natural gas resources.</w:t>
      </w:r>
    </w:p>
    <w:p>
      <w:pPr>
        <w:pStyle w:val="TextBody"/>
        <w:spacing w:lineRule="auto" w:line="288" w:before="120" w:after="283"/>
        <w:ind w:left="0" w:right="0" w:firstLine="495"/>
        <w:rPr/>
      </w:pPr>
      <w:r>
        <w:rPr>
          <w:rFonts w:ascii="Times New Roman;sans-serif" w:hAnsi="Times New Roman;sans-serif"/>
          <w:b/>
          <w:color w:val="000000"/>
          <w:sz w:val="20"/>
        </w:rPr>
        <w:t>Undeveloped acreage</w:t>
      </w:r>
      <w:r>
        <w:rPr>
          <w:rFonts w:ascii="Times New Roman;sans-serif" w:hAnsi="Times New Roman;sans-serif"/>
          <w:b w:val="false"/>
          <w:color w:val="000000"/>
          <w:sz w:val="20"/>
        </w:rPr>
        <w:t>. Lease acreage on which wells have not been drilled or completed to a point that would permit the production of commercial quantities of oil and natural gas, regardless of whether such acreage contains proved reserves. Undeveloped acreage is usually considered to be all acreage that is not allocated or assignable to productive wells.</w:t>
      </w:r>
    </w:p>
    <w:p>
      <w:pPr>
        <w:pStyle w:val="TextBody"/>
        <w:spacing w:lineRule="auto" w:line="288" w:before="120" w:after="283"/>
        <w:ind w:left="0" w:right="0" w:firstLine="495"/>
        <w:rPr/>
      </w:pPr>
      <w:r>
        <w:rPr>
          <w:rFonts w:ascii="Times New Roman;sans-serif" w:hAnsi="Times New Roman;sans-serif"/>
          <w:b/>
          <w:color w:val="000000"/>
          <w:sz w:val="20"/>
        </w:rPr>
        <w:t>Unproved and unevaluated properties</w:t>
      </w:r>
      <w:r>
        <w:rPr>
          <w:rFonts w:ascii="Times New Roman;sans-serif" w:hAnsi="Times New Roman;sans-serif"/>
          <w:b w:val="false"/>
          <w:color w:val="000000"/>
          <w:sz w:val="20"/>
        </w:rPr>
        <w:t>. Properties where no drilling or other actions have been undertaken that permit such properties to be classified as proved and to which no proved reserves have been assigned.</w:t>
      </w:r>
    </w:p>
    <w:p>
      <w:pPr>
        <w:pStyle w:val="TextBody"/>
        <w:spacing w:lineRule="auto" w:line="288" w:before="120" w:after="283"/>
        <w:ind w:left="0" w:right="0" w:firstLine="495"/>
        <w:rPr/>
      </w:pPr>
      <w:r>
        <w:rPr>
          <w:rFonts w:ascii="Times New Roman;sans-serif" w:hAnsi="Times New Roman;sans-serif"/>
          <w:b/>
          <w:color w:val="000000"/>
          <w:sz w:val="20"/>
        </w:rPr>
        <w:t>Vertical well</w:t>
      </w:r>
      <w:r>
        <w:rPr>
          <w:rFonts w:ascii="Times New Roman;sans-serif" w:hAnsi="Times New Roman;sans-serif"/>
          <w:b w:val="false"/>
          <w:color w:val="000000"/>
          <w:sz w:val="20"/>
        </w:rPr>
        <w:t>. A hole drilled vertically into the earth from which oil, natural gas or water flows or is pumped.</w:t>
      </w:r>
    </w:p>
    <w:p>
      <w:pPr>
        <w:pStyle w:val="TextBody"/>
        <w:spacing w:lineRule="auto" w:line="288" w:before="120" w:after="283"/>
        <w:ind w:left="0" w:right="0" w:firstLine="495"/>
        <w:rPr/>
      </w:pPr>
      <w:r>
        <w:rPr>
          <w:rFonts w:ascii="Times New Roman;sans-serif" w:hAnsi="Times New Roman;sans-serif"/>
          <w:b/>
          <w:color w:val="000000"/>
          <w:sz w:val="20"/>
        </w:rPr>
        <w:t>Visualization</w:t>
      </w:r>
      <w:r>
        <w:rPr>
          <w:rFonts w:ascii="Times New Roman;sans-serif" w:hAnsi="Times New Roman;sans-serif"/>
          <w:b w:val="false"/>
          <w:color w:val="000000"/>
          <w:sz w:val="20"/>
        </w:rPr>
        <w:t>. An exploration technique in which the size and shape of subsurface features are mapped and analyzed based upon information derived from well logs, seismic data and other well information.</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6" name="Frame10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color w:val="000000"/>
          <w:sz w:val="20"/>
        </w:rPr>
        <w:t>Volumetric reserves analysis</w:t>
      </w:r>
      <w:r>
        <w:rPr>
          <w:rFonts w:ascii="Times New Roman;sans-serif" w:hAnsi="Times New Roman;sans-serif"/>
          <w:b w:val="false"/>
          <w:color w:val="000000"/>
          <w:sz w:val="20"/>
        </w:rPr>
        <w:t>. A technique used to estimate the amount of recoverable oil and natural gas. It involves calculating the volume of reservoir rock and adjusting that volume for rock porosity, hydrocarbon saturation, formation volume factor and recovery factor.</w:t>
      </w:r>
    </w:p>
    <w:p>
      <w:pPr>
        <w:pStyle w:val="TextBody"/>
        <w:spacing w:lineRule="auto" w:line="288" w:before="120" w:after="283"/>
        <w:ind w:left="0" w:right="0" w:firstLine="495"/>
        <w:rPr/>
      </w:pPr>
      <w:r>
        <w:rPr>
          <w:rFonts w:ascii="Times New Roman;sans-serif" w:hAnsi="Times New Roman;sans-serif"/>
          <w:b/>
          <w:color w:val="000000"/>
          <w:sz w:val="20"/>
        </w:rPr>
        <w:t>Wellbore</w:t>
      </w:r>
      <w:r>
        <w:rPr>
          <w:rFonts w:ascii="Times New Roman;sans-serif" w:hAnsi="Times New Roman;sans-serif"/>
          <w:b w:val="false"/>
          <w:color w:val="000000"/>
          <w:sz w:val="20"/>
        </w:rPr>
        <w:t>. The hole made by a well.</w:t>
      </w:r>
    </w:p>
    <w:p>
      <w:pPr>
        <w:pStyle w:val="TextBody"/>
        <w:spacing w:lineRule="auto" w:line="288" w:before="120" w:after="283"/>
        <w:ind w:left="0" w:right="0" w:firstLine="495"/>
        <w:rPr/>
      </w:pPr>
      <w:r>
        <w:rPr>
          <w:rFonts w:ascii="Times New Roman;sans-serif" w:hAnsi="Times New Roman;sans-serif"/>
          <w:b/>
          <w:color w:val="000000"/>
          <w:sz w:val="20"/>
        </w:rPr>
        <w:t>Working interest</w:t>
      </w:r>
      <w:r>
        <w:rPr>
          <w:rFonts w:ascii="Times New Roman;sans-serif" w:hAnsi="Times New Roman;sans-serif"/>
          <w:b w:val="false"/>
          <w:color w:val="000000"/>
          <w:sz w:val="20"/>
        </w:rPr>
        <w:t>. The operating interest that gives the owner the right to drill, produce and conduct operating activities on the property and receive a share of production.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7" name="Frame10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Matador Resources Company and Subsidiaries</w:t>
      </w:r>
    </w:p>
    <w:p>
      <w:pPr>
        <w:pStyle w:val="TextBody"/>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CONSOLIDATED FINANCIAL STATEMENTS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Index</w:t>
      </w:r>
    </w:p>
    <w:p>
      <w:pPr>
        <w:pStyle w:val="TextBody"/>
        <w:spacing w:lineRule="auto" w:line="288" w:before="0" w:after="0"/>
        <w:rPr>
          <w:color w:val="000000"/>
        </w:rPr>
      </w:pPr>
      <w:r>
        <w:rPr>
          <w:color w:val="000000"/>
        </w:rPr>
        <w:t> </w:t>
      </w:r>
    </w:p>
    <w:tbl>
      <w:tblPr>
        <w:tblW w:w="10170" w:type="dxa"/>
        <w:jc w:val="left"/>
        <w:tblInd w:w="0" w:type="dxa"/>
        <w:tblCellMar>
          <w:top w:w="28" w:type="dxa"/>
          <w:left w:w="28" w:type="dxa"/>
          <w:bottom w:w="28" w:type="dxa"/>
          <w:right w:w="28" w:type="dxa"/>
        </w:tblCellMar>
      </w:tblPr>
      <w:tblGrid>
        <w:gridCol w:w="3491"/>
        <w:gridCol w:w="3069"/>
        <w:gridCol w:w="3085"/>
        <w:gridCol w:w="154"/>
        <w:gridCol w:w="154"/>
        <w:gridCol w:w="217"/>
      </w:tblGrid>
      <w:tr>
        <w:trPr/>
        <w:tc>
          <w:tcPr>
            <w:tcW w:w="3491"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30">
              <w:r>
                <w:rPr>
                  <w:rStyle w:val="InternetLink"/>
                  <w:rFonts w:ascii="Times New Roman;sans-serif" w:hAnsi="Times New Roman;sans-serif"/>
                  <w:b w:val="false"/>
                  <w:color w:val="0000FF"/>
                  <w:sz w:val="20"/>
                  <w:u w:val="single"/>
                </w:rPr>
                <w:t>Report of Independent Registered Public Accounting Firm</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30">
              <w:r>
                <w:rPr>
                  <w:rStyle w:val="InternetLink"/>
                  <w:rFonts w:ascii="Times New Roman;sans-serif" w:hAnsi="Times New Roman;sans-serif"/>
                  <w:b w:val="false"/>
                  <w:color w:val="0000FF"/>
                  <w:sz w:val="20"/>
                  <w:u w:val="single"/>
                </w:rPr>
                <w:t>F-2</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33">
              <w:r>
                <w:rPr>
                  <w:rStyle w:val="InternetLink"/>
                  <w:rFonts w:ascii="Times New Roman;sans-serif" w:hAnsi="Times New Roman;sans-serif"/>
                  <w:b w:val="false"/>
                  <w:color w:val="0000FF"/>
                  <w:sz w:val="20"/>
                  <w:u w:val="single"/>
                </w:rPr>
                <w:t>Consolidated Balance Sheets as of December 31, 2021 and 2020</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33">
              <w:r>
                <w:rPr>
                  <w:rStyle w:val="InternetLink"/>
                  <w:rFonts w:ascii="Times New Roman;sans-serif" w:hAnsi="Times New Roman;sans-serif"/>
                  <w:b w:val="false"/>
                  <w:color w:val="0000FF"/>
                  <w:sz w:val="20"/>
                  <w:u w:val="single"/>
                </w:rPr>
                <w:t>F-4</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36">
              <w:r>
                <w:rPr>
                  <w:rStyle w:val="InternetLink"/>
                  <w:rFonts w:ascii="Times New Roman;sans-serif" w:hAnsi="Times New Roman;sans-serif"/>
                  <w:b w:val="false"/>
                  <w:color w:val="0000FF"/>
                  <w:sz w:val="20"/>
                  <w:u w:val="single"/>
                </w:rPr>
                <w:t>Consolidated Statements of Operations for the Years Ended December 31, 2021, 2020 and 2019</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36">
              <w:r>
                <w:rPr>
                  <w:rStyle w:val="InternetLink"/>
                  <w:rFonts w:ascii="Times New Roman;sans-serif" w:hAnsi="Times New Roman;sans-serif"/>
                  <w:b w:val="false"/>
                  <w:color w:val="0000FF"/>
                  <w:sz w:val="20"/>
                  <w:u w:val="single"/>
                </w:rPr>
                <w:t>F-5</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39">
              <w:r>
                <w:rPr>
                  <w:rStyle w:val="InternetLink"/>
                  <w:rFonts w:ascii="Times New Roman;sans-serif" w:hAnsi="Times New Roman;sans-serif"/>
                  <w:b w:val="false"/>
                  <w:color w:val="0000FF"/>
                  <w:sz w:val="20"/>
                  <w:u w:val="single"/>
                </w:rPr>
                <w:t>Consolidated Statements of Changes in Shareholders’ Equity for the Years Ended December 31, 2021, 2020 and 2019</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420cc4011c545a981bbe003a9bf8132_139">
              <w:r>
                <w:rPr>
                  <w:rStyle w:val="InternetLink"/>
                  <w:rFonts w:ascii="Times New Roman;sans-serif" w:hAnsi="Times New Roman;sans-serif"/>
                  <w:b w:val="false"/>
                  <w:color w:val="0000FF"/>
                  <w:sz w:val="20"/>
                  <w:u w:val="single"/>
                </w:rPr>
                <w:t>F-6</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42">
              <w:r>
                <w:rPr>
                  <w:rStyle w:val="InternetLink"/>
                  <w:rFonts w:ascii="Times New Roman;sans-serif" w:hAnsi="Times New Roman;sans-serif"/>
                  <w:b w:val="false"/>
                  <w:color w:val="0000FF"/>
                  <w:sz w:val="20"/>
                  <w:u w:val="single"/>
                </w:rPr>
                <w:t>Consolidated Statements of Cash Flows for the Years Ended December 31, 2021, 2020 and 2019</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F-</w:t>
            </w:r>
            <w:hyperlink w:anchor="i7420cc4011c545a981bbe003a9bf8132_142">
              <w:r>
                <w:rPr>
                  <w:rStyle w:val="InternetLink"/>
                </w:rPr>
                <w:t>7</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145">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F-</w:t>
            </w:r>
            <w:hyperlink w:anchor="i7420cc4011c545a981bbe003a9bf8132_145">
              <w:r>
                <w:rPr>
                  <w:rStyle w:val="InternetLink"/>
                </w:rPr>
                <w:t>8</w:t>
              </w:r>
            </w:hyperlink>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420cc4011c545a981bbe003a9bf8132_214">
              <w:r>
                <w:rPr>
                  <w:rStyle w:val="InternetLink"/>
                  <w:rFonts w:ascii="Times New Roman;sans-serif" w:hAnsi="Times New Roman;sans-serif"/>
                  <w:b w:val="false"/>
                  <w:color w:val="0000FF"/>
                  <w:sz w:val="20"/>
                  <w:u w:val="single"/>
                </w:rPr>
                <w:t>Unaudited Supplementary Information</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F-</w:t>
            </w:r>
            <w:hyperlink w:anchor="i7420cc4011c545a981bbe003a9bf8132_214">
              <w:r>
                <w:rPr>
                  <w:rStyle w:val="InternetLink"/>
                </w:rPr>
                <w:t>37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8" name="Frame10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Matador Resources Company and subsidiaries (the Company) as of December 31, 2021 and 2020, the related consolidated statements of operations, changes in shareholders’ equity, and cash flows for each of the years in the three</w:t>
        <w:noBreakHyphen/>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noBreakHyphen/>
        <w:t>year period ended December 31, 2021, in conformity with U.S. generally accepted accounting principles.</w:t>
      </w:r>
    </w:p>
    <w:p>
      <w:pPr>
        <w:pStyle w:val="TextBody"/>
        <w:spacing w:lineRule="auto" w:line="288" w:before="0" w:after="20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28, 2022 expressed an unqualified opinion on the effectiveness of the Company’s internal control over financial reporting.</w:t>
      </w:r>
    </w:p>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Impact of estimated proved oil and natural gas reserves related to evaluated oil and natural gas properties on depletion expense and the ceiling test calculation</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For the year ended December 31, 2021, the Company recorded depletion expense of evaluated oil and natural gas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9" name="Frame10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properties of $310.1 million. Additionally, as discussed in Note 3 to the consolidated financial statements, the Company recorded $6.0 billion of gross evaluated oil and natural gas properties as of December 31, 2021. The Company’s internal reserves engineers prepare an estimate of the proved oil and natural gas reserves, and the Company engages external reserves engineers to independently evaluate the proved oil and natural gas reserves estimated by the Company.</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forecasted production, development costs, operating costs, and forecasted oil and natural gas prices inclusive of price differentials.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reserves engineers as well as the external reserves engineers and external engineering firm, (2) the knowledge, skill, and ability of the Company’s internal and external reserves engineers, and (3) the relationship of the external reserves engineers and external engineering firm to the Company. We assessed the methodology used by the Company to estimate the reserves for consistency with industry and regulatory standards. We also compared the pricing assumptions, including price differentials, used in the reserves engineers’ estimate of the proved reserves to publicly available oil and natural gas pricing data. We evaluated assumptions used in the reserves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reserves engineers in connection with our evaluation of the Company’s reserves estimates. We analyzed the depletion expense calculation for compliance with industry and regulatory standards, and recalculated it. We also analyzed the ceiling test impairment calculation for compliance with industry and regulatory standards. In addition, we performed an independent calculation of the ceiling test impairment calculation and compared our results with the Company’s results.</w:t>
      </w:r>
    </w:p>
    <w:p>
      <w:pPr>
        <w:pStyle w:val="TextBody"/>
        <w:spacing w:before="120" w:after="283"/>
        <w:rPr/>
      </w:pPr>
      <w:r>
        <w:rPr/>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10" name="Frame10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31"/>
        <w:gridCol w:w="2151"/>
        <w:gridCol w:w="2171"/>
        <w:gridCol w:w="109"/>
        <w:gridCol w:w="109"/>
        <w:gridCol w:w="109"/>
        <w:gridCol w:w="196"/>
        <w:gridCol w:w="871"/>
        <w:gridCol w:w="109"/>
        <w:gridCol w:w="109"/>
        <w:gridCol w:w="109"/>
        <w:gridCol w:w="109"/>
        <w:gridCol w:w="196"/>
        <w:gridCol w:w="871"/>
        <w:gridCol w:w="155"/>
      </w:tblGrid>
      <w:tr>
        <w:trPr/>
        <w:tc>
          <w:tcPr>
            <w:tcW w:w="2831"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57,916 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6,007,325 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5,295,931 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902,133 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841,695 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(3,701,551)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4,262,153 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1,040,998 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1,883,319 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 $0.01 par value, 160,000,000 shares authorized; 117,861,923 and 116,847,003 shares issued; and 117,850,233 and 116,844,768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2,027,069 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(741,705)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11,945 and 2,235 shares,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4,262,153 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3,687,280 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pPr>
      <w:r>
        <w:rPr>
          <w:rFonts w:ascii="Times New Roman;sans-serif" w:hAnsi="Times New Roman;sans-serif"/>
          <w:b/>
          <w:color w:val="000000"/>
          <w:sz w:val="20"/>
        </w:rPr>
        <w:t>(In thousands, except per share data)</w:t>
      </w:r>
      <w:r>
        <w:rPr>
          <w:color w:val="000000"/>
        </w:rPr>
        <w:t> </w:t>
      </w:r>
    </w:p>
    <w:tbl>
      <w:tblPr>
        <w:tblW w:w="10205" w:type="dxa"/>
        <w:jc w:val="left"/>
        <w:tblInd w:w="0" w:type="dxa"/>
        <w:tblCellMar>
          <w:top w:w="28" w:type="dxa"/>
          <w:left w:w="28" w:type="dxa"/>
          <w:bottom w:w="28" w:type="dxa"/>
          <w:right w:w="28" w:type="dxa"/>
        </w:tblCellMar>
      </w:tblPr>
      <w:tblGrid>
        <w:gridCol w:w="2049"/>
        <w:gridCol w:w="1731"/>
        <w:gridCol w:w="1743"/>
        <w:gridCol w:w="109"/>
        <w:gridCol w:w="109"/>
        <w:gridCol w:w="109"/>
        <w:gridCol w:w="211"/>
        <w:gridCol w:w="976"/>
        <w:gridCol w:w="109"/>
        <w:gridCol w:w="109"/>
        <w:gridCol w:w="109"/>
        <w:gridCol w:w="109"/>
        <w:gridCol w:w="211"/>
        <w:gridCol w:w="892"/>
        <w:gridCol w:w="109"/>
        <w:gridCol w:w="109"/>
        <w:gridCol w:w="109"/>
        <w:gridCol w:w="109"/>
        <w:gridCol w:w="211"/>
        <w:gridCol w:w="826"/>
        <w:gridCol w:w="156"/>
      </w:tblGrid>
      <w:tr>
        <w:trPr/>
        <w:tc>
          <w:tcPr>
            <w:tcW w:w="2049"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 mineral acreage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Full-cost ceiling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asset sales and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Matador Resources Company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2020 and 2019</w:t>
      </w:r>
    </w:p>
    <w:p>
      <w:pPr>
        <w:pStyle w:val="TextBody"/>
        <w:spacing w:before="0" w:after="0"/>
        <w:jc w:val="center"/>
        <w:rPr/>
      </w:pPr>
      <w:r>
        <w:rPr/>
      </w:r>
    </w:p>
    <w:p>
      <w:pPr>
        <w:pStyle w:val="TextBody"/>
        <w:spacing w:before="0" w:after="0"/>
        <w:rPr/>
      </w:pPr>
      <w:r>
        <w:rPr/>
      </w:r>
    </w:p>
    <w:tbl>
      <w:tblPr>
        <w:tblW w:w="17343" w:type="dxa"/>
        <w:jc w:val="center"/>
        <w:tblInd w:w="0" w:type="dxa"/>
        <w:tblCellMar>
          <w:top w:w="28" w:type="dxa"/>
          <w:left w:w="28" w:type="dxa"/>
          <w:bottom w:w="28" w:type="dxa"/>
          <w:right w:w="28" w:type="dxa"/>
        </w:tblCellMar>
      </w:tblPr>
      <w:tblGrid>
        <w:gridCol w:w="1316"/>
        <w:gridCol w:w="234"/>
        <w:gridCol w:w="236"/>
        <w:gridCol w:w="109"/>
        <w:gridCol w:w="109"/>
        <w:gridCol w:w="109"/>
        <w:gridCol w:w="368"/>
        <w:gridCol w:w="368"/>
        <w:gridCol w:w="196"/>
        <w:gridCol w:w="109"/>
        <w:gridCol w:w="109"/>
        <w:gridCol w:w="109"/>
        <w:gridCol w:w="196"/>
        <w:gridCol w:w="556"/>
        <w:gridCol w:w="109"/>
        <w:gridCol w:w="109"/>
        <w:gridCol w:w="109"/>
        <w:gridCol w:w="109"/>
        <w:gridCol w:w="109"/>
        <w:gridCol w:w="871"/>
        <w:gridCol w:w="109"/>
        <w:gridCol w:w="1051"/>
        <w:gridCol w:w="196"/>
        <w:gridCol w:w="871"/>
        <w:gridCol w:w="109"/>
        <w:gridCol w:w="109"/>
        <w:gridCol w:w="109"/>
        <w:gridCol w:w="109"/>
        <w:gridCol w:w="196"/>
        <w:gridCol w:w="751"/>
        <w:gridCol w:w="109"/>
        <w:gridCol w:w="109"/>
        <w:gridCol w:w="109"/>
        <w:gridCol w:w="109"/>
        <w:gridCol w:w="217"/>
        <w:gridCol w:w="219"/>
        <w:gridCol w:w="196"/>
        <w:gridCol w:w="109"/>
        <w:gridCol w:w="109"/>
        <w:gridCol w:w="109"/>
        <w:gridCol w:w="333"/>
        <w:gridCol w:w="741"/>
        <w:gridCol w:w="187"/>
        <w:gridCol w:w="230"/>
        <w:gridCol w:w="230"/>
        <w:gridCol w:w="231"/>
        <w:gridCol w:w="196"/>
        <w:gridCol w:w="871"/>
        <w:gridCol w:w="109"/>
        <w:gridCol w:w="360"/>
        <w:gridCol w:w="360"/>
        <w:gridCol w:w="361"/>
        <w:gridCol w:w="196"/>
        <w:gridCol w:w="736"/>
        <w:gridCol w:w="109"/>
        <w:gridCol w:w="109"/>
        <w:gridCol w:w="109"/>
        <w:gridCol w:w="109"/>
        <w:gridCol w:w="196"/>
        <w:gridCol w:w="871"/>
        <w:gridCol w:w="154"/>
      </w:tblGrid>
      <w:tr>
        <w:trPr/>
        <w:tc>
          <w:tcPr>
            <w:tcW w:w="13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2589" w:type="dxa"/>
            <w:gridSpan w:val="9"/>
            <w:tcBorders/>
            <w:shd w:fill="auto" w:val="clea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vMerge w:val="continue"/>
            <w:tcBorders/>
            <w:shd w:fill="auto" w:val="clear"/>
            <w:tcMar>
              <w:top w:w="0" w:type="dxa"/>
              <w:left w:w="0" w:type="dxa"/>
              <w:bottom w:w="0" w:type="dxa"/>
              <w:right w:w="0" w:type="dxa"/>
            </w:tcMar>
            <w:vAlign w:val="center"/>
          </w:tcPr>
          <w:p>
            <w:pPr>
              <w:pStyle w:val="Normal"/>
              <w:rPr/>
            </w:pPr>
            <w:r>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6"/>
            <w:tcBorders/>
            <w:shd w:fill="auto" w:val="clea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and advisors’ compensation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Liability-based stock option awards settled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of property related to formation of San Mateo II (See Note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 net of tax of $5.9 million (See 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and advisors’ compensation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Liability-based stock option awards settled in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 net of tax of $4.8 million (See 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116,847 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tbl>
      <w:tblPr>
        <w:tblW w:w="17343" w:type="dxa"/>
        <w:jc w:val="center"/>
        <w:tblInd w:w="0" w:type="dxa"/>
        <w:tblCellMar>
          <w:top w:w="28" w:type="dxa"/>
          <w:left w:w="28" w:type="dxa"/>
          <w:bottom w:w="28" w:type="dxa"/>
          <w:right w:w="28" w:type="dxa"/>
        </w:tblCellMar>
      </w:tblPr>
      <w:tblGrid>
        <w:gridCol w:w="1316"/>
        <w:gridCol w:w="234"/>
        <w:gridCol w:w="236"/>
        <w:gridCol w:w="109"/>
        <w:gridCol w:w="109"/>
        <w:gridCol w:w="109"/>
        <w:gridCol w:w="368"/>
        <w:gridCol w:w="368"/>
        <w:gridCol w:w="196"/>
        <w:gridCol w:w="109"/>
        <w:gridCol w:w="109"/>
        <w:gridCol w:w="109"/>
        <w:gridCol w:w="196"/>
        <w:gridCol w:w="556"/>
        <w:gridCol w:w="109"/>
        <w:gridCol w:w="109"/>
        <w:gridCol w:w="109"/>
        <w:gridCol w:w="109"/>
        <w:gridCol w:w="109"/>
        <w:gridCol w:w="871"/>
        <w:gridCol w:w="109"/>
        <w:gridCol w:w="1051"/>
        <w:gridCol w:w="196"/>
        <w:gridCol w:w="871"/>
        <w:gridCol w:w="109"/>
        <w:gridCol w:w="109"/>
        <w:gridCol w:w="109"/>
        <w:gridCol w:w="109"/>
        <w:gridCol w:w="196"/>
        <w:gridCol w:w="751"/>
        <w:gridCol w:w="109"/>
        <w:gridCol w:w="109"/>
        <w:gridCol w:w="109"/>
        <w:gridCol w:w="109"/>
        <w:gridCol w:w="217"/>
        <w:gridCol w:w="219"/>
        <w:gridCol w:w="196"/>
        <w:gridCol w:w="109"/>
        <w:gridCol w:w="109"/>
        <w:gridCol w:w="109"/>
        <w:gridCol w:w="333"/>
        <w:gridCol w:w="741"/>
        <w:gridCol w:w="187"/>
        <w:gridCol w:w="230"/>
        <w:gridCol w:w="230"/>
        <w:gridCol w:w="231"/>
        <w:gridCol w:w="196"/>
        <w:gridCol w:w="871"/>
        <w:gridCol w:w="109"/>
        <w:gridCol w:w="360"/>
        <w:gridCol w:w="360"/>
        <w:gridCol w:w="361"/>
        <w:gridCol w:w="196"/>
        <w:gridCol w:w="736"/>
        <w:gridCol w:w="109"/>
        <w:gridCol w:w="109"/>
        <w:gridCol w:w="109"/>
        <w:gridCol w:w="109"/>
        <w:gridCol w:w="196"/>
        <w:gridCol w:w="871"/>
        <w:gridCol w:w="154"/>
      </w:tblGrid>
      <w:tr>
        <w:trPr/>
        <w:tc>
          <w:tcPr>
            <w:tcW w:w="13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1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2589" w:type="dxa"/>
            <w:gridSpan w:val="9"/>
            <w:tcBorders/>
            <w:shd w:fill="auto" w:val="clea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vMerge w:val="continue"/>
            <w:tcBorders/>
            <w:shd w:fill="auto" w:val="clear"/>
            <w:tcMar>
              <w:top w:w="0" w:type="dxa"/>
              <w:left w:w="0" w:type="dxa"/>
              <w:bottom w:w="0" w:type="dxa"/>
              <w:right w:w="0" w:type="dxa"/>
            </w:tcMar>
            <w:vAlign w:val="center"/>
          </w:tcPr>
          <w:p>
            <w:pPr>
              <w:pStyle w:val="Normal"/>
              <w:rPr/>
            </w:pPr>
            <w:r>
              <w:rPr/>
            </w:r>
          </w:p>
        </w:tc>
        <w:tc>
          <w:tcPr>
            <w:tcW w:w="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6"/>
            <w:tcBorders/>
            <w:shd w:fill="auto" w:val="clea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($0.125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and advisors’ compensation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 net of tax of $3.6 million (See 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117,862 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3" name="Frame1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228"/>
        <w:gridCol w:w="1877"/>
        <w:gridCol w:w="1881"/>
        <w:gridCol w:w="109"/>
        <w:gridCol w:w="109"/>
        <w:gridCol w:w="109"/>
        <w:gridCol w:w="196"/>
        <w:gridCol w:w="736"/>
        <w:gridCol w:w="109"/>
        <w:gridCol w:w="109"/>
        <w:gridCol w:w="109"/>
        <w:gridCol w:w="109"/>
        <w:gridCol w:w="196"/>
        <w:gridCol w:w="805"/>
        <w:gridCol w:w="109"/>
        <w:gridCol w:w="109"/>
        <w:gridCol w:w="109"/>
        <w:gridCol w:w="109"/>
        <w:gridCol w:w="196"/>
        <w:gridCol w:w="736"/>
        <w:gridCol w:w="155"/>
      </w:tblGrid>
      <w:tr>
        <w:trPr/>
        <w:tc>
          <w:tcPr>
            <w:tcW w:w="2228"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Full-cost ceiling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asset sales and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(679,395)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(192,035)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(903,976)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enter into or amend credit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cash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15)</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4" name="Frame1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2021, 2020 and 2019 </w:t>
      </w:r>
    </w:p>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NOTE 1 — NATURE OF OPERATIONS </w:t>
      </w:r>
    </w:p>
    <w:p>
      <w:pPr>
        <w:pStyle w:val="TextBody"/>
        <w:spacing w:lineRule="auto" w:line="288" w:before="6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(collectively with its subsidiaries, “San Mateo”), in support of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6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Basis of Presentation</w:t>
      </w:r>
    </w:p>
    <w:p>
      <w:pPr>
        <w:pStyle w:val="TextBody"/>
        <w:spacing w:lineRule="auto" w:line="288" w:before="120" w:after="283"/>
        <w:ind w:left="0" w:right="0" w:firstLine="495"/>
        <w:rPr/>
      </w:pPr>
      <w:r>
        <w:rPr>
          <w:rFonts w:ascii="Times New Roman;sans-serif" w:hAnsi="Times New Roman;sans-serif"/>
          <w:b w:val="false"/>
          <w:color w:val="000000"/>
          <w:sz w:val="20"/>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The Company proportionately consolidates certain joint ventures that are less-than-wholly-owned and are involved in oil and natural gas exploration. All intercompany balances and transactions have been eliminated in consolidation.</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Use of Estimates</w:t>
      </w:r>
    </w:p>
    <w:p>
      <w:pPr>
        <w:pStyle w:val="TextBody"/>
        <w:spacing w:lineRule="auto" w:line="288" w:before="6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pStyle w:val="TextBody"/>
        <w:spacing w:lineRule="auto" w:line="288" w:before="120" w:after="6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Cash</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sells its operated oil, natural gas and natural gas liquid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San Mateo’s customers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5" name="Frame1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three significant purchasers accounted for 72% of the Company’s total oil, natural gas and NGL revenues: Plains Marketing, L.P. (29%), Exxon Mobil Corporation (33%) and BP America Production Company (10%). For the year ended December 31, 2020, two significant purchasers accounted for 65% of the Company’s total oil, natural gas and NGL revenues: Plains Marketing, L.P. (57%) and Exxon Mobil Corporation (8%). For the year ended December 31, 2019, two significant purchasers accounted for 67% of the Company’s total oil, natural gas and NGL revenues: Plains Marketing, L.P. (53%) and BP America Production Company (14%). If the Company lost one or more of these significant purchasers and were unable to sell its production to other purchasers on terms it considers acceptable, it could materially and adversely affect the Company’s business, financial condition, results of operations and cash flows. At December 31, 2021, 2020 and 2019, approximately 39%, 35% and 31%, respectively, of the Company’s accounts receivable, including joint interest billings, related to these purchasers.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 and Well Equipment Inventory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Lease and well equipment inventory is stated at the lower of cost or market and consists entirely of materials or equipment scheduled for use in future well or midstream operations.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Oil and Natural Gas Properties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$38.4 million, $30.0 million and $31.1 million of its general and administrative costs into oil and natural gas properties in 2021, 2020 and 2019, respectively. The Company capitalized $4.8 million, $5.0 million and $7.6 million of its interest expense into oil and natural gas properties for the years ended December 31, 2021, 2020 and 2019, respectively.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Capitalized costs of oil and natural gas properties are amortized using the unit-of-production method based upon production and estimates of proved reserves quantities. For the years ended December 31, 2021, 2020 and 2019, the Company recorded depletion expense of $310.1 million, $334.8 million and $330.7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Ceiling Test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net capitalized costs of oil and natural gas properties are limited to the lower of unamortized costs less related deferred income taxes or the cost center “ceiling.” The cost center ceiling is defined as the sum of:</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present value, discounted at 10%, of future net revenues of proved oil and natural gas reserves, reduced by the estimated costs of developing these reserves, plus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 unproved and unevaluated property costs not being amortized, plus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6" name="Frame1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 the lower of cost or estimated fair value of unproved and unevaluated properties included in the costs being amortized, if any, less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 any income tax effects related to the properties involved.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2021, these average oil and natural gas prices were $63.04 per Bbl and $3.60 per MMBtu, respectively. For the period from January through December 2020, these average oil and natural gas prices were $36.04 per Bbl and $1.99 per MMBtu, respectively. For the period from January through December 2019, these average oil and natural gas prices were $52.19 per Bbl and $2.58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and 2019, the Company’s full-cost ceiling exceeded the net capitalized costs less related deferred income taxes. As a result, the Company recorded no impairment to its net capitalized costs during the years ended December 31, 2021 and 2019.</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the Company’s net capitalized costs less related deferred income taxes exceeded the full-cost ceiling. As a result, the Company recorded an impairment charge of $684.7 million, exclusive of tax effect, to its consolidated statement of operations for the year ended December 31, 2020 with the related deferred income tax benefit recorded net of a valuation allowance (see Note 8).</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non-cash item, the full-cost ceiling impairment impacts the accumulated depletion and the net carrying value of the Company’s assets on its consolidated balance sheets, as well as the corresponding shareholders’ equity, but it has no impact on the Company’s net cash flows as reported. Changes in oil and natural gas production rates, oil and natural gas prices, reserves estimates, future development costs and other factors will determine the Company’s actual ceiling test computation and impairment analyses in future periods.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Midstream Properties and Other Property and Equipment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Midstream properties and other property and equipment are recorded at historical cost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$1.3 million, $1.8 million and $1.8 million of general and administrative costs into midstream properties in 2021, 2020 and 2019, respectively. The Company did not capitalize any interest expense into midstream properties for the year ended December 31, 2021. The Company capitalized $0.5 million and $0.9 million of interest expense into midstream properties for the years ended December 31, 2020 and 2019. Maintenance and repair costs that do not extend the useful life of the property or equipment are expensed as incurred. See Note 3 for a detail of midstream properties and other property and equipment.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7" name="Frame1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Gains and losses associated with the disposition of midstream properties and other property and equipment are recognized as a component of other income (expense) in the consolidated statements of operations.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Asset Retirement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operations.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operations.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operations. See Note 12 for additional information about the Company’s derivative instruments.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8" name="Frame1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rPr/>
      </w:pPr>
      <w:r>
        <w:rPr>
          <w:rFonts w:ascii="Times New Roman;sans-serif" w:hAnsi="Times New Roman;sans-serif"/>
          <w:b w:val="false"/>
          <w:color w:val="000000"/>
          <w:sz w:val="20"/>
        </w:rPr>
        <w:t xml:space="preserve">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w:t>
      </w:r>
      <w:r>
        <w:rPr>
          <w:rFonts w:ascii="Times New Roman;sans-serif" w:hAnsi="Times New Roman;sans-serif"/>
          <w:b w:val="false"/>
          <w:i/>
          <w:color w:val="000000"/>
          <w:sz w:val="20"/>
        </w:rPr>
        <w:t>Revenue from Contracts with Customers (Topic 606)</w:t>
      </w:r>
      <w:r>
        <w:rPr>
          <w:color w:val="000000"/>
        </w:rPr>
        <w:t xml:space="preserve"> </w:t>
      </w:r>
      <w:r>
        <w:rPr>
          <w:rFonts w:ascii="Times New Roman;sans-serif" w:hAnsi="Times New Roman;sans-serif"/>
          <w:b w:val="false"/>
          <w:color w:val="000000"/>
          <w:sz w:val="20"/>
        </w:rPr>
        <w:t>(“ASC 606”) that allows recognition of revenue in the amount for which there is a right to invoice the customer without estimating a transaction price for each contract and allocating that transaction price to the performance obligations within each contract.</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enters into natural gas purchase transactions with third parties whereby the Company (i) purchases the third party’s natural gas and subsequently sells the natural gas to other purchasers or (ii) processes the third party’s natural gas at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operations as the Company acts as a principal in the transactions by assuming the risk and rewards of ownership, including credit risk, of the natural gas purchased and by assuming the responsibility to deliver and process the natural gas volumes to be sold.</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years ended December 31, 2021, 2020 and 2019 (in thousands).</w:t>
      </w:r>
    </w:p>
    <w:tbl>
      <w:tblPr>
        <w:tblW w:w="7812" w:type="dxa"/>
        <w:jc w:val="center"/>
        <w:tblInd w:w="0" w:type="dxa"/>
        <w:tblCellMar>
          <w:top w:w="28" w:type="dxa"/>
          <w:left w:w="28" w:type="dxa"/>
          <w:bottom w:w="28" w:type="dxa"/>
          <w:right w:w="28" w:type="dxa"/>
        </w:tblCellMar>
      </w:tblPr>
      <w:tblGrid>
        <w:gridCol w:w="1222"/>
        <w:gridCol w:w="1073"/>
        <w:gridCol w:w="1080"/>
        <w:gridCol w:w="211"/>
        <w:gridCol w:w="976"/>
        <w:gridCol w:w="109"/>
        <w:gridCol w:w="109"/>
        <w:gridCol w:w="109"/>
        <w:gridCol w:w="109"/>
        <w:gridCol w:w="211"/>
        <w:gridCol w:w="826"/>
        <w:gridCol w:w="109"/>
        <w:gridCol w:w="109"/>
        <w:gridCol w:w="109"/>
        <w:gridCol w:w="109"/>
        <w:gridCol w:w="211"/>
        <w:gridCol w:w="976"/>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 mineral acreage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tbl>
      <w:tblPr>
        <w:tblW w:w="8216" w:type="dxa"/>
        <w:jc w:val="center"/>
        <w:tblInd w:w="0" w:type="dxa"/>
        <w:tblCellMar>
          <w:top w:w="28" w:type="dxa"/>
          <w:left w:w="28" w:type="dxa"/>
          <w:bottom w:w="28" w:type="dxa"/>
          <w:right w:w="28" w:type="dxa"/>
        </w:tblCellMar>
      </w:tblPr>
      <w:tblGrid>
        <w:gridCol w:w="1368"/>
        <w:gridCol w:w="1204"/>
        <w:gridCol w:w="1207"/>
        <w:gridCol w:w="211"/>
        <w:gridCol w:w="976"/>
        <w:gridCol w:w="109"/>
        <w:gridCol w:w="109"/>
        <w:gridCol w:w="109"/>
        <w:gridCol w:w="109"/>
        <w:gridCol w:w="211"/>
        <w:gridCol w:w="826"/>
        <w:gridCol w:w="109"/>
        <w:gridCol w:w="109"/>
        <w:gridCol w:w="109"/>
        <w:gridCol w:w="109"/>
        <w:gridCol w:w="211"/>
        <w:gridCol w:w="976"/>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equity-based and liability-based common stock, stock options, restricted stock, restricted stock units, performance stock units and other awards permitted under any long-term incentive plan of the Company then in effect to members of its Board of Directors and certain employees, contractors and advisors. All equity-based awards are measured at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9" name="Frame1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fair value on the date of grant and are recognized on a straight-line basis over the awards’ vesting periods as either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operations or capitalized in accordance with the Company’s policy on capitalizing general and administrative expenses for employees involved in acquisition, exploration and development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 Scholes Merton option pricing model to measure the fair value of stock options and the Monte Carlo simulation method to measure the fair value of performance units. The closing price of Matador’s common stock on the grant date is used to measure the fair value of restricted stock and restricted stock unit awards granted under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operations for the years ended December 31, 2021, 2020 and 2019 include a stock-based compensation (non-cash) expense of $9.0 million, $13.6 million and $18.5 million, respectively. This stock-based compensation expense includes common stock issuances and restricted stock units expense totaling $0.9 million, $1.0 million and $1.4 million for the years ended December 31, 2021, 2020 and 2019, respectively, paid to independent members of the Board of Directors and advisors as compensation for their services to the Company. The Company’s consolidated statement of operations for the years ended December 31, 2021, 2020 and 2019 also includes $20.4 million, $4.0 million and $3.2 million, respectively, related to liability-based awards expected to be settled in cash.</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of an uncertain tax position only if it is more likely than not that the tax position will be sustained upon examination by the taxing authorities based on the technical merits of the position. For tax positions meeting the more likely than not threshold, the amount recognized in the financial statements is the benefit that has a greater than 50% likelihood of being realized upon ultimate settlement with the relevant tax authority. At December 31, 2021, 2020 and 2019, the Company had not established any reserves for, nor recorded any unrecognized tax benefits related to, uncertain tax positions.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necessary, the Company would include interest assessed by taxing authorities in “Interest expense” and penalties related to income taxes in “Other expense” on its consolidated statements of operations. The Company did not record any interest or penalties related to income taxes for the years ended December 31, 2021, 2020 and 2019.</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Purchase Price in Business Combinations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part of the Company’s business strategy, it periodically pursues the acquisition of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20" name="Frame1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are reconciliations of the numerators and denominators used to compute the Company’s basic and diluted earnings per common share as reported for the years ended December 31, 2021, 2020 and 2019 (in thousands, except per share data).</w:t>
      </w:r>
    </w:p>
    <w:tbl>
      <w:tblPr>
        <w:tblW w:w="10205" w:type="dxa"/>
        <w:jc w:val="left"/>
        <w:tblInd w:w="0" w:type="dxa"/>
        <w:tblCellMar>
          <w:top w:w="28" w:type="dxa"/>
          <w:left w:w="28" w:type="dxa"/>
          <w:bottom w:w="28" w:type="dxa"/>
          <w:right w:w="28" w:type="dxa"/>
        </w:tblCellMar>
      </w:tblPr>
      <w:tblGrid>
        <w:gridCol w:w="2137"/>
        <w:gridCol w:w="1820"/>
        <w:gridCol w:w="1830"/>
        <w:gridCol w:w="109"/>
        <w:gridCol w:w="109"/>
        <w:gridCol w:w="109"/>
        <w:gridCol w:w="211"/>
        <w:gridCol w:w="826"/>
        <w:gridCol w:w="109"/>
        <w:gridCol w:w="109"/>
        <w:gridCol w:w="109"/>
        <w:gridCol w:w="109"/>
        <w:gridCol w:w="211"/>
        <w:gridCol w:w="883"/>
        <w:gridCol w:w="109"/>
        <w:gridCol w:w="109"/>
        <w:gridCol w:w="109"/>
        <w:gridCol w:w="109"/>
        <w:gridCol w:w="211"/>
        <w:gridCol w:w="721"/>
        <w:gridCol w:w="156"/>
      </w:tblGrid>
      <w:tr>
        <w:trPr/>
        <w:tc>
          <w:tcPr>
            <w:tcW w:w="2137"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Matador Resources Company shareholders — 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5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denominator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total of 2.5 million and 2.6 million options to purchase shares of Matador’s common stock were excluded from the diluted weighted average common shares outstanding for the years ended December 31, 2020 and 2019, respectively, because their effects were anti-dilutive. Additionally, 0.7 million restricted shares, which are participating securities, were excluded from the calculations above for the year ended December 31, 2020 as the security holders do not have the obligation to share in the losses of the Company.</w:t>
      </w:r>
    </w:p>
    <w:p>
      <w:pPr>
        <w:pStyle w:val="TextBody"/>
        <w:spacing w:lineRule="auto" w:line="288" w:before="120" w:after="283"/>
        <w:rPr/>
      </w:pPr>
      <w:r>
        <w:rPr>
          <w:color w:val="000000"/>
        </w:rPr>
        <w:t> </w:t>
      </w:r>
      <w:r>
        <w:rPr>
          <w:rFonts w:ascii="Times New Roman;sans-serif" w:hAnsi="Times New Roman;sans-serif"/>
          <w:b w:val="false"/>
          <w:i/>
          <w:color w:val="000000"/>
          <w:sz w:val="20"/>
          <w:u w:val="single"/>
        </w:rPr>
        <w:t>Credit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2021 were with The Bank of Nova Scotia, BMO Harris Financing, Inc. (Bank of Montreal), PNC Bank and Royal Bank of Canada (or affiliates thereof), and all but BMO Harris Financing, Inc. (Bank of Montreal) were parties that are lenders (or affiliates thereof) under the Company’s reserves-based revolving credit agreement.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1" name="Frame1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pPr>
      <w:r>
        <w:rPr>
          <w:rFonts w:ascii="Times New Roman;sans-serif" w:hAnsi="Times New Roman;sans-serif"/>
          <w:b/>
          <w:color w:val="000000"/>
          <w:sz w:val="20"/>
        </w:rPr>
        <w:t>December 31, 2021, 2020 and 2019</w:t>
      </w: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PROPERTY AND EQUIPMENT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Company’s property and equipment balances as of December 31, 2021 and 2020 (in thousands).</w:t>
      </w:r>
    </w:p>
    <w:tbl>
      <w:tblPr>
        <w:tblW w:w="7971" w:type="dxa"/>
        <w:jc w:val="left"/>
        <w:tblInd w:w="0" w:type="dxa"/>
        <w:tblCellMar>
          <w:top w:w="28" w:type="dxa"/>
          <w:left w:w="28" w:type="dxa"/>
          <w:bottom w:w="28" w:type="dxa"/>
          <w:right w:w="28" w:type="dxa"/>
        </w:tblCellMar>
      </w:tblPr>
      <w:tblGrid>
        <w:gridCol w:w="1695"/>
        <w:gridCol w:w="1487"/>
        <w:gridCol w:w="1498"/>
        <w:gridCol w:w="109"/>
        <w:gridCol w:w="109"/>
        <w:gridCol w:w="109"/>
        <w:gridCol w:w="211"/>
        <w:gridCol w:w="976"/>
        <w:gridCol w:w="109"/>
        <w:gridCol w:w="109"/>
        <w:gridCol w:w="109"/>
        <w:gridCol w:w="109"/>
        <w:gridCol w:w="211"/>
        <w:gridCol w:w="976"/>
        <w:gridCol w:w="154"/>
      </w:tblGrid>
      <w:tr>
        <w:trPr/>
        <w:tc>
          <w:tcPr>
            <w:tcW w:w="1695"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(subject to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 (not subject to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(3,623,265)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equipment and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midstream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rPr/>
      </w:pPr>
      <w:r>
        <w:rPr>
          <w:color w:val="000000"/>
        </w:rPr>
        <w:t> </w:t>
      </w:r>
      <w:r>
        <w:rPr>
          <w:rFonts w:ascii="Times New Roman;sans-serif" w:hAnsi="Times New Roman;sans-serif"/>
          <w:b w:val="false"/>
          <w:color w:val="000000"/>
          <w:sz w:val="20"/>
        </w:rPr>
        <w:t>The following table provides a breakdown of the Company’s unproved and unevaluated property costs not subject to amortization as of December 31, 2021 and the year in which these costs were incurred (in thousands).</w:t>
      </w:r>
    </w:p>
    <w:tbl>
      <w:tblPr>
        <w:tblW w:w="10205" w:type="dxa"/>
        <w:jc w:val="left"/>
        <w:tblInd w:w="0" w:type="dxa"/>
        <w:tblCellMar>
          <w:top w:w="28" w:type="dxa"/>
          <w:left w:w="28" w:type="dxa"/>
          <w:bottom w:w="28" w:type="dxa"/>
          <w:right w:w="28" w:type="dxa"/>
        </w:tblCellMar>
      </w:tblPr>
      <w:tblGrid>
        <w:gridCol w:w="566"/>
        <w:gridCol w:w="435"/>
        <w:gridCol w:w="436"/>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28"/>
        <w:gridCol w:w="893"/>
        <w:gridCol w:w="117"/>
        <w:gridCol w:w="109"/>
        <w:gridCol w:w="109"/>
        <w:gridCol w:w="109"/>
        <w:gridCol w:w="211"/>
        <w:gridCol w:w="826"/>
        <w:gridCol w:w="157"/>
      </w:tblGrid>
      <w:tr>
        <w:trPr/>
        <w:tc>
          <w:tcPr>
            <w:tcW w:w="56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Description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 and 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for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287,666 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896,395 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wells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wells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964,714 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 incurred that remain in unproved and unevaluated property at December 31, 2021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$68.3 million at December 31, 2021. Of this total, $16.7 million was associated with exploration wells and $51.6 million was associated with development wells. The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2" name="Frame1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PROPERTY AND EQUIPMENT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Company anticipates that most of the $68.3 million associated with these wells in progress at December 31, 2021 will be transferred to the amortization base during 2022. Unproved and unevaluated property costs for exploration and development wells incurred in years prior to 2021 are costs related to the advanced preparation for wells that the Company intends to drill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4 — LEASES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2021 were 2.73% and 1.99%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supplemental consolidated statement of operations information related to lease expenses, on a gross basis, for the years ended December 31, 2021 and 2020, respectively (in thousands). Lease payments represent gross payments to vendors, which, for certain of the Company’s operating assets, are partially offset by amounts received from other working interest owners in the Company’s operated wells. </w:t>
      </w:r>
    </w:p>
    <w:tbl>
      <w:tblPr>
        <w:tblW w:w="5597" w:type="dxa"/>
        <w:jc w:val="center"/>
        <w:tblInd w:w="0" w:type="dxa"/>
        <w:tblCellMar>
          <w:top w:w="28" w:type="dxa"/>
          <w:left w:w="28" w:type="dxa"/>
          <w:bottom w:w="28" w:type="dxa"/>
          <w:right w:w="28" w:type="dxa"/>
        </w:tblCellMar>
      </w:tblPr>
      <w:tblGrid>
        <w:gridCol w:w="1059"/>
        <w:gridCol w:w="929"/>
        <w:gridCol w:w="937"/>
        <w:gridCol w:w="109"/>
        <w:gridCol w:w="109"/>
        <w:gridCol w:w="211"/>
        <w:gridCol w:w="721"/>
        <w:gridCol w:w="109"/>
        <w:gridCol w:w="109"/>
        <w:gridCol w:w="109"/>
        <w:gridCol w:w="109"/>
        <w:gridCol w:w="211"/>
        <w:gridCol w:w="721"/>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operating leases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short-term leases</w:t>
            </w:r>
            <w:r>
              <w:rPr>
                <w:rFonts w:ascii="Times New Roman;sans-serif" w:hAnsi="Times New Roman;sans-serif"/>
                <w:b w:val="false"/>
                <w:color w:val="000000"/>
                <w:sz w:val="13"/>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Does not include gross payments related to drilling rig leases of $31.9 million and $33.6 million for the years ended December 31, 2021 and 2020, respectively, that were capitalized and recorded in “Oil and natural gas properties, full-cost method” in the consolidated balance sheets at December 31, 2021 and 2020, respectively.</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    These costs are related to leases that are not recorded as right of use assets or lease liabilities in the consolidated balance sheets as they are short-term leases.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    Does not include gross payments related to short-term drilling rig leases and other equipment rentals of $61.7 million and $65.3 million for the years ended December 31, 2021 and 2020, respectively, that were capitalized and recorded in “Oil and natural gas properties, full-cost method” in the consolidated balance sheets at December 31, 2021 and 2020, respectively.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3" name="Frame1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LEASES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consolidated balance sheet information related to leases as of December 31, 2021 and 2020, respectively (in thousands).</w:t>
      </w:r>
    </w:p>
    <w:tbl>
      <w:tblPr>
        <w:tblW w:w="6110" w:type="dxa"/>
        <w:jc w:val="center"/>
        <w:tblInd w:w="0" w:type="dxa"/>
        <w:tblCellMar>
          <w:top w:w="28" w:type="dxa"/>
          <w:left w:w="28" w:type="dxa"/>
          <w:bottom w:w="28" w:type="dxa"/>
          <w:right w:w="28" w:type="dxa"/>
        </w:tblCellMar>
      </w:tblPr>
      <w:tblGrid>
        <w:gridCol w:w="1151"/>
        <w:gridCol w:w="1009"/>
        <w:gridCol w:w="1019"/>
        <w:gridCol w:w="109"/>
        <w:gridCol w:w="109"/>
        <w:gridCol w:w="109"/>
        <w:gridCol w:w="211"/>
        <w:gridCol w:w="796"/>
        <w:gridCol w:w="109"/>
        <w:gridCol w:w="109"/>
        <w:gridCol w:w="109"/>
        <w:gridCol w:w="109"/>
        <w:gridCol w:w="211"/>
        <w:gridCol w:w="796"/>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consolidated cash flow information related to lease payments for the year ended December 31, 2021 and 2020, respectively (in thousands).</w:t>
      </w:r>
    </w:p>
    <w:tbl>
      <w:tblPr>
        <w:tblW w:w="10205" w:type="dxa"/>
        <w:jc w:val="center"/>
        <w:tblInd w:w="0" w:type="dxa"/>
        <w:tblCellMar>
          <w:top w:w="28" w:type="dxa"/>
          <w:left w:w="28" w:type="dxa"/>
          <w:bottom w:w="28" w:type="dxa"/>
          <w:right w:w="28" w:type="dxa"/>
        </w:tblCellMar>
      </w:tblPr>
      <w:tblGrid>
        <w:gridCol w:w="2690"/>
        <w:gridCol w:w="2361"/>
        <w:gridCol w:w="2371"/>
        <w:gridCol w:w="109"/>
        <w:gridCol w:w="109"/>
        <w:gridCol w:w="109"/>
        <w:gridCol w:w="211"/>
        <w:gridCol w:w="721"/>
        <w:gridCol w:w="109"/>
        <w:gridCol w:w="109"/>
        <w:gridCol w:w="109"/>
        <w:gridCol w:w="109"/>
        <w:gridCol w:w="211"/>
        <w:gridCol w:w="721"/>
        <w:gridCol w:w="156"/>
      </w:tblGrid>
      <w:tr>
        <w:trPr/>
        <w:tc>
          <w:tcPr>
            <w:tcW w:w="2690"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related to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payments for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payments for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payments for financing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 entered into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maturities of lease liabilities at December 31, 2021 (in years).</w:t>
      </w:r>
    </w:p>
    <w:tbl>
      <w:tblPr>
        <w:tblW w:w="5845" w:type="dxa"/>
        <w:jc w:val="center"/>
        <w:tblInd w:w="0" w:type="dxa"/>
        <w:tblCellMar>
          <w:top w:w="28" w:type="dxa"/>
          <w:left w:w="28" w:type="dxa"/>
          <w:bottom w:w="28" w:type="dxa"/>
          <w:right w:w="28" w:type="dxa"/>
        </w:tblCellMar>
      </w:tblPr>
      <w:tblGrid>
        <w:gridCol w:w="1359"/>
        <w:gridCol w:w="1194"/>
        <w:gridCol w:w="1196"/>
        <w:gridCol w:w="109"/>
        <w:gridCol w:w="109"/>
        <w:gridCol w:w="109"/>
        <w:gridCol w:w="517"/>
        <w:gridCol w:w="517"/>
        <w:gridCol w:w="735"/>
      </w:tblGrid>
      <w:tr>
        <w:trPr/>
        <w:tc>
          <w:tcPr>
            <w:tcW w:w="135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4" name="Frame1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LEASES — Continued</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presents a schedule of future minimum lease payments required under all lease agreements as of December 31, 2021 (in thousands).</w:t>
      </w:r>
      <w:r>
        <w:rPr>
          <w:color w:val="000000"/>
        </w:rPr>
        <w:t> </w:t>
      </w:r>
    </w:p>
    <w:tbl>
      <w:tblPr>
        <w:tblW w:w="6262" w:type="dxa"/>
        <w:jc w:val="center"/>
        <w:tblInd w:w="0" w:type="dxa"/>
        <w:tblCellMar>
          <w:top w:w="28" w:type="dxa"/>
          <w:left w:w="28" w:type="dxa"/>
          <w:bottom w:w="28" w:type="dxa"/>
          <w:right w:w="28" w:type="dxa"/>
        </w:tblCellMar>
      </w:tblPr>
      <w:tblGrid>
        <w:gridCol w:w="868"/>
        <w:gridCol w:w="761"/>
        <w:gridCol w:w="771"/>
        <w:gridCol w:w="109"/>
        <w:gridCol w:w="109"/>
        <w:gridCol w:w="109"/>
        <w:gridCol w:w="322"/>
        <w:gridCol w:w="1101"/>
        <w:gridCol w:w="166"/>
        <w:gridCol w:w="109"/>
        <w:gridCol w:w="109"/>
        <w:gridCol w:w="109"/>
        <w:gridCol w:w="410"/>
        <w:gridCol w:w="908"/>
        <w:gridCol w:w="301"/>
      </w:tblGrid>
      <w:tr>
        <w:trPr/>
        <w:tc>
          <w:tcPr>
            <w:tcW w:w="86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5 — ASSET RETIREMENT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summarizes the changes in the Company’s asset retirement obligations for the years ended December 31, 2021 and 2020 (in thousands).</w:t>
      </w:r>
      <w:r>
        <w:rPr>
          <w:color w:val="000000"/>
        </w:rPr>
        <w:t> </w:t>
      </w:r>
    </w:p>
    <w:tbl>
      <w:tblPr>
        <w:tblW w:w="6381" w:type="dxa"/>
        <w:jc w:val="left"/>
        <w:tblInd w:w="0" w:type="dxa"/>
        <w:tblCellMar>
          <w:top w:w="28" w:type="dxa"/>
          <w:left w:w="28" w:type="dxa"/>
          <w:bottom w:w="28" w:type="dxa"/>
          <w:right w:w="28" w:type="dxa"/>
        </w:tblCellMar>
      </w:tblPr>
      <w:tblGrid>
        <w:gridCol w:w="1305"/>
        <w:gridCol w:w="1144"/>
        <w:gridCol w:w="1151"/>
        <w:gridCol w:w="109"/>
        <w:gridCol w:w="109"/>
        <w:gridCol w:w="109"/>
        <w:gridCol w:w="211"/>
        <w:gridCol w:w="721"/>
        <w:gridCol w:w="109"/>
        <w:gridCol w:w="109"/>
        <w:gridCol w:w="109"/>
        <w:gridCol w:w="109"/>
        <w:gridCol w:w="211"/>
        <w:gridCol w:w="721"/>
        <w:gridCol w:w="154"/>
      </w:tblGrid>
      <w:tr>
        <w:trPr/>
        <w:tc>
          <w:tcPr>
            <w:tcW w:w="1305"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consolidated balance sheets at December 31, 2021 and 2020.</w:t>
      </w:r>
    </w:p>
    <w:p>
      <w:pPr>
        <w:pStyle w:val="TextBody"/>
        <w:spacing w:before="120" w:after="283"/>
        <w:rPr/>
      </w:pPr>
      <w:r>
        <w:rPr/>
      </w:r>
    </w:p>
    <w:p>
      <w:pPr>
        <w:pStyle w:val="TextBody"/>
        <w:spacing w:before="120" w:after="283"/>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5" name="Frame1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Business Combination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December 14, 2021, the Company completed an acquisition of assets from a private operator. This acquisition was accounted for as a business combination in accordance with ASC Topic 805, which requires the assets acquired and liabilities assumed to be recorded at fair value as of the respective acquisition date. The Company obtained certain oil and natural gas producing properties and undeveloped acreage located in Lea and Eddy Counties, New Mexico, strategically located primarily within the Company’s existing acreage in its Ranger and Arrowhead asset areas.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consideration for the business combination, the Company paid approximately $161.7 million in cash and will pay an additional $6.5 million, net of customary working capital adjustments, including adjusting for production, revenues, operating expenses and capital expenditures from August 1, 2021 to closing. In addition, the Company will increase the purchase price by $5.0 million for each quarter during 2022 in which the average oil price, as defined in the purchase and sale agreement, is greater than $75.00 per barrel. The Company recorded this contingent consideration at fair value on the date of the business combination and will record the change in the fair value in future periods as “Other income (expense)” in its consolidated statements of operations. The fair value of the contingent consideration increased between December 14, 2021 and December 31, 2021 by $1.5 million, which was recorded as “Other expense” for the year ended December 31, 2021. The Company used the Monte Carlo simulation method to measure the fair value of the contingent consideration, which has unobservable inputs and is thus classified at Level 3 in the fair value hierarchy (see Note 13 for discussion of the fair value hierarchy).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acquired oil and natural gas production of approximately 3,500 BOE per day at the date of acquisition, which increased the Company’s revenues and net income for the period from December 15, 2021 through December 31, 2021 by $4.0 million and $3.2 million, respectively. The pro forma impact of this business combination to revenues and net income for the remainder of 2021 would not be material to the Company’s 2021 revenues and net income as reported.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consideration given related to this business combination was as follows (in thousands). The Company anticipates that the allocation of the consideration given should be finalized during 2022 upon determination of the final customary purchase price adjustments.</w:t>
      </w:r>
    </w:p>
    <w:p>
      <w:pPr>
        <w:pStyle w:val="TextBody"/>
        <w:spacing w:before="120" w:after="283"/>
        <w:ind w:left="0" w:right="0" w:firstLine="720"/>
        <w:rPr/>
      </w:pPr>
      <w:r>
        <w:rPr/>
      </w:r>
    </w:p>
    <w:tbl>
      <w:tblPr>
        <w:tblW w:w="6371" w:type="dxa"/>
        <w:jc w:val="left"/>
        <w:tblInd w:w="0" w:type="dxa"/>
        <w:tblCellMar>
          <w:top w:w="28" w:type="dxa"/>
          <w:left w:w="28" w:type="dxa"/>
          <w:bottom w:w="28" w:type="dxa"/>
          <w:right w:w="28" w:type="dxa"/>
        </w:tblCellMar>
      </w:tblPr>
      <w:tblGrid>
        <w:gridCol w:w="1899"/>
        <w:gridCol w:w="1668"/>
        <w:gridCol w:w="1673"/>
        <w:gridCol w:w="330"/>
        <w:gridCol w:w="330"/>
        <w:gridCol w:w="471"/>
      </w:tblGrid>
      <w:tr>
        <w:trPr/>
        <w:tc>
          <w:tcPr>
            <w:tcW w:w="1899"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Consideration given</w:t>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5240" w:type="dxa"/>
            <w:gridSpan w:val="3"/>
            <w:tcBorders/>
            <w:shd w:fill="CCEDFF" w:val="clear"/>
            <w:tcMar>
              <w:top w:w="0" w:type="dxa"/>
              <w:left w:w="0" w:type="dxa"/>
              <w:bottom w:w="0" w:type="dxa"/>
              <w:right w:w="0" w:type="dxa"/>
            </w:tcMar>
            <w:vAlign w:val="center"/>
          </w:tcPr>
          <w:p>
            <w:pPr>
              <w:pStyle w:val="TableContents"/>
              <w:spacing w:lineRule="auto" w:line="268"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131"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68" w:before="0" w:after="283"/>
              <w:ind w:left="0" w:right="0" w:firstLine="200"/>
              <w:jc w:val="right"/>
              <w:rPr>
                <w:rFonts w:ascii="Times New Roman;sans-serif" w:hAnsi="Times New Roman;sans-serif"/>
                <w:b w:val="false"/>
                <w:color w:val="000000"/>
                <w:sz w:val="20"/>
              </w:rPr>
            </w:pPr>
            <w:r>
              <w:rPr>
                <w:rFonts w:ascii="Times New Roman;sans-serif" w:hAnsi="Times New Roman;sans-serif"/>
                <w:b w:val="false"/>
                <w:color w:val="000000"/>
                <w:sz w:val="20"/>
              </w:rPr>
              <w:t>$161,680</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adjustments to be paid in 2022</w:t>
            </w:r>
          </w:p>
        </w:tc>
        <w:tc>
          <w:tcPr>
            <w:tcW w:w="113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r>
      <w:tr>
        <w:trPr/>
        <w:tc>
          <w:tcPr>
            <w:tcW w:w="524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at December 14, 2021</w:t>
            </w:r>
          </w:p>
        </w:tc>
        <w:tc>
          <w:tcPr>
            <w:tcW w:w="113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28" w:before="0" w:after="0"/>
              <w:ind w:left="0" w:right="0" w:firstLine="350"/>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given</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$174,898</w:t>
            </w:r>
          </w:p>
        </w:tc>
      </w:tr>
      <w:tr>
        <w:trPr/>
        <w:tc>
          <w:tcPr>
            <w:tcW w:w="5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1" w:type="dxa"/>
            <w:gridSpan w:val="6"/>
            <w:tcBorders/>
            <w:shd w:fill="CCEEFF" w:val="clear"/>
            <w:tcMar>
              <w:top w:w="0" w:type="dxa"/>
              <w:left w:w="0" w:type="dxa"/>
              <w:bottom w:w="0" w:type="dxa"/>
              <w:right w:w="0" w:type="dxa"/>
            </w:tcMar>
            <w:vAlign w:val="center"/>
          </w:tcPr>
          <w:p>
            <w:pPr>
              <w:pStyle w:val="TableContents"/>
              <w:spacing w:lineRule="auto" w:line="268" w:before="0" w:after="0"/>
              <w:ind w:left="0" w:right="0" w:firstLine="50"/>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3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w:t>
            </w:r>
          </w:p>
        </w:tc>
        <w:tc>
          <w:tcPr>
            <w:tcW w:w="113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$139,312</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350"/>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13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43,204</w:t>
            </w:r>
          </w:p>
        </w:tc>
      </w:tr>
      <w:tr>
        <w:trPr/>
        <w:tc>
          <w:tcPr>
            <w:tcW w:w="524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31" w:type="dxa"/>
            <w:gridSpan w:val="3"/>
            <w:tcBorders/>
            <w:shd w:fill="CCEEFF" w:val="clear"/>
            <w:tcMar>
              <w:top w:w="0" w:type="dxa"/>
              <w:left w:w="0" w:type="dxa"/>
              <w:bottom w:w="0" w:type="dxa"/>
              <w:right w:w="0" w:type="dxa"/>
            </w:tcMar>
            <w:vAlign w:val="center"/>
          </w:tcPr>
          <w:p>
            <w:pPr>
              <w:pStyle w:val="TableContents"/>
              <w:spacing w:lineRule="auto" w:line="268" w:before="0" w:after="283"/>
              <w:ind w:left="0" w:right="0" w:firstLine="200"/>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joint interest owners</w:t>
            </w:r>
          </w:p>
        </w:tc>
        <w:tc>
          <w:tcPr>
            <w:tcW w:w="113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w:t>
            </w:r>
          </w:p>
        </w:tc>
      </w:tr>
      <w:tr>
        <w:trPr/>
        <w:tc>
          <w:tcPr>
            <w:tcW w:w="524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3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r>
      <w:tr>
        <w:trPr/>
        <w:tc>
          <w:tcPr>
            <w:tcW w:w="5240"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35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131"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$174,898</w:t>
            </w:r>
          </w:p>
        </w:tc>
      </w:tr>
    </w:tbl>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Joint Ventures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Company owned 51% of San Mateo, a midstream joint venture with a subsidiary of Five Point Energy LLC (“Five Point”) in portions of Eddy County, New Mexico and Loving County, Texas. At December 31, 2021, Five Point owned the remaining 49% of San Mateo. The midstream assets include (i) the Black River Processing Plant, (ii) 14 salt water disposal wells and associated commercial salt water disposal facilities and (iii) approximately 370 miles of oil gathering and transportation pipelines, natural gas gathering pipelines and produced water pipelines. The Company operates San Mateo, and San Mateo is consolidated in the Company’s financial statements, with Five Point’s interest being accounted for as a non-controlling interest.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6" name="Frame1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part of the joint venture agreement with Five Point, the Company had the potential to earn two different sets of performance incentives. These performance incentives are recorded as additional contributions related to the formation of San Mateo as they are received. Beginning in 2017, the Company had the potential to earn up to $73.5 million in performance incentives related to the Company’s performance in its Rustler Breaks asset area in Eddy County and its Wolf asset area in Loving County over a five-year period, which in October 2020 was extended by an additional year to January 31, 2023. At December 31, 2021, the Company had earned $58.8 million of the potential $73.5 million in performance incentives and Five Point had paid $14.7 million in performance incentives in each of the first quarters of 2018, 2019, 2020 and 2021. The Company may earn up to the remaining $14.7 million in performance incentives until January 31, 2023. Beginning in 2019, the Company had the potential to earn up to $150.0 million in additional deferred performance incentives in its Stebbins area and surrounding leaseholds in the southern portion of its Arrowhead asset area (the “Greater Stebbins Area”) and Stateline asset area over the next several years, plus additional performance incentives for securing volumes from third-party customers. During the year ended December 31, 2021, Five Point paid $33.9 million in these additional performance incentives.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and Wolf asset areas and acreage in the Greater Stebbins Area and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the Stateline asset area pursuant to 15-year, fixed-fee natural gas processing agreements (see Note 14).</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and 2020, San Mateo distributed $64.5 million and $47.4 million, respectively, to the Company and $62.0 million and $45.6 million, respectively, to Five Point. During the year ended December 31, 2021, neither the Company nor Five Point contributed cash to San Mateo. During the year ended December 31, 2020, the Company contributed $75.0 million and Five Point contributed $119.7 million of cash to San Mateo, of which $23.1 million was paid to carry Matador’s proportionate interest in San Mateo Midstream II, LLC (“San Mateo II”). Five Point agreed to carry a portion of Matador’s proportionate interest as part of the formation agreement for San Mateo II. The amount that Five Point paid to carry Matador’s proportionate interest in San Mateo was recorded in “Additional paid-in capital” in the Company’s consolidated balance sheets at December 31, 2020, net of the $4.8 million deferred tax impact to Matador related to this equity contribution. During the year ended December 31, 2019, the Company contributed $24.2 million and Five Point contributed $77.3 million of cash to San Mateo, of which $28.4 million was paid to carry Matador’s proportionate interest in San Mateo II and was recorded in “Additional paid-in capital” in the consolidated balance sheet, net of the $5.9 million deferred tax impact to Matador related to this equity contribution. In the first quarter of 2019, the Company also contributed $1.0 million of property to San Mateo II. San Mateo II was merged with and into San Mateo effective October 1, 2020. </w:t>
      </w:r>
    </w:p>
    <w:p>
      <w:pPr>
        <w:pStyle w:val="TextBody"/>
        <w:spacing w:lineRule="auto" w:line="288" w:before="120" w:after="283"/>
        <w:rPr/>
      </w:pPr>
      <w:r>
        <w:rPr>
          <w:rFonts w:ascii="Times New Roman;sans-serif" w:hAnsi="Times New Roman;sans-serif"/>
          <w:b w:val="false"/>
          <w:i/>
          <w:color w:val="000000"/>
          <w:sz w:val="20"/>
          <w:u w:val="single"/>
        </w:rPr>
        <w:t>Divestitures</w:t>
      </w:r>
      <w:r>
        <w:rPr>
          <w:color w:val="000000"/>
        </w:rPr>
        <w:t>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2021 and 2020, the Company converted approximately $4.2 million and $4.8 million, respectively, of non-core assets to cash. These properties were primarily located in South Texas and Northwest Louisiana.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00"/>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spacing w:lineRule="auto" w:line="288" w:before="120" w:after="10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Company had (i) $1.05 billion of outstanding senior notes due 2026, (ii) $100.0 million in borrowings outstanding under its reserves-based revolving credit facility, (iii) approximately $45.8 million in outstanding letters of credit issued pursuant to its revolving credit facility and (iv) $7.5 million outstanding under an unsecured U.S. Small Business Administration loan. </w:t>
      </w:r>
    </w:p>
    <w:p>
      <w:pPr>
        <w:pStyle w:val="TextBody"/>
        <w:spacing w:lineRule="auto" w:line="288" w:before="120" w:after="10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San Mateo had $385.0 million in borrowings outstanding under its revolving credit facility and approximately $9.0 million in outstanding letters of credit issued pursuant to its revolving credit facility.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2021, the Company entered into its Fourth Amended and Restated credit facility with the lenders party thereto, led by Royal Bank of Canada (“RBC”) as administrative agent (the “Credit Agreement”). MRC Energy Company (“MRC”), a subsidiary of Matador that directly or indirectly holds the ownership interests in the Company’s other operating subsidiaries, other than its less-than-wholly-owned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and its subsidiaries are not guarantors of the Credit Agreement. In addition, all obligations under the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1945"/>
                <wp:effectExtent l="0" t="0" r="0" b="0"/>
                <wp:wrapNone/>
                <wp:docPr id="127" name="Frame1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Credit Agreement are guaranteed by Matador, the parent corporation. Various commodity hedging agreements with certain of the lenders under the Credit Agreement (or affiliates thereof) are also secured by the collateral of and guaranteed by certain eligible subsidiaries of MRC. The Credit Agreement matures on October 31, 2026 or, if earlier, the date that is 180 days prior to the earliest stated redemption date of any senior notes of the Company with an outstanding principal balance in excess of $25.0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lenders completed their review of the Company’s proved oil and natural gas reserves, and, as a result, the borrowing base was increased from $900.0 million to $1.35 billion. The Company elected to keep the borrowing commitment at $700.0 million, and the maximum facility amount remained $1.5 billion. Borrowings under the Credit Agreement are limited to the lowest of the borrowing base, the maximum facility amount and the elected borrowing commitment (subject to compliance with the covenants noted below).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event of an increase in the elected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Total deferred loan costs were $3.9 million at December 31, 2021, and these costs are being amortized over the term of the Credit Agreement. The Company’s effective interest rate under the Credit Agreement was 1.85% at December 31, 2021. At December 31, 2021, the Company had $100.0 million in borrowings outstanding under the Credit Agreement and approximately $45.8 million in outstanding letters of credit issued pursuant to the Credit Agreement. Between December 31, 2021 and February 28, 2022, the Company repaid $25.0 million of borrowings outstanding under the Credit Agreement.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may be in the form of a base rate loan or a Eurodollar loan. If MRC borrows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 plus, in each case, an amount ranging from 0.75% to 1.75% per annum depending on the level of borrowings under the Credit Agreement. If MRC borrows funds as a Eurodollar loan, such borrowings will bear interest at a rate equal to (x) the LIBOR Rate (as defined in the Credit Agreement) plus (y) an amount ranging from 1.75% to 2.75% per annum depending on the level of borrowings under the Credit Agreement. The interest period for Eurodollar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of 0.375% to 0.50% per annum,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 million of cash or cash equivalents) divided by a rolling four quarter EBITDA calculation, of 3.50 to 1.0 or less.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Credit Agreement contains various covenants that limit MRC’s and its Restricted Subsidiaries’ (as defined in the Credit Agreement) ability to take certain actions, including, but not limited to,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incur indebtedness or grant liens on any of its assets;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enter into commodity hedging agreements or interest rate agreements;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declare or pay dividends, distributions or redemptions;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merge or consolidate;</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28" name="Frame1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any loans or investments;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engage in transactions with affiliates;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engage in certain asset dispositions, including a sale of all or substantially all of MRC’s assets;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take certain actions with respect to the Company’s senior unsecured notes.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Credit Agreement, the lenders will be able to accelerate the maturity of the borrowings and exercise other rights and remedies. Events of default include, but are not limited to, the following events: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pay any principal on the outstanding borrowings when due or any interest on the outstanding borrowings, any reimbursement obligation under any letter of credit or any fees or other amounts within certain grace periods;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perform or otherwise comply with the covenants and obligations in the Credit Agreement or other loan documents, subject, in certain instances, to certain grace periods;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bankruptcy or insolvency events involving the Company or any of the Restricted Subsidiaries;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change of control, as defined in the Credit Agreement.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was in compliance with the terms of the Credit Agreement at December 31, 2021.</w:t>
      </w:r>
    </w:p>
    <w:p>
      <w:pPr>
        <w:pStyle w:val="TextBody"/>
        <w:spacing w:lineRule="auto" w:line="417"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2018, San Mateo entered into a $250.0 million credit facility with the lenders party thereto, currently led by Truist Bank as administrative agent (the “San Mateo Credit Facility”). The San Mateo Credit Facility matures December 19, 2023 and was amended in June 2021 to increase the lender commitments under the revolving credit facility from $375.0 million to $450.0 million (subject to San Mateo’s compliance with the covenants noted below) and to increase the borrowing rate for a base rate loan or a Eurodollar loan under such facility by 0.50%. The San Mateo Credit Facility includes an accordion feature, which, after the aforementioned amendment, provides for potential increases in lender commitments to up to $700.0 million. The San Mateo Credit Facility is non-recourse with respect to Matador and its wholly-owned subsidiaries, but is guaranteed by San Mateo’s subsidiaries and secured by substantially all of San Mateo’s assets, including real property.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Total deferred loan costs were $1.9 million at December 31, 2021, and these costs are being amortized over the term of the San Mateo Credit Facility. San Mateo’s effective interest rate under the San Mateo Credit Facility was 2.11% at December 31, 2021. At December 31, 2021, San Mateo had $385.0 million in borrowings outstanding under the San Mateo Credit Facility and $9.0 million in outstanding letters of credit issued pursuant to the San Mateo Credit Facility. Between December 31, 2021 and February 22, 2022, San Mateo repaid $30.0 million of borrowings outstanding under the San Mateo Credit Facility.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1.00% to 2.00%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2.00% to 3.00%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of 0.30% to 0.50% per annum, depending on the unused availability under the San Mateo Credit Facility,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 The San Mateo Credit Facility also restricts the ability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29" name="Frame1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 San Mateo to distribute cash to its members if San Mateo’s liquidity is less than 10% of the lender commitments under the San Mateo Credit Facility.</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San Mateo Credit Facility contains various covenants that limit San Mateo’s and its restricted subsidiaries’ ability to take certain actions, including, but not limited to,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incur indebtedness or grant liens on any of San Mateo’s assets;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enter into hedging agreements;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declare or pay dividends, distributions or redemptions;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merge or consolidate;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any loans or investments;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engage in transactions with affiliates;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engage in certain asset dispositions, including a sale of all or substantially all of San Mateo’s assets;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issue equity interests in San Mateo or its subsidiaries.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San Mateo Credit Facility, the lenders will be able to accelerate the maturity of the borrowings and exercise other rights and remedies. Events of default include, but are not limited to, the following events: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pay any principal or interest on the outstanding borrowings or any reimbursement obligation under any letter of credit when due or any fees or other amounts within certain grace periods;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to perform or otherwise comply with the covenants and obligations in the San Mateo Credit Facility or other loan documents, subject, in certain instances, to certain grace periods;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bankruptcy or insolvency events involving San Mateo or its subsidiaries;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change of control, as defined in the San Mateo Credit Facility.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San Mateo was in compliance with the terms of the San Mateo Credit Facility at December 31, 2021.</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$1.05 billion of outstanding 5.875% senior notes due 2026 that were registered under the Securities Act and mature September 15, 2026 (the “Notes”). Interest is payable on the Notes semi-annually in arrears on each March 15 and September 15. The Notes are guaranteed on a senior unsecured basis by certain subsidiaries of the Company (the “Guarantors”). San Mateo and its subsidiaries are not Restricted Subsidiaries (as defined in the Indenture) or Guarantors of the Notes.</w:t>
      </w:r>
    </w:p>
    <w:p>
      <w:pPr>
        <w:pStyle w:val="TextBody"/>
        <w:spacing w:lineRule="auto" w:line="288" w:before="120" w:after="10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tbl>
      <w:tblPr>
        <w:tblW w:w="3685" w:type="dxa"/>
        <w:jc w:val="center"/>
        <w:tblInd w:w="0" w:type="dxa"/>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104.406%</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102.938%</w:t>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101.469%</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and 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Indenture contains various covenants that limit the Company’s ability to take certain actions, including, but not limited to,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incur additional indebtedness;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sell assets;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pay dividends or make certain investments;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30" name="Frame1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create liens that secure indebtedness;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enter into transactions with affiliates;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merge or consolidate with another company.</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default for 30 days in the payment when due of interest on the Notes;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default in the payment when due of the principal of, or premium, if any, on the Notes;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by the Company to comply with its obligations to offer to purchase or purchase Notes pursuant to the change of control or asset sale covenants of the Indenture or to comply with the covenant relating to mergers;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by the Company for 180 days after notice to comply with its reporting obligations under the Indenture;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failure by the Company for 60 days after notice to comply with any of the other agreements in the Indenture;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payment defaults and accelerations with respect to other indebtedness of the Company and its Restricted Subsidiaries in the aggregate principal amount of $50.0 million or more;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failure by the Company or any Restricted Subsidiary to pay certain final judgments aggregating in excess of $50.0 million within 60 days;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any subsidiary guarantee by a Guarantor ceases to be in full force and effect, is declared null and void in a judicial proceeding or is denied or disaffirmed by its maker;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of $100.0 million at December 31, 2021 under the Credit Agreement mature on October 31, 2026. The outstanding borrowings of $385.0 million at December 31, 2021 under the San Mateo Credit Facility mature on December 19, 2023. The $1.05 billion of outstanding Notes at December 31, 2021 mature on September 15, 2026.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31" name="Frame1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2020, 2019 and 2018</w:t>
      </w:r>
    </w:p>
    <w:p>
      <w:pPr>
        <w:pStyle w:val="TextBody"/>
        <w:spacing w:lineRule="auto" w:line="288" w:before="0" w:after="0"/>
        <w:rPr/>
      </w:pPr>
      <w:r>
        <w:rPr>
          <w:rFonts w:ascii="Times New Roman;sans-serif" w:hAnsi="Times New Roman;sans-serif"/>
          <w:b/>
          <w:color w:val="000000"/>
          <w:sz w:val="20"/>
        </w:rPr>
        <w:t>NOTE 8 — INCOME TAXES</w:t>
      </w:r>
      <w:r>
        <w:rPr>
          <w:color w:val="000000"/>
        </w:rPr>
        <w:t xml:space="preserve"> </w:t>
      </w:r>
    </w:p>
    <w:p>
      <w:pPr>
        <w:pStyle w:val="TextBody"/>
        <w:spacing w:before="100" w:after="283"/>
        <w:rPr/>
      </w:pPr>
      <w:r>
        <w:rPr/>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the result of temporary differences between the financial statement carrying values and the tax bases of assets and liabilities. The Company’s net deferred tax position as of December 31, 2021 and 2020 is as follows (in thousands).</w:t>
      </w:r>
    </w:p>
    <w:tbl>
      <w:tblPr>
        <w:tblW w:w="7311" w:type="dxa"/>
        <w:jc w:val="left"/>
        <w:tblInd w:w="0" w:type="dxa"/>
        <w:tblCellMar>
          <w:top w:w="28" w:type="dxa"/>
          <w:left w:w="28" w:type="dxa"/>
          <w:bottom w:w="28" w:type="dxa"/>
          <w:right w:w="28" w:type="dxa"/>
        </w:tblCellMar>
      </w:tblPr>
      <w:tblGrid>
        <w:gridCol w:w="1566"/>
        <w:gridCol w:w="1374"/>
        <w:gridCol w:w="1380"/>
        <w:gridCol w:w="109"/>
        <w:gridCol w:w="109"/>
        <w:gridCol w:w="109"/>
        <w:gridCol w:w="211"/>
        <w:gridCol w:w="826"/>
        <w:gridCol w:w="109"/>
        <w:gridCol w:w="109"/>
        <w:gridCol w:w="109"/>
        <w:gridCol w:w="109"/>
        <w:gridCol w:w="211"/>
        <w:gridCol w:w="826"/>
        <w:gridCol w:w="154"/>
      </w:tblGrid>
      <w:tr>
        <w:trPr/>
        <w:tc>
          <w:tcPr>
            <w:tcW w:w="1566"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depletion carryover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wholly-owned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 of 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Company had net operating loss carryforwards of $555.2 million for federal income tax purposes and $223.3 million for state income tax purposes available to offset future taxable income, as limited by the applicable provisions, and which expire at various dates beginning in 2027 for the federal net operating loss carryforwards. The state net operating loss carryforwards begin expiring at various dates beginning in 2024; however, the significant portion of the Company’s state net operating loss carryforwards expire beginning in 2027.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2020, the Company’s deferred tax assets exceeded its deferred tax liabilities due to the deferred tax assets generated by impairment charges recorded in 2020. As a result, the Company established a valuation allowance against most of the deferred tax assets beginning in the third quarter of 2020. The remaining net deferred tax asset at December 31, 2020 relates to state taxes, for which the deferred taxes were determined to be more likely than not to be utilized. Due to a variety of factors, including the Company’s significant net income in 2021, the Company’s federal valuation allowance was reversed as of September 30, 2021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pStyle w:val="TextBody"/>
        <w:spacing w:lineRule="auto" w:line="288" w:before="120" w:after="283"/>
        <w:ind w:left="0" w:right="0" w:firstLine="495"/>
        <w:rPr/>
      </w:pPr>
      <w:r>
        <w:rPr>
          <w:rFonts w:ascii="Times New Roman;sans-serif" w:hAnsi="Times New Roman;sans-serif"/>
          <w:b w:val="false"/>
          <w:color w:val="000000"/>
          <w:sz w:val="20"/>
        </w:rPr>
        <w:t>The current income tax provision and the deferred income tax provision for the years ended December 31, 2021, 2020 and 2019 were comprised of the following (in thousands).</w:t>
      </w:r>
      <w:r>
        <w:rPr>
          <w:color w:val="000000"/>
        </w:rPr>
        <w:t> </w:t>
      </w:r>
    </w:p>
    <w:tbl>
      <w:tblPr>
        <w:tblW w:w="7839" w:type="dxa"/>
        <w:jc w:val="left"/>
        <w:tblInd w:w="0" w:type="dxa"/>
        <w:tblCellMar>
          <w:top w:w="28" w:type="dxa"/>
          <w:left w:w="28" w:type="dxa"/>
          <w:bottom w:w="28" w:type="dxa"/>
          <w:right w:w="28" w:type="dxa"/>
        </w:tblCellMar>
      </w:tblPr>
      <w:tblGrid>
        <w:gridCol w:w="1308"/>
        <w:gridCol w:w="1152"/>
        <w:gridCol w:w="1155"/>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32" name="Frame1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INCOME TAXES — Continued</w:t>
      </w:r>
    </w:p>
    <w:p>
      <w:pPr>
        <w:pStyle w:val="TextBody"/>
        <w:spacing w:lineRule="auto" w:line="288" w:before="120" w:after="283"/>
        <w:ind w:left="0" w:right="0" w:firstLine="450"/>
        <w:rPr/>
      </w:pPr>
      <w:r>
        <w:rPr>
          <w:rFonts w:ascii="Times New Roman;sans-serif" w:hAnsi="Times New Roman;sans-serif"/>
          <w:b w:val="false"/>
          <w:color w:val="000000"/>
          <w:sz w:val="20"/>
        </w:rPr>
        <w:t>Reconciliations of the tax expense (benefit) computed at the statutory federal rate to the Company’s total income tax provision (benefit) for the years ended December 31, 2021, 2020 and 2019 is as follows (in thousands).</w:t>
      </w:r>
      <w:r>
        <w:rPr>
          <w:color w:val="000000"/>
        </w:rPr>
        <w:t> </w:t>
      </w:r>
    </w:p>
    <w:tbl>
      <w:tblPr>
        <w:tblW w:w="8363" w:type="dxa"/>
        <w:jc w:val="left"/>
        <w:tblInd w:w="0" w:type="dxa"/>
        <w:tblCellMar>
          <w:top w:w="28" w:type="dxa"/>
          <w:left w:w="28" w:type="dxa"/>
          <w:bottom w:w="28" w:type="dxa"/>
          <w:right w:w="28" w:type="dxa"/>
        </w:tblCellMar>
      </w:tblPr>
      <w:tblGrid>
        <w:gridCol w:w="1420"/>
        <w:gridCol w:w="1252"/>
        <w:gridCol w:w="1257"/>
        <w:gridCol w:w="109"/>
        <w:gridCol w:w="109"/>
        <w:gridCol w:w="109"/>
        <w:gridCol w:w="211"/>
        <w:gridCol w:w="826"/>
        <w:gridCol w:w="109"/>
        <w:gridCol w:w="109"/>
        <w:gridCol w:w="109"/>
        <w:gridCol w:w="109"/>
        <w:gridCol w:w="211"/>
        <w:gridCol w:w="901"/>
        <w:gridCol w:w="109"/>
        <w:gridCol w:w="109"/>
        <w:gridCol w:w="109"/>
        <w:gridCol w:w="109"/>
        <w:gridCol w:w="211"/>
        <w:gridCol w:w="721"/>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Federal tax expense (benefit) at statutory rate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federal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state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statutory federal tax rate was 21% for the years ended December 31, 2021, 2020 and 2019.</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files a United States federal income tax return and several state tax returns, a number of which remain open for examination. The earliest tax year open for examination for the federal, the State of New Mexico and the State of Louisiana tax returns is 2018. The earliest tax year open for examination for the State of Texas tax return is 2017.</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all tax positions for which the statute of limitations remains open and believes that the material positions taken would more likely than not be sustained by examination. Therefore, at December 31, 2021, the Company had not established any reserves for, nor recorded any unrecognized benefits related to, uncertain tax positions.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 Options, Restricted Stock, Restricted Stock Units, Stock and Performance Awards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the Company’s Board of Directors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2019, the Company’s Board of Directors adopted and shareholders approved the 2019 Incentive Plan. As of December 31, 2021, the 2019 Incentive Plan provided for a maximum of 1,571,972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awards under the 2012 Incentive Plan, but the 2012 Incentive Plan will remain in place until all awards outstanding under that plan have been settled.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2012 Incentive Plan and the 2019 Incentive Plan are administered by the independent members of the Board of Directors, who, upon recommendation of the Strategic Planning and Compensation Committee of the Board of Directors,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 Company granted both equity-based and liability-based awards under the 2019 Incentive Plan. The fair value of equity-based awards is fixed at the grant date, while the fair value of liability-based awards is remeasured at each reporting period.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 Options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2012 Incentive Plan and the 2019 Incentive Plan, stock option awards have been granted and are outstanding to purchase the Company’s common stock at an exercise price equal to the fair market value on the date of grant, a typical vesting period of three or four years and a typical maximum term of five, six or 10 years. The 2012 Incentive Plan defines fair market value as the closing price of Matador’s common stock on the date of grant. Under the 2019 Incentive Plan, such fair market value of a stock option is determined using the closing price of Matador’s common stock on the trading day prior to the date of grant. </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3" name="Frame1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STOCK-BASED COMPENSATION — Continued</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for stock option awards granted under the 2019 Incentive Plan was estimated using the following weighted average assumptions during the year ended December 31, 2019. The Company did not grant stock option awards during the years ended December 31, 2021 and 2020.</w:t>
      </w:r>
    </w:p>
    <w:tbl>
      <w:tblPr>
        <w:tblW w:w="9141" w:type="dxa"/>
        <w:jc w:val="left"/>
        <w:tblInd w:w="0" w:type="dxa"/>
        <w:tblCellMar>
          <w:top w:w="28" w:type="dxa"/>
          <w:left w:w="28" w:type="dxa"/>
          <w:bottom w:w="28" w:type="dxa"/>
          <w:right w:w="28" w:type="dxa"/>
        </w:tblCellMar>
      </w:tblPr>
      <w:tblGrid>
        <w:gridCol w:w="3202"/>
        <w:gridCol w:w="1501"/>
        <w:gridCol w:w="1508"/>
        <w:gridCol w:w="109"/>
        <w:gridCol w:w="109"/>
        <w:gridCol w:w="109"/>
        <w:gridCol w:w="109"/>
        <w:gridCol w:w="109"/>
        <w:gridCol w:w="631"/>
        <w:gridCol w:w="631"/>
        <w:gridCol w:w="642"/>
        <w:gridCol w:w="109"/>
        <w:gridCol w:w="109"/>
        <w:gridCol w:w="109"/>
        <w:gridCol w:w="154"/>
      </w:tblGrid>
      <w:tr>
        <w:trPr/>
        <w:tc>
          <w:tcPr>
            <w:tcW w:w="3202"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pricing model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Black Scholes Merton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option life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forfeiture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stock option awards granted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future volatility of its common stock using the historical value of its stock for a period of time commensurate with the expected term of the stock option. The expected term was estimated using the simplified method outlined in Staff Accounting Bulletin Topic 14. The risk-free interest rate was the rate for constant yield U.S. Treasury securities with a term to maturity that was consistent with the expected term of the award.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Summarized information about stock options outstanding at December 31, 2021 under the 2012 Incentive Plan and the 2019 Incentive Plan (collectively, the “LTIPs”) is as follows.</w:t>
      </w:r>
    </w:p>
    <w:tbl>
      <w:tblPr>
        <w:tblW w:w="6803" w:type="dxa"/>
        <w:jc w:val="left"/>
        <w:tblInd w:w="0" w:type="dxa"/>
        <w:tblCellMar>
          <w:top w:w="28" w:type="dxa"/>
          <w:left w:w="28" w:type="dxa"/>
          <w:bottom w:w="28" w:type="dxa"/>
          <w:right w:w="28" w:type="dxa"/>
        </w:tblCellMar>
      </w:tblPr>
      <w:tblGrid>
        <w:gridCol w:w="1304"/>
        <w:gridCol w:w="1146"/>
        <w:gridCol w:w="1149"/>
        <w:gridCol w:w="109"/>
        <w:gridCol w:w="109"/>
        <w:gridCol w:w="109"/>
        <w:gridCol w:w="409"/>
        <w:gridCol w:w="409"/>
        <w:gridCol w:w="411"/>
        <w:gridCol w:w="109"/>
        <w:gridCol w:w="109"/>
        <w:gridCol w:w="109"/>
        <w:gridCol w:w="284"/>
        <w:gridCol w:w="829"/>
        <w:gridCol w:w="208"/>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tbl>
      <w:tblPr>
        <w:tblW w:w="10205" w:type="dxa"/>
        <w:jc w:val="left"/>
        <w:tblInd w:w="0" w:type="dxa"/>
        <w:tblCellMar>
          <w:top w:w="28" w:type="dxa"/>
          <w:left w:w="28" w:type="dxa"/>
          <w:bottom w:w="28" w:type="dxa"/>
          <w:right w:w="28" w:type="dxa"/>
        </w:tblCellMar>
      </w:tblPr>
      <w:tblGrid>
        <w:gridCol w:w="612"/>
        <w:gridCol w:w="537"/>
        <w:gridCol w:w="539"/>
        <w:gridCol w:w="109"/>
        <w:gridCol w:w="109"/>
        <w:gridCol w:w="109"/>
        <w:gridCol w:w="618"/>
        <w:gridCol w:w="618"/>
        <w:gridCol w:w="619"/>
        <w:gridCol w:w="109"/>
        <w:gridCol w:w="109"/>
        <w:gridCol w:w="109"/>
        <w:gridCol w:w="360"/>
        <w:gridCol w:w="360"/>
        <w:gridCol w:w="361"/>
        <w:gridCol w:w="109"/>
        <w:gridCol w:w="109"/>
        <w:gridCol w:w="109"/>
        <w:gridCol w:w="211"/>
        <w:gridCol w:w="616"/>
        <w:gridCol w:w="109"/>
        <w:gridCol w:w="109"/>
        <w:gridCol w:w="109"/>
        <w:gridCol w:w="109"/>
        <w:gridCol w:w="608"/>
        <w:gridCol w:w="608"/>
        <w:gridCol w:w="609"/>
        <w:gridCol w:w="125"/>
        <w:gridCol w:w="125"/>
        <w:gridCol w:w="125"/>
        <w:gridCol w:w="243"/>
        <w:gridCol w:w="711"/>
        <w:gridCol w:w="183"/>
      </w:tblGrid>
      <w:tr>
        <w:trPr/>
        <w:tc>
          <w:tcPr>
            <w:tcW w:w="612"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 at</w:t>
              <w:b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exercisable at</w:t>
              <w:br/>
              <w:t>December 31, 2021</w:t>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Range of exercise prices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p>
            <w:pPr>
              <w:pStyle w:val="TableContents"/>
              <w:spacing w:lineRule="auto" w:line="240" w:before="0" w:after="0"/>
              <w:jc w:val="center"/>
              <w:rPr/>
            </w:pPr>
            <w:r>
              <w:rPr>
                <w:rFonts w:ascii="Times New Roman;sans-serif" w:hAnsi="Times New Roman;sans-serif"/>
                <w:b/>
                <w:color w:val="000000"/>
                <w:sz w:val="20"/>
              </w:rPr>
              <w:t xml:space="preserve">outstanding </w:t>
            </w:r>
            <w:r>
              <w:rPr>
                <w:rFonts w:ascii="Times New Roman;sans-serif" w:hAnsi="Times New Roman;sans-serif"/>
                <w:b/>
                <w:color w:val="000000"/>
                <w:sz w:val="18"/>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p>
            <w:pPr>
              <w:pStyle w:val="TableContents"/>
              <w:spacing w:lineRule="auto" w:line="240" w:before="0" w:after="0"/>
              <w:jc w:val="center"/>
              <w:rPr/>
            </w:pPr>
            <w:r>
              <w:rPr>
                <w:rFonts w:ascii="Times New Roman;sans-serif" w:hAnsi="Times New Roman;sans-serif"/>
                <w:b/>
                <w:color w:val="000000"/>
                <w:sz w:val="20"/>
              </w:rPr>
              <w:t xml:space="preserve">exercisable </w:t>
            </w:r>
            <w:r>
              <w:rPr>
                <w:rFonts w:ascii="Times New Roman;sans-serif" w:hAnsi="Times New Roman;sans-serif"/>
                <w:b/>
                <w:color w:val="000000"/>
                <w:sz w:val="18"/>
              </w:rPr>
              <w:t>(in thousands)</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$14.48 - $15.40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$26.86 - $29.68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aggregate intrinsic value for both outstanding and exercisable options was $4.9 million, based on the closing price of Matador’s common stock on the appropriate date under the LTIPs. The remaining weighted average contractual term of exercisable options at December 31, 2021 was 1.97 years.</w:t>
      </w:r>
    </w:p>
    <w:p>
      <w:pPr>
        <w:pStyle w:val="TextBody"/>
        <w:spacing w:lineRule="auto" w:line="288" w:before="18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years ended December 31, 2021, 2020 and 2019 was $15.8 million, $0.3 million and $0.8 million, respectively. The tax related benefit realized from the exercise of stock options totaled $16.8 million, $1.4 million and $2.8 million for the years ended December 31, 2021, 2020 and 2019, respectively.</w:t>
      </w:r>
    </w:p>
    <w:p>
      <w:pPr>
        <w:pStyle w:val="TextBody"/>
        <w:spacing w:lineRule="auto" w:line="288" w:before="18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total remaining unrecognized compensation expense related to unvested stock options was approximately $0.5 million and the weighted average remaining requisite service period (vesting period) of all unvested stock options was 0.66 years.</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4" name="Frame1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STOCK-BASED COMPENSATION — Continued</w:t>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vested during 2021, 2020 and 2019 was $3.0 million, $6.7 million and $9.7 million, respectively.</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Service-Based Restricted Stock, Restricted Stock Units and Common Stock</w:t>
      </w:r>
    </w:p>
    <w:p>
      <w:pPr>
        <w:pStyle w:val="TextBody"/>
        <w:spacing w:lineRule="auto" w:line="288" w:before="10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granted stock, restricted stock and restricted stock unit awards to employees, consultants,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2021, 2020 and 2019 were service-based awards, which will settle in cash or equity, and vest over a one-year to three-year period. Performance-based restricted stock units granted in 2021 and 2020 vest in an amount between zero and 200% of the target units granted based on the Company’s relative total shareholder return over the three-year periods ending December 31, 2023 and 2022, respectively, as compared to a designated peer group, and will be settled in equity.</w:t>
      </w:r>
    </w:p>
    <w:p>
      <w:pPr>
        <w:pStyle w:val="TextBody"/>
        <w:spacing w:lineRule="auto" w:line="288" w:before="12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Equity-Based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summary of the non-vested equity-based restricted stock and restricted stock units as of December 31, 2021 is presented below (in thousands, except fair value).</w:t>
      </w:r>
    </w:p>
    <w:tbl>
      <w:tblPr>
        <w:tblW w:w="10205" w:type="dxa"/>
        <w:jc w:val="left"/>
        <w:tblInd w:w="0" w:type="dxa"/>
        <w:tblCellMar>
          <w:top w:w="28" w:type="dxa"/>
          <w:left w:w="28" w:type="dxa"/>
          <w:bottom w:w="28" w:type="dxa"/>
          <w:right w:w="28" w:type="dxa"/>
        </w:tblCellMar>
      </w:tblPr>
      <w:tblGrid>
        <w:gridCol w:w="792"/>
        <w:gridCol w:w="695"/>
        <w:gridCol w:w="698"/>
        <w:gridCol w:w="109"/>
        <w:gridCol w:w="109"/>
        <w:gridCol w:w="109"/>
        <w:gridCol w:w="255"/>
        <w:gridCol w:w="256"/>
        <w:gridCol w:w="226"/>
        <w:gridCol w:w="109"/>
        <w:gridCol w:w="109"/>
        <w:gridCol w:w="109"/>
        <w:gridCol w:w="211"/>
        <w:gridCol w:w="616"/>
        <w:gridCol w:w="109"/>
        <w:gridCol w:w="109"/>
        <w:gridCol w:w="109"/>
        <w:gridCol w:w="109"/>
        <w:gridCol w:w="109"/>
        <w:gridCol w:w="109"/>
        <w:gridCol w:w="109"/>
        <w:gridCol w:w="109"/>
        <w:gridCol w:w="225"/>
        <w:gridCol w:w="225"/>
        <w:gridCol w:w="226"/>
        <w:gridCol w:w="109"/>
        <w:gridCol w:w="109"/>
        <w:gridCol w:w="109"/>
        <w:gridCol w:w="211"/>
        <w:gridCol w:w="616"/>
        <w:gridCol w:w="109"/>
        <w:gridCol w:w="109"/>
        <w:gridCol w:w="109"/>
        <w:gridCol w:w="109"/>
        <w:gridCol w:w="308"/>
        <w:gridCol w:w="308"/>
        <w:gridCol w:w="226"/>
        <w:gridCol w:w="115"/>
        <w:gridCol w:w="115"/>
        <w:gridCol w:w="115"/>
        <w:gridCol w:w="223"/>
        <w:gridCol w:w="653"/>
        <w:gridCol w:w="115"/>
        <w:gridCol w:w="109"/>
        <w:gridCol w:w="109"/>
        <w:gridCol w:w="109"/>
        <w:gridCol w:w="159"/>
      </w:tblGrid>
      <w:tr>
        <w:trPr/>
        <w:tc>
          <w:tcPr>
            <w:tcW w:w="7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2991" w:type="dxa"/>
            <w:gridSpan w:val="16"/>
            <w:tcBorders/>
            <w:shd w:fill="auto" w:val="clear"/>
          </w:tcPr>
          <w:p>
            <w:pPr>
              <w:pStyle w:val="TableContents"/>
              <w:spacing w:before="0" w:after="283"/>
              <w:rPr>
                <w:sz w:val="4"/>
                <w:szCs w:val="4"/>
              </w:rPr>
            </w:pPr>
            <w:r>
              <w:rPr>
                <w:sz w:val="4"/>
                <w:szCs w:val="4"/>
              </w:rPr>
            </w:r>
          </w:p>
        </w:tc>
      </w:tr>
      <w:tr>
        <w:trPr/>
        <w:tc>
          <w:tcPr>
            <w:tcW w:w="2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991" w:type="dxa"/>
            <w:gridSpan w:val="16"/>
            <w:tcBorders/>
            <w:shd w:fill="auto" w:val="clear"/>
          </w:tcPr>
          <w:p>
            <w:pPr>
              <w:pStyle w:val="TableContents"/>
              <w:spacing w:before="0" w:after="283"/>
              <w:rPr>
                <w:sz w:val="4"/>
                <w:szCs w:val="4"/>
              </w:rPr>
            </w:pPr>
            <w:r>
              <w:rPr>
                <w:sz w:val="4"/>
                <w:szCs w:val="4"/>
              </w:rPr>
            </w:r>
          </w:p>
        </w:tc>
      </w:tr>
      <w:tr>
        <w:trPr/>
        <w:tc>
          <w:tcPr>
            <w:tcW w:w="2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Service Based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Service Based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Based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and</w:t>
              <w:b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(1)On December 31, 2021, 396,827 of the performance-based awards that were granted in 2019 vested. The vested units earned 200% for each vested award representing 793,654 aggregate shares of common stock, which were issued on December 31, 2021.</w:t>
      </w:r>
    </w:p>
    <w:p>
      <w:pPr>
        <w:pStyle w:val="TextBody"/>
        <w:spacing w:lineRule="auto" w:line="288" w:before="12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Liability-Based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summary of the non-vested liability-based restricted stock units as of December 31, 2021 is presented below (in thousands).</w:t>
      </w:r>
    </w:p>
    <w:tbl>
      <w:tblPr>
        <w:tblW w:w="5604" w:type="dxa"/>
        <w:jc w:val="left"/>
        <w:tblInd w:w="0" w:type="dxa"/>
        <w:tblCellMar>
          <w:top w:w="28" w:type="dxa"/>
          <w:left w:w="28" w:type="dxa"/>
          <w:bottom w:w="28" w:type="dxa"/>
          <w:right w:w="28" w:type="dxa"/>
        </w:tblCellMar>
      </w:tblPr>
      <w:tblGrid>
        <w:gridCol w:w="1037"/>
        <w:gridCol w:w="912"/>
        <w:gridCol w:w="915"/>
        <w:gridCol w:w="109"/>
        <w:gridCol w:w="109"/>
        <w:gridCol w:w="109"/>
        <w:gridCol w:w="109"/>
        <w:gridCol w:w="109"/>
        <w:gridCol w:w="109"/>
        <w:gridCol w:w="109"/>
        <w:gridCol w:w="109"/>
        <w:gridCol w:w="109"/>
        <w:gridCol w:w="109"/>
        <w:gridCol w:w="109"/>
        <w:gridCol w:w="308"/>
        <w:gridCol w:w="308"/>
        <w:gridCol w:w="226"/>
        <w:gridCol w:w="109"/>
        <w:gridCol w:w="109"/>
        <w:gridCol w:w="109"/>
        <w:gridCol w:w="109"/>
        <w:gridCol w:w="109"/>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0" w:type="dxa"/>
            <w:gridSpan w:val="10"/>
            <w:tcBorders/>
            <w:shd w:fill="auto" w:val="clea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w:t>
              <w:b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settled 487,252 liability-based awards for $12.4 million and 226,363 liability-based awards for $2.4 million in cash for the years ended December 31, 2021 and 2020, respectively. The Company did not settle any liability awards for the year ended December 31, 2019.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aggregate intrinsic value for the restricted stock and restricted stock units outstanding was $99.2 million, of which $40.7 million is expected to be settled in cash as calculated based on the maximum number of shares of restricted stock units vesting, based on the closing price of Matador’s common stock on the appropriate date under the LTIPs.</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35" name="Frame1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STOCK-BASED COMPENSATION — Continued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total remaining unrecognized compensation expense related to unvested restricted stock and restricted stock units was approximately $50.3 million, of which $24.0 million is expected to be settled in cash, based on the closing price of Matador’s common stock on the appropriate date under the LTIPs. The weighted average remaining requisite service period (vesting period) of all non-vested restricted stock and restricted stock units was 2.0 years.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restricted stock and restricted stock units vested during 2021, 2020 and 2019 was $51.9 million, $8.4 million and $13.6 million, respectively.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spacing w:lineRule="auto" w:line="288" w:before="18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the total expense attributable to stock options was $1.0 million, $3.4 million and $6.4 million, respectively. During the years ended December 31, 2021, 2020 and 2019, the total expense attributable to restricted stock and restricted stock units was $36.3 million, $17.7 million and $20.2 million, respectively. During the years ended December 31, 2021, 2020 and 2019, the Company capitalized $7.2 million, $3.6 million and $5.0 million, respectively, related to stock-based compensation and expensed the remaining $30.0 million, $17.6 million and $21.6 million, respectively.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total tax benefit recognized for all stock-based compensation was $7.9 million, $4.5 million and $5.6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10 — EMPLOYEE BENEFIT PLANS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401(k) Plan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$1.6 million, $1.4 million and $1.4 million in 2021, 2020 and 2019, respectively. In addition, each year, the Company may make a discretionary matching contribution, as well as additional contributions. The Company’s discretionary matching contributions totaled $2.1 million, $1.8 million and $1.7 million in 2021, 2020 and 2019, respectively. The Company made no additional contributions in any reporting period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11 — EQUITY</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(the “Board”) declared a quarterly cash dividend of $0.025 per share of common stock in each of the first three quarters of 2021 and, in October 2021, the Board amended the Company’s dividend policy to increase the quarterly dividend and declared a quarterly cash dividend of $0.05 per share of common stock. Total cash dividends declared and paid totaled $14.6 million during the year ended December 31, 2021. There were no cash dividends declared or paid prior to 2021.</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Treasury Stock</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2021, October 22, 2020 and October 24, 2019, Matador’s Board of Directors canceled all of the shares of treasury stock outstanding as of September 30, 2021, 2020 and 2019, respectively. These shares were restored to the status of authorized but unissued shares of common stock of the Company.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shares of treasury stock outstanding at December 31, 2021, 2020 and 2019 represent forfeitures of non-vested restricted stock awards and forfeitures of fully vested restricted stock awards due to net share settlements with employees.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Amended and Restated Certificate of Formation authorizes 2,000,000 shares of preferred stock. Before any such shares are issued, the Board of Directors shall fix and determine the designations, preferences, limitations and relative rights, including voting rights of the shares of each such series.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12 — 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uses derivative financial instruments to mitigate its exposure to commodity price risk associated with oil, natural gas and NGL prices. The Company records derivative financial instruments on its consolidated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36" name="Frame1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 DERIVATIVE FINANCIAL INSTRUMENTS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operations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December 31, 2021, each contract was set to expire at varying times during 2022. The Company had no open contracts associated with NGL prices at December 31, 2021.</w:t>
      </w:r>
    </w:p>
    <w:p>
      <w:pPr>
        <w:pStyle w:val="TextBody"/>
        <w:spacing w:lineRule="auto" w:line="288" w:before="120" w:after="283"/>
        <w:ind w:left="0" w:right="0" w:firstLine="495"/>
        <w:rPr/>
      </w:pPr>
      <w:r>
        <w:rPr>
          <w:color w:val="000000"/>
        </w:rPr>
        <w:t> </w:t>
      </w:r>
      <w:r>
        <w:rPr>
          <w:rFonts w:ascii="Times New Roman;sans-serif" w:hAnsi="Times New Roman;sans-serif"/>
          <w:b w:val="false"/>
          <w:color w:val="000000"/>
          <w:sz w:val="20"/>
        </w:rPr>
        <w:t>The following is a summary of the Company’s open costless collar contracts for oil and natural gas at December 31, 2021.</w:t>
      </w:r>
    </w:p>
    <w:tbl>
      <w:tblPr>
        <w:tblW w:w="10205" w:type="dxa"/>
        <w:jc w:val="left"/>
        <w:tblInd w:w="0" w:type="dxa"/>
        <w:tblCellMar>
          <w:top w:w="28" w:type="dxa"/>
          <w:left w:w="28" w:type="dxa"/>
          <w:bottom w:w="28" w:type="dxa"/>
          <w:right w:w="28" w:type="dxa"/>
        </w:tblCellMar>
      </w:tblPr>
      <w:tblGrid>
        <w:gridCol w:w="484"/>
        <w:gridCol w:w="425"/>
        <w:gridCol w:w="427"/>
        <w:gridCol w:w="109"/>
        <w:gridCol w:w="109"/>
        <w:gridCol w:w="109"/>
        <w:gridCol w:w="507"/>
        <w:gridCol w:w="507"/>
        <w:gridCol w:w="508"/>
        <w:gridCol w:w="109"/>
        <w:gridCol w:w="109"/>
        <w:gridCol w:w="109"/>
        <w:gridCol w:w="739"/>
        <w:gridCol w:w="395"/>
        <w:gridCol w:w="396"/>
        <w:gridCol w:w="109"/>
        <w:gridCol w:w="109"/>
        <w:gridCol w:w="109"/>
        <w:gridCol w:w="300"/>
        <w:gridCol w:w="877"/>
        <w:gridCol w:w="155"/>
        <w:gridCol w:w="109"/>
        <w:gridCol w:w="109"/>
        <w:gridCol w:w="109"/>
        <w:gridCol w:w="305"/>
        <w:gridCol w:w="891"/>
        <w:gridCol w:w="157"/>
        <w:gridCol w:w="109"/>
        <w:gridCol w:w="109"/>
        <w:gridCol w:w="109"/>
        <w:gridCol w:w="280"/>
        <w:gridCol w:w="1006"/>
        <w:gridCol w:w="211"/>
      </w:tblGrid>
      <w:tr>
        <w:trPr/>
        <w:tc>
          <w:tcPr>
            <w:tcW w:w="48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(Bbl or MMBtu)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Floor ($/Bbl or </w:t>
              <w:br/>
              <w:t>$/MMBtu)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Ceiling ($/Bbl or </w:t>
              <w:br/>
              <w:t>$/MMBtu)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 Asset (Liability) (thousands)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Commodity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Calculation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01/01/2022 - 12/31/2022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2,040,000 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01/01/2022 - 03/31/2022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8,250,000 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318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costless collar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495"/>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swaps contracts for oil at December 31, 2021.</w:t>
      </w:r>
    </w:p>
    <w:tbl>
      <w:tblPr>
        <w:tblW w:w="10205" w:type="dxa"/>
        <w:jc w:val="center"/>
        <w:tblInd w:w="0" w:type="dxa"/>
        <w:tblCellMar>
          <w:top w:w="28" w:type="dxa"/>
          <w:left w:w="28" w:type="dxa"/>
          <w:bottom w:w="28" w:type="dxa"/>
          <w:right w:w="28" w:type="dxa"/>
        </w:tblCellMar>
      </w:tblPr>
      <w:tblGrid>
        <w:gridCol w:w="721"/>
        <w:gridCol w:w="632"/>
        <w:gridCol w:w="636"/>
        <w:gridCol w:w="109"/>
        <w:gridCol w:w="109"/>
        <w:gridCol w:w="109"/>
        <w:gridCol w:w="564"/>
        <w:gridCol w:w="564"/>
        <w:gridCol w:w="566"/>
        <w:gridCol w:w="109"/>
        <w:gridCol w:w="109"/>
        <w:gridCol w:w="109"/>
        <w:gridCol w:w="695"/>
        <w:gridCol w:w="514"/>
        <w:gridCol w:w="516"/>
        <w:gridCol w:w="109"/>
        <w:gridCol w:w="109"/>
        <w:gridCol w:w="109"/>
        <w:gridCol w:w="252"/>
        <w:gridCol w:w="611"/>
        <w:gridCol w:w="130"/>
        <w:gridCol w:w="109"/>
        <w:gridCol w:w="109"/>
        <w:gridCol w:w="109"/>
        <w:gridCol w:w="534"/>
        <w:gridCol w:w="1565"/>
        <w:gridCol w:w="397"/>
      </w:tblGrid>
      <w:tr>
        <w:trPr/>
        <w:tc>
          <w:tcPr>
            <w:tcW w:w="72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 Asset (Liability) (thousands)</w:t>
            </w:r>
          </w:p>
        </w:tc>
      </w:tr>
      <w:tr>
        <w:trPr/>
        <w:tc>
          <w:tcPr>
            <w:tcW w:w="1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6" w:type="dxa"/>
            <w:gridSpan w:val="3"/>
            <w:tcBorders/>
            <w:shd w:fill="auto" w:val="clear"/>
            <w:vAlign w:val="center"/>
          </w:tcPr>
          <w:p>
            <w:pPr>
              <w:pStyle w:val="TableContents"/>
              <w:spacing w:before="0" w:after="283"/>
              <w:rPr>
                <w:sz w:val="4"/>
                <w:szCs w:val="4"/>
              </w:rPr>
            </w:pPr>
            <w:r>
              <w:rPr>
                <w:sz w:val="4"/>
                <w:szCs w:val="4"/>
              </w:rPr>
            </w:r>
          </w:p>
        </w:tc>
      </w:tr>
      <w:tr>
        <w:trPr/>
        <w:tc>
          <w:tcPr>
            <w:tcW w:w="1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6" w:type="dxa"/>
            <w:gridSpan w:val="3"/>
            <w:tcBorders/>
            <w:shd w:fill="auto" w:val="clear"/>
            <w:vAlign w:val="center"/>
          </w:tcPr>
          <w:p>
            <w:pPr>
              <w:pStyle w:val="TableContents"/>
              <w:spacing w:before="0" w:after="283"/>
              <w:rPr>
                <w:sz w:val="4"/>
                <w:szCs w:val="4"/>
              </w:rPr>
            </w:pPr>
            <w:r>
              <w:rPr>
                <w:sz w:val="4"/>
                <w:szCs w:val="4"/>
              </w:rPr>
            </w:r>
          </w:p>
        </w:tc>
      </w:tr>
      <w:tr>
        <w:trPr/>
        <w:tc>
          <w:tcPr>
            <w:tcW w:w="1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01/01/2022 - 12/31/2022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5,520,000 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the Company had an aggregate net liability value for open derivative financial instruments of $14.9 million.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37" name="Frame1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 DERIVATIVE FINANCIAL INSTRUMENTS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gross asset and liability fair values of the Company’s commodity price derivative financial instruments and the location of these balances in the consolidated balance sheets as of December 31, 2021 and December 31, 2020 (in thousands). </w:t>
      </w:r>
    </w:p>
    <w:tbl>
      <w:tblPr>
        <w:tblW w:w="10205" w:type="dxa"/>
        <w:jc w:val="left"/>
        <w:tblInd w:w="0" w:type="dxa"/>
        <w:tblCellMar>
          <w:top w:w="28" w:type="dxa"/>
          <w:left w:w="28" w:type="dxa"/>
          <w:bottom w:w="28" w:type="dxa"/>
          <w:right w:w="28" w:type="dxa"/>
        </w:tblCellMar>
      </w:tblPr>
      <w:tblGrid>
        <w:gridCol w:w="573"/>
        <w:gridCol w:w="502"/>
        <w:gridCol w:w="505"/>
        <w:gridCol w:w="109"/>
        <w:gridCol w:w="109"/>
        <w:gridCol w:w="109"/>
        <w:gridCol w:w="317"/>
        <w:gridCol w:w="1241"/>
        <w:gridCol w:w="163"/>
        <w:gridCol w:w="109"/>
        <w:gridCol w:w="109"/>
        <w:gridCol w:w="109"/>
        <w:gridCol w:w="508"/>
        <w:gridCol w:w="2144"/>
        <w:gridCol w:w="262"/>
        <w:gridCol w:w="109"/>
        <w:gridCol w:w="109"/>
        <w:gridCol w:w="109"/>
        <w:gridCol w:w="575"/>
        <w:gridCol w:w="2006"/>
        <w:gridCol w:w="428"/>
      </w:tblGrid>
      <w:tr>
        <w:trPr/>
        <w:tc>
          <w:tcPr>
            <w:tcW w:w="573"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 netted in the consolidated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consolidated balance sheets</w:t>
            </w:r>
          </w:p>
        </w:tc>
      </w:tr>
      <w:tr>
        <w:trPr/>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215,145 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(213,174)</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9"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(230,023)</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213,174 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9"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382,328 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(375,601)</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150,194 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(147,624)</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(420,787)</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375,601 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(45,186)</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(147,624)</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147,624 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aggregate gain (loss) of all derivative financial instruments recorded in the consolidated statements of operations for the periods presented (in thousands).</w:t>
      </w:r>
    </w:p>
    <w:tbl>
      <w:tblPr>
        <w:tblW w:w="10205" w:type="dxa"/>
        <w:jc w:val="left"/>
        <w:tblInd w:w="0" w:type="dxa"/>
        <w:tblCellMar>
          <w:top w:w="28" w:type="dxa"/>
          <w:left w:w="28" w:type="dxa"/>
          <w:bottom w:w="28" w:type="dxa"/>
          <w:right w:w="28" w:type="dxa"/>
        </w:tblCellMar>
      </w:tblPr>
      <w:tblGrid>
        <w:gridCol w:w="638"/>
        <w:gridCol w:w="559"/>
        <w:gridCol w:w="563"/>
        <w:gridCol w:w="109"/>
        <w:gridCol w:w="109"/>
        <w:gridCol w:w="109"/>
        <w:gridCol w:w="1258"/>
        <w:gridCol w:w="1235"/>
        <w:gridCol w:w="1237"/>
        <w:gridCol w:w="109"/>
        <w:gridCol w:w="109"/>
        <w:gridCol w:w="109"/>
        <w:gridCol w:w="211"/>
        <w:gridCol w:w="891"/>
        <w:gridCol w:w="109"/>
        <w:gridCol w:w="109"/>
        <w:gridCol w:w="109"/>
        <w:gridCol w:w="109"/>
        <w:gridCol w:w="211"/>
        <w:gridCol w:w="721"/>
        <w:gridCol w:w="109"/>
        <w:gridCol w:w="109"/>
        <w:gridCol w:w="109"/>
        <w:gridCol w:w="109"/>
        <w:gridCol w:w="211"/>
        <w:gridCol w:w="786"/>
        <w:gridCol w:w="158"/>
      </w:tblGrid>
      <w:tr>
        <w:trPr/>
        <w:tc>
          <w:tcPr>
            <w:tcW w:w="63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Instrument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7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Statements of Operations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gain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58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58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38" name="Frame1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FAIR VALUE MEASUREMENTS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Unadjusted quoted prices for identical, unrestricted assets or liabilities in active markets. </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December 31, 2021 and 2020 (in thousands).</w:t>
      </w:r>
      <w:r>
        <w:rPr>
          <w:color w:val="000000"/>
        </w:rPr>
        <w:t> </w:t>
      </w:r>
    </w:p>
    <w:tbl>
      <w:tblPr>
        <w:tblW w:w="10160" w:type="dxa"/>
        <w:jc w:val="left"/>
        <w:tblInd w:w="0" w:type="dxa"/>
        <w:tblCellMar>
          <w:top w:w="28" w:type="dxa"/>
          <w:left w:w="28" w:type="dxa"/>
          <w:bottom w:w="28" w:type="dxa"/>
          <w:right w:w="28" w:type="dxa"/>
        </w:tblCellMar>
      </w:tblPr>
      <w:tblGrid>
        <w:gridCol w:w="1750"/>
        <w:gridCol w:w="1537"/>
        <w:gridCol w:w="1543"/>
        <w:gridCol w:w="109"/>
        <w:gridCol w:w="109"/>
        <w:gridCol w:w="109"/>
        <w:gridCol w:w="213"/>
        <w:gridCol w:w="411"/>
        <w:gridCol w:w="110"/>
        <w:gridCol w:w="109"/>
        <w:gridCol w:w="109"/>
        <w:gridCol w:w="109"/>
        <w:gridCol w:w="211"/>
        <w:gridCol w:w="796"/>
        <w:gridCol w:w="109"/>
        <w:gridCol w:w="109"/>
        <w:gridCol w:w="109"/>
        <w:gridCol w:w="109"/>
        <w:gridCol w:w="211"/>
        <w:gridCol w:w="691"/>
        <w:gridCol w:w="109"/>
        <w:gridCol w:w="109"/>
        <w:gridCol w:w="109"/>
        <w:gridCol w:w="109"/>
        <w:gridCol w:w="211"/>
        <w:gridCol w:w="796"/>
        <w:gridCol w:w="154"/>
      </w:tblGrid>
      <w:tr>
        <w:trPr/>
        <w:tc>
          <w:tcPr>
            <w:tcW w:w="1750"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3" w:type="dxa"/>
            <w:gridSpan w:val="21"/>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br/>
              <w:t>December 31, 2021 using</w:t>
            </w:r>
          </w:p>
        </w:tc>
      </w:tr>
      <w:tr>
        <w:trPr/>
        <w:tc>
          <w:tcPr>
            <w:tcW w:w="48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3" w:type="dxa"/>
            <w:gridSpan w:val="21"/>
            <w:vMerge w:val="continue"/>
            <w:tcBorders/>
            <w:shd w:fill="auto" w:val="clear"/>
            <w:tcMar>
              <w:top w:w="0" w:type="dxa"/>
              <w:left w:w="0" w:type="dxa"/>
              <w:bottom w:w="0" w:type="dxa"/>
              <w:right w:w="0" w:type="dxa"/>
            </w:tcMar>
            <w:vAlign w:val="center"/>
          </w:tcPr>
          <w:p>
            <w:pPr>
              <w:pStyle w:val="Normal"/>
              <w:rPr/>
            </w:pPr>
            <w:r>
              <w:rPr/>
            </w:r>
          </w:p>
        </w:tc>
      </w:tr>
      <w:tr>
        <w:trPr/>
        <w:tc>
          <w:tcPr>
            <w:tcW w:w="483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 and basis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692" w:type="dxa"/>
        <w:jc w:val="center"/>
        <w:tblInd w:w="0" w:type="dxa"/>
        <w:tblCellMar>
          <w:top w:w="28" w:type="dxa"/>
          <w:left w:w="28" w:type="dxa"/>
          <w:bottom w:w="28" w:type="dxa"/>
          <w:right w:w="28" w:type="dxa"/>
        </w:tblCellMar>
      </w:tblPr>
      <w:tblGrid>
        <w:gridCol w:w="956"/>
        <w:gridCol w:w="840"/>
        <w:gridCol w:w="843"/>
        <w:gridCol w:w="109"/>
        <w:gridCol w:w="109"/>
        <w:gridCol w:w="109"/>
        <w:gridCol w:w="213"/>
        <w:gridCol w:w="411"/>
        <w:gridCol w:w="110"/>
        <w:gridCol w:w="109"/>
        <w:gridCol w:w="109"/>
        <w:gridCol w:w="109"/>
        <w:gridCol w:w="211"/>
        <w:gridCol w:w="796"/>
        <w:gridCol w:w="109"/>
        <w:gridCol w:w="109"/>
        <w:gridCol w:w="109"/>
        <w:gridCol w:w="109"/>
        <w:gridCol w:w="213"/>
        <w:gridCol w:w="411"/>
        <w:gridCol w:w="110"/>
        <w:gridCol w:w="109"/>
        <w:gridCol w:w="109"/>
        <w:gridCol w:w="109"/>
        <w:gridCol w:w="211"/>
        <w:gridCol w:w="796"/>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6" w:type="dxa"/>
            <w:gridSpan w:val="21"/>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br/>
              <w:t>December 31, 2020 using</w:t>
            </w:r>
          </w:p>
        </w:tc>
      </w:tr>
      <w:tr>
        <w:trPr/>
        <w:tc>
          <w:tcPr>
            <w:tcW w:w="26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6" w:type="dxa"/>
            <w:gridSpan w:val="21"/>
            <w:vMerge w:val="continue"/>
            <w:tcBorders/>
            <w:shd w:fill="auto" w:val="clear"/>
            <w:tcMar>
              <w:top w:w="0" w:type="dxa"/>
              <w:left w:w="0" w:type="dxa"/>
              <w:bottom w:w="0" w:type="dxa"/>
              <w:right w:w="0" w:type="dxa"/>
            </w:tcMar>
            <w:vAlign w:val="center"/>
          </w:tcPr>
          <w:p>
            <w:pPr>
              <w:pStyle w:val="Normal"/>
              <w:rPr/>
            </w:pPr>
            <w:r>
              <w:rPr/>
            </w:r>
          </w:p>
        </w:tc>
      </w:tr>
      <w:tr>
        <w:trPr/>
        <w:tc>
          <w:tcPr>
            <w:tcW w:w="26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 and basis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related to derivative financial instruments are provided in Note 12.</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spacing w:lineRule="auto" w:line="288" w:before="120" w:after="283"/>
        <w:ind w:left="0" w:right="0" w:firstLine="450"/>
        <w:rPr/>
      </w:pPr>
      <w:r>
        <w:rPr>
          <w:color w:val="000000"/>
        </w:rPr>
        <w:t> </w:t>
      </w:r>
      <w:r>
        <w:rPr>
          <w:rFonts w:ascii="Times New Roman;sans-serif" w:hAnsi="Times New Roman;sans-serif"/>
          <w:b w:val="false"/>
          <w:color w:val="000000"/>
          <w:sz w:val="20"/>
        </w:rPr>
        <w:t xml:space="preserve">At December 31, 2021 and 2020,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and 2020,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the fair value of the Notes was $1.08 billion and $1.03 billion, respectively, based on quoted market prices, which represent Level 1 inputs in the fair value hierarchy.</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9" name="Frame1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FAIR VALUE MEASUREMENTS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impairment to its lease and well equipment inventory or other property and equipment in 2021 and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spacing w:lineRule="auto" w:line="288" w:before="12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Firm Commitments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$48.7 million and $46.0 million for deliveries under these agreements during the years ended December 31, 2021 and 2020,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2021, the total deficiencies required to be paid by the Company under these agreements would be approximately $597.3 million.</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and Wolf asset areas and acreage in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December 31, 2021 was approximately $390.3 million.</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Commitments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$10.8 million at December 31, 2021.</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outstanding commitments to drill and complete and to participate in the drilling and completion of various operated and non-operated wells. If all of these wells are drilled and completed as proposed, the Company’s undiscounted minimum outstanding aggregate commitments for its participation in these operated and non-operated wells were approximately $65.4 million at December 31, 2021. The Company expects these costs to be incurred within the next three years.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40" name="Frame1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SUPPLEMENTAL DISCLOSURES</w:t>
      </w:r>
    </w:p>
    <w:p>
      <w:pPr>
        <w:pStyle w:val="TextBody"/>
        <w:spacing w:lineRule="auto" w:line="288" w:before="1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December 31, 2021 and 2020 (in thousands).</w:t>
      </w:r>
    </w:p>
    <w:tbl>
      <w:tblPr>
        <w:tblW w:w="8375" w:type="dxa"/>
        <w:jc w:val="left"/>
        <w:tblInd w:w="0" w:type="dxa"/>
        <w:tblCellMar>
          <w:top w:w="28" w:type="dxa"/>
          <w:left w:w="28" w:type="dxa"/>
          <w:bottom w:w="28" w:type="dxa"/>
          <w:right w:w="28" w:type="dxa"/>
        </w:tblCellMar>
      </w:tblPr>
      <w:tblGrid>
        <w:gridCol w:w="1951"/>
        <w:gridCol w:w="1712"/>
        <w:gridCol w:w="1721"/>
        <w:gridCol w:w="109"/>
        <w:gridCol w:w="109"/>
        <w:gridCol w:w="109"/>
        <w:gridCol w:w="211"/>
        <w:gridCol w:w="826"/>
        <w:gridCol w:w="109"/>
        <w:gridCol w:w="109"/>
        <w:gridCol w:w="109"/>
        <w:gridCol w:w="109"/>
        <w:gridCol w:w="211"/>
        <w:gridCol w:w="826"/>
        <w:gridCol w:w="154"/>
      </w:tblGrid>
      <w:tr>
        <w:trPr/>
        <w:tc>
          <w:tcPr>
            <w:tcW w:w="1951"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years ended December 31, 2021, 2020 and 2019 (in thousands).</w:t>
      </w:r>
    </w:p>
    <w:tbl>
      <w:tblPr>
        <w:tblW w:w="10205" w:type="dxa"/>
        <w:jc w:val="left"/>
        <w:tblInd w:w="0" w:type="dxa"/>
        <w:tblCellMar>
          <w:top w:w="28" w:type="dxa"/>
          <w:left w:w="28" w:type="dxa"/>
          <w:bottom w:w="28" w:type="dxa"/>
          <w:right w:w="28" w:type="dxa"/>
        </w:tblCellMar>
      </w:tblPr>
      <w:tblGrid>
        <w:gridCol w:w="2190"/>
        <w:gridCol w:w="1869"/>
        <w:gridCol w:w="1876"/>
        <w:gridCol w:w="109"/>
        <w:gridCol w:w="109"/>
        <w:gridCol w:w="109"/>
        <w:gridCol w:w="211"/>
        <w:gridCol w:w="721"/>
        <w:gridCol w:w="109"/>
        <w:gridCol w:w="109"/>
        <w:gridCol w:w="109"/>
        <w:gridCol w:w="109"/>
        <w:gridCol w:w="211"/>
        <w:gridCol w:w="780"/>
        <w:gridCol w:w="109"/>
        <w:gridCol w:w="109"/>
        <w:gridCol w:w="109"/>
        <w:gridCol w:w="109"/>
        <w:gridCol w:w="211"/>
        <w:gridCol w:w="780"/>
        <w:gridCol w:w="157"/>
      </w:tblGrid>
      <w:tr>
        <w:trPr/>
        <w:tc>
          <w:tcPr>
            <w:tcW w:w="2190"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asset retirement obligations related to mineral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drilling, completion and equipping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increase in liabilities for acquisition of oil and natural gas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liabilities for midstream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(to) from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consolidated balance sheets to cash and restricted cash as presented on the consolidated statements of cash flows (in thousands).</w:t>
      </w:r>
    </w:p>
    <w:tbl>
      <w:tblPr>
        <w:tblW w:w="6654" w:type="dxa"/>
        <w:jc w:val="left"/>
        <w:tblInd w:w="0" w:type="dxa"/>
        <w:tblCellMar>
          <w:top w:w="28" w:type="dxa"/>
          <w:left w:w="28" w:type="dxa"/>
          <w:bottom w:w="28" w:type="dxa"/>
          <w:right w:w="28" w:type="dxa"/>
        </w:tblCellMar>
      </w:tblPr>
      <w:tblGrid>
        <w:gridCol w:w="902"/>
        <w:gridCol w:w="795"/>
        <w:gridCol w:w="80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SEGMENT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41" name="Frame1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SEGMENT INFORMATION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Stateline asset areas and the Greater Stebbins Area in the Delaware Basin, which comprise most of the Company’s midstream operations, are conducted through San Mateo (see Note 6). San Mateo and its subsidiaries are not guarantors of the Notes or the Credit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 </w:t>
      </w:r>
    </w:p>
    <w:tbl>
      <w:tblPr>
        <w:tblW w:w="10205" w:type="dxa"/>
        <w:jc w:val="left"/>
        <w:tblInd w:w="0" w:type="dxa"/>
        <w:tblCellMar>
          <w:top w:w="28" w:type="dxa"/>
          <w:left w:w="28" w:type="dxa"/>
          <w:bottom w:w="28" w:type="dxa"/>
          <w:right w:w="28" w:type="dxa"/>
        </w:tblCellMar>
      </w:tblPr>
      <w:tblGrid>
        <w:gridCol w:w="713"/>
        <w:gridCol w:w="477"/>
        <w:gridCol w:w="479"/>
        <w:gridCol w:w="267"/>
        <w:gridCol w:w="1235"/>
        <w:gridCol w:w="137"/>
        <w:gridCol w:w="109"/>
        <w:gridCol w:w="109"/>
        <w:gridCol w:w="109"/>
        <w:gridCol w:w="211"/>
        <w:gridCol w:w="826"/>
        <w:gridCol w:w="109"/>
        <w:gridCol w:w="109"/>
        <w:gridCol w:w="109"/>
        <w:gridCol w:w="109"/>
        <w:gridCol w:w="211"/>
        <w:gridCol w:w="753"/>
        <w:gridCol w:w="109"/>
        <w:gridCol w:w="109"/>
        <w:gridCol w:w="109"/>
        <w:gridCol w:w="109"/>
        <w:gridCol w:w="522"/>
        <w:gridCol w:w="1004"/>
        <w:gridCol w:w="271"/>
        <w:gridCol w:w="109"/>
        <w:gridCol w:w="109"/>
        <w:gridCol w:w="109"/>
        <w:gridCol w:w="246"/>
        <w:gridCol w:w="1141"/>
        <w:gridCol w:w="186"/>
      </w:tblGrid>
      <w:tr>
        <w:trPr/>
        <w:tc>
          <w:tcPr>
            <w:tcW w:w="71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1,695,032 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1,700,542 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869,905 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748,456 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793,076 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(3)</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3,324,681 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4,262,153 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(4)</w:t>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778,191 </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837,928 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$310.9 million and $31.5 million for the exploration and production and midstream segments, respectively. Also includes corporate depletion, depreciation and amortization expenses of $2.6 million.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$55.7 million in net income attributable to non-controlling interest in subsidiaries related to the midstream segment.</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intercompany receivables and investments in subsidiaries.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$263.5 million attributable to land and seismic acquisition expenditures related to the exploration and production segment and $28.5 million in capital expenditures attributable to non-controlling interest in subsidiaries related to the midstream segment.</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42" name="Frame1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SEGMENT INFORMATION — Continued</w:t>
      </w:r>
    </w:p>
    <w:tbl>
      <w:tblPr>
        <w:tblW w:w="10205" w:type="dxa"/>
        <w:jc w:val="left"/>
        <w:tblInd w:w="0" w:type="dxa"/>
        <w:tblCellMar>
          <w:top w:w="28" w:type="dxa"/>
          <w:left w:w="28" w:type="dxa"/>
          <w:bottom w:w="28" w:type="dxa"/>
          <w:right w:w="28" w:type="dxa"/>
        </w:tblCellMar>
      </w:tblPr>
      <w:tblGrid>
        <w:gridCol w:w="713"/>
        <w:gridCol w:w="477"/>
        <w:gridCol w:w="479"/>
        <w:gridCol w:w="267"/>
        <w:gridCol w:w="1235"/>
        <w:gridCol w:w="137"/>
        <w:gridCol w:w="109"/>
        <w:gridCol w:w="109"/>
        <w:gridCol w:w="109"/>
        <w:gridCol w:w="211"/>
        <w:gridCol w:w="826"/>
        <w:gridCol w:w="109"/>
        <w:gridCol w:w="109"/>
        <w:gridCol w:w="109"/>
        <w:gridCol w:w="109"/>
        <w:gridCol w:w="211"/>
        <w:gridCol w:w="753"/>
        <w:gridCol w:w="109"/>
        <w:gridCol w:w="109"/>
        <w:gridCol w:w="109"/>
        <w:gridCol w:w="109"/>
        <w:gridCol w:w="522"/>
        <w:gridCol w:w="1004"/>
        <w:gridCol w:w="271"/>
        <w:gridCol w:w="109"/>
        <w:gridCol w:w="109"/>
        <w:gridCol w:w="109"/>
        <w:gridCol w:w="246"/>
        <w:gridCol w:w="1141"/>
        <w:gridCol w:w="186"/>
      </w:tblGrid>
      <w:tr>
        <w:trPr/>
        <w:tc>
          <w:tcPr>
            <w:tcW w:w="71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744,461 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 mineral acreage</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(32,008)</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1,334,378 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1,383,625 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(loss) income</w:t>
            </w:r>
            <w:r>
              <w:rPr>
                <w:rFonts w:ascii="Times New Roman;sans-serif" w:hAnsi="Times New Roman;sans-serif"/>
                <w:b w:val="false"/>
                <w:color w:val="000000"/>
                <w:sz w:val="13"/>
              </w:rPr>
              <w:t>(2)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(561,559)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(521,499)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(3)</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2,782,819 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3,687,280 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(4)</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518,198 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721,838 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depletion, depreciation and amortization expenses of $335.8 million and $23.3 million for the exploration and production and midstream segments, respectively. Includes full-cost ceiling impairment of $684.7 million for the exploration and production segment. Also includes corporate depletion, depreciation and amortization expenses of $2.7 million.</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$39.6 million in net income attributable to non-controlling interest in subsidiaries related to the midstream segment.</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intercompany receivables and investments in subsidiaries.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$70.5 million attributable to land and seismic acquisition expenditures related to the exploration and production segment and $112.1 million in capital expenditures attributable to non-controlling interest in subsidiaries related to the midstream segment.</w:t>
      </w:r>
    </w:p>
    <w:tbl>
      <w:tblPr>
        <w:tblW w:w="10205" w:type="dxa"/>
        <w:jc w:val="left"/>
        <w:tblInd w:w="0" w:type="dxa"/>
        <w:tblCellMar>
          <w:top w:w="28" w:type="dxa"/>
          <w:left w:w="28" w:type="dxa"/>
          <w:bottom w:w="28" w:type="dxa"/>
          <w:right w:w="28" w:type="dxa"/>
        </w:tblCellMar>
      </w:tblPr>
      <w:tblGrid>
        <w:gridCol w:w="713"/>
        <w:gridCol w:w="477"/>
        <w:gridCol w:w="479"/>
        <w:gridCol w:w="267"/>
        <w:gridCol w:w="1235"/>
        <w:gridCol w:w="137"/>
        <w:gridCol w:w="109"/>
        <w:gridCol w:w="109"/>
        <w:gridCol w:w="109"/>
        <w:gridCol w:w="211"/>
        <w:gridCol w:w="826"/>
        <w:gridCol w:w="109"/>
        <w:gridCol w:w="109"/>
        <w:gridCol w:w="109"/>
        <w:gridCol w:w="109"/>
        <w:gridCol w:w="211"/>
        <w:gridCol w:w="753"/>
        <w:gridCol w:w="109"/>
        <w:gridCol w:w="109"/>
        <w:gridCol w:w="109"/>
        <w:gridCol w:w="109"/>
        <w:gridCol w:w="522"/>
        <w:gridCol w:w="1004"/>
        <w:gridCol w:w="271"/>
        <w:gridCol w:w="109"/>
        <w:gridCol w:w="109"/>
        <w:gridCol w:w="109"/>
        <w:gridCol w:w="246"/>
        <w:gridCol w:w="1141"/>
        <w:gridCol w:w="186"/>
      </w:tblGrid>
      <w:tr>
        <w:trPr/>
        <w:tc>
          <w:tcPr>
            <w:tcW w:w="71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886,127 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892,325 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 mineral acreage</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(53,727)</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(53,727)</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621,687 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748,190 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 (loss)</w:t>
            </w:r>
            <w:r>
              <w:rPr>
                <w:rFonts w:ascii="Times New Roman;sans-serif" w:hAnsi="Times New Roman;sans-serif"/>
                <w:b w:val="false"/>
                <w:color w:val="000000"/>
                <w:sz w:val="13"/>
              </w:rPr>
              <w:t>(2)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(3)</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3,360,725 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4,069,676 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(4)</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718,712 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946,025 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depletion, depreciation and amortization expenses of $331.7 million and $16.1 million for the exploration and production and midstream segments, respectively. Also includes corporate depletion, depreciation and amortization expenses of $2.7 million.</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$35.2 million in net income attributable to non-controlling interest in subsidiaries related to the midstream segment.</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intercompany receivables and investments in subsidiaries.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$48.3 million attributable to land and seismic acquisition expenditures related to the exploration and production segment and $145.4 million in capital expenditures attributable to non-controlling interest in subsidiaries related to the midstream segment.</w:t>
      </w:r>
    </w:p>
    <w:p>
      <w:pPr>
        <w:pStyle w:val="TextBody"/>
        <w:spacing w:before="12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3" name="Frame1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417"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w:t>
      </w:r>
    </w:p>
    <w:p>
      <w:pPr>
        <w:pStyle w:val="TextBody"/>
        <w:spacing w:before="120" w:after="283"/>
        <w:rPr/>
      </w:pPr>
      <w:r>
        <w:rPr/>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Incurred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costs incurred and capitalized by the Company in the acquisition, exploration and development of oil and natural gas properties for the years ended December 31, 2021, 2020 and 2019 (in thousands).</w:t>
      </w:r>
    </w:p>
    <w:tbl>
      <w:tblPr>
        <w:tblW w:w="6789" w:type="dxa"/>
        <w:jc w:val="left"/>
        <w:tblInd w:w="0" w:type="dxa"/>
        <w:tblCellMar>
          <w:top w:w="28" w:type="dxa"/>
          <w:left w:w="28" w:type="dxa"/>
          <w:bottom w:w="28" w:type="dxa"/>
          <w:right w:w="28" w:type="dxa"/>
        </w:tblCellMar>
      </w:tblPr>
      <w:tblGrid>
        <w:gridCol w:w="841"/>
        <w:gridCol w:w="741"/>
        <w:gridCol w:w="74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costs incurred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(1)Excludes midstream-related development and corporate costs of approximately $59.7 million, $203.6 million and $227.3 million for the years ended December 31, 2021, 2020 and 2019,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 are costs incurred to purchase, lease or otherwise acquire oil and natural gas properties, including both unproved and unevaluated leasehold and purchases of reserves in place. For the year ended December 31, 2021, approximately 58% of the Company’s property acquisition costs resulted from the acquisition of proved properties, while for the years ended December 31, 2020 and 2019, most of the Company’s property acquisition costs resulted from the acquisition of unproved and unevaluated leasehold and mineral interests.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Exploration costs are costs incurred in identifying areas of these oil and natural gas properties that may warrant further examination and in examining specific areas that are considered to be prospective for oil and natural gas, including costs of drilling exploratory wells, geological and geophysical costs and costs of carrying and retaining unproved and unevaluated properties. Exploration costs may be incurred before or after acquiring the related oil and natural gas properties. For the years ended December 31, 2021, 2020 and 2019, the Company capitalized $7.5 million, zero and $2.9 million, respectively, of geological and geophysical costs, which are included as exploration costs in the table above.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also include newly established asset retirement obligations, as well as changes to asset retirement obligations resulting from revisions in cost estimates or abandonment dates. Asset retirement obligations included in the table above were an increase of $1.4 million, a reduction of $0.2 million and an increase of $4.3 million for the years ended December 31, 2021, 2020 and 2019, respectively. Capitalized general and administrative expenses that are directly related to acquisition, exploration and development activities are also included in the table above. The Company capitalized $38.4 million, $30.0 million and $31.1 million of these internal costs for the years ended December 31, 2021, 2020 and 2019, respectively, excluding midstream-related capitalized general and administrative expenses. Capitalized interest expense for qualifying projects is also included in the table above. The Company capitalized $4.8 million, $5.0 million and $7.6 million of its interest expense for the years ended December 31, 2021, 2020 and 2019, respectively, excluding midstream-related capitalized interest expense.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Oil and Natural Gas Reserves</w:t>
      </w:r>
    </w:p>
    <w:p>
      <w:pPr>
        <w:pStyle w:val="TextBody"/>
        <w:spacing w:lineRule="auto" w:line="288" w:before="10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Proved reserves are estimated quantities of oil and natural gas that geological and engineering data demonstrate with reasonable certainty to be recoverable in future years from known reservoirs using existing economic and operating conditions.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4" name="Frame1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NGLs are extracted and sold. The Company’s oil and natural gas reserves estimates for the years ended December 31, 2021, 2020 and 2019 were prepared by the Company’s engineering staff in accordance with guidelines established by the SEC and then audited for their reasonableness and conformance with SEC guidelines by Netherland, Sewell &amp; Associates, Inc., independent reservoir engineers.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2021, these average oil and natural gas prices were $63.04 per Bbl and $3.60 per MMBtu, respectively. For the period from January through December 2020, these average oil and natural gas prices were $36.04 per Bbl and $1.99 per MMBtu, respectively. For the period from January through December 2019, these average oil and natural gas prices were $52.19 per Bbl and $2.58 per MMBtu, respectively. </w:t>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5" name="Frame1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tbl>
      <w:tblPr>
        <w:tblW w:w="7494" w:type="dxa"/>
        <w:jc w:val="left"/>
        <w:tblInd w:w="0" w:type="dxa"/>
        <w:tblCellMar>
          <w:top w:w="28" w:type="dxa"/>
          <w:left w:w="28" w:type="dxa"/>
          <w:bottom w:w="28" w:type="dxa"/>
          <w:right w:w="28" w:type="dxa"/>
        </w:tblCellMar>
      </w:tblPr>
      <w:tblGrid>
        <w:gridCol w:w="1125"/>
        <w:gridCol w:w="989"/>
        <w:gridCol w:w="990"/>
        <w:gridCol w:w="109"/>
        <w:gridCol w:w="109"/>
        <w:gridCol w:w="109"/>
        <w:gridCol w:w="413"/>
        <w:gridCol w:w="413"/>
        <w:gridCol w:w="208"/>
        <w:gridCol w:w="109"/>
        <w:gridCol w:w="109"/>
        <w:gridCol w:w="109"/>
        <w:gridCol w:w="413"/>
        <w:gridCol w:w="413"/>
        <w:gridCol w:w="336"/>
        <w:gridCol w:w="109"/>
        <w:gridCol w:w="109"/>
        <w:gridCol w:w="109"/>
        <w:gridCol w:w="413"/>
        <w:gridCol w:w="413"/>
        <w:gridCol w:w="387"/>
      </w:tblGrid>
      <w:tr>
        <w:trPr/>
        <w:tc>
          <w:tcPr>
            <w:tcW w:w="1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Proved Reserves</w:t>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Equivalent</w:t>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(MBOE)</w:t>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551,474 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215,313 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34,062 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divestitures of minerals-in-place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114,833 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(61,083)</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(24,164)</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627,238 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252,531 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acquisitions of minerals-in-place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35,297 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(69,501)</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(27,514)</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159,949 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662,302 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270,332 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165,423 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41,916 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94,532 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33,074 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(81,686)</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(31,454)</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181,306 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852,547 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Developed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246,229 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94,261 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59,667 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105,710 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323,160 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123,507 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546,173 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193,262 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Undeveloped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305,245 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121,052 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88,324 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350,980 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146,821 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339,142 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146,825 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306,374 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130,135 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changes in the Company’s proved oil and natural gas reserves estimates for the years ended December 31, 2021, 2020 and 2019.</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oil and natural gas reserves increased 20% from 270.3 million BOE at December 31, 2020 to 323.4 million BOE at December 31, 2021. The Company’s proved oil and natural gas reserves increased by 84.5 million BOE and the Company produced 31.5 million BOE during the year ended December 31, 2021, resulting in a net increase of 53.1 million BOE. The Company added 33.1 million BOE in proved reserves through extensions and discoveries during 2021, of which 22.4 million BOE resulted from new well locations drilled during 2021 to establish proved developed reserves and 26.9 million BOE resulted primarily from new proved undeveloped locations identified as a result of drilling activities on its existing acreage in the Delaware Basin during 2021, but which were partially offset by the removal of 16.3 million BOE in proved undeveloped reserves that were not developed or were no longer expected to be developed within five years of their initial booking resulting from changes in development plans for certain of our properties in the Delaware Basin. As the Company continues to develop its Delaware Basin assets, the Company may reclassify some or all of this 16.3 million BOE to proved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1945"/>
                <wp:effectExtent l="0" t="0" r="0" b="0"/>
                <wp:wrapNone/>
                <wp:docPr id="146" name="Frame1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reserves at a future date. The Company also realized 41.9 million BOE in net upward revisions to prior estimates, 96% of which was attributable to the significantly higher commodity prices used to estimate proved reserves at December 31, 2021, which resulted in longer estimated economic lives for certain of its properties. The Company also had small upward revisions to prior estimates attributable to increased working interests and lower estimated operating costs on certain of its properties. In addition, the Company realized 9.5 million BOE in net upward revisions to its proved oil and natural gas reserves at December 31, 2021 as a result of property acquisitions and divestitures completed during 2021.</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developed oil and natural gas reserves increased 56% from 123.5 million BOE at December 31, 2020 to 193.3 million BOE at December 31, 2021. The Company’s proved developed oil and natural gas reserves increased by 101.2 million BOE and the Company produced 31.5 million BOE during the year ended December 31, 2021, resulting in a net increase of 69.8 million BOE. The Company added 22.4 million BOE in proved developed reserves through extensions and discoveries during 2021, which resulted from new well locations drilled during 2021 to establish proved developed reserves. The Company realized approximately 33.8 million BOE in net upward revisions to prior estimates, 97% of which was attributable to the significantly higher commodity prices used to estimate proved reserves at December 31, 2021, which resulted in longer estimated economic lives for certain of its producing properties. The Company also had small upward revisions to prior estimates attributable to increased working interests and lower estimated operating costs on certain of its producing properties. In addition, the Company converted 40.1 million BOE of its proved undeveloped reserves to proved developed reserves primarily through its development activities in the Delaware Basin during 2021, primarily in the Company’s Stateline asset area, in the Greater Stebbins Area and in the Rodney Robinson leasehold in the Antelope Ridge asset area. In addition, the Company realized 4.9 million BOE in net upward revisions to its proved developed reserves at December 31, 2021 as a result of property acquisitions and divestitures completed during 2021.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proved undeveloped oil and natural gas reserves decreased 11% from 146.8 million BOE at December 31, 2020 to 130.1 million BOE at December 31, 2021. The Company added 26.9 million BOE in proved undeveloped reserves through extensions and discoveries during 2021, which resulted primarily from new proved undeveloped locations identified as a result of drilling activities on its existing acreage in the Delaware Basin during 2021, but which were partially offset by the removal of 16.3 million BOE in proved undeveloped reserves that were not developed or were no longer expected to be developed within five years of their initial booking resulting from changes in development plans for certain of the properties in the Delaware Basin. The Company realized approximately 8.1 million BOE in net upward revisions to its prior estimates of proved undeveloped reserves, 90% of which was attributable to the significantly higher commodity prices used to estimate proved reserves at December 31, 2021, which resulted in longer estimated economic lives for certain of its proved undeveloped locations. The Company also had small upward revisions to prior estimates attributable to increased working interests and lower estimated operating costs on certain of its proved undeveloped locations. In addition, the Company realized 4.6 million BOE in net upward revisions to its proved undeveloped reserves at December 31, 2021 as a result of property acquisitions and divestitures completed during 2021. During 2021, the Company also converted 40.1 million BOE of its proved undeveloped reserves to proved developed reserves primarily through its development activities in the Delaware Basin during 2021, as noted above.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Company’s proved reserves were comprised of 56% oil and 44% natural gas and were approximately 60% proved developed and 40% proved undeveloped. This increase in the Company’s proved developed reserves to 60% of its total proved reserves at December 31, 2021 reflected a significant change in the Company’s percentage of proved developed reserves, as compared to 46% and 42% proved developed reserves at December 31, 2020 and 2019,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oil and natural gas reserves increased to 270.3 million BOE at December 31, 2020 from 252.5 million BOE at December 31, 2019. The Company’s proved oil and natural gas reserves increased by 45.3 million BOE and the Company produced 27.5 million BOE during the year ended December 31, 2020, resulting in a net increase of 17.8 million BOE. The Company added 35.3 million BOE in proved reserves through extensions and discoveries during 2020, of which 15.2 million BOE resulted from new well locations drilled during 2020 to establish proved developed reserves and 20.1 million BOE consisted primarily of new proved undeveloped locations identified as a result of drilling activities on its existing acreage in the Delaware Basin during 2020. The Company also realized 9.8 million BOE in net upward revisions to prior estimates at December 31, 2020, which included positive revisions to prior estimates of 31.2 million BOE attributable primarily to revisions to prior forecasts resulting from better-than-expected well performance during 2020, which was offset by negative revisions to prior estimates of 21.4 million BOE primarily resulting from lower weighted oil and natural gas prices used to estimate proved reserves at December 31, 2020, as compared to December 31, 2019. The Company’s proved developed oil and natural gas reserves increased to 123.5 million BOE at December 31, 2020 from 105.7 million BOE at December 31, 2019, primarily due to proved developed reserves added as a result of drilling operations in the Wolfcamp and Bone Spring plays in the Delaware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1945"/>
                <wp:effectExtent l="0" t="0" r="0" b="0"/>
                <wp:wrapNone/>
                <wp:docPr id="147" name="Frame1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Basin. At December 31, 2020, the Company’s proved reserves were made up of approximately 59% oil and 41% natural gas and were approximately 46% proved developed and 56% proved undeveloped.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proved oil and natural gas reserves increased to 252.5 million BOE at December 31, 2019 from 215.3 million BOE at December 31, 2018. The Company’s proved oil and natural gas reserves increased by 61.4 million BOE and the Company produced 24.2 million BOE during the year ended December 31, 2019, resulting in a net increase of 37.2 million BOE. The Company’s proved oil and natural gas reserves increased by 58.6 million BOE during 2019 as a result of extensions and discoveries during the year, which were primarily attributable to drilling operations in the Wolfcamp and Bone Spring plays in the Delaware Basin in Southeast New Mexico and West Texas. The Company’s proved oil and natural gas reserves increased by 5.1 million BOE during 2019 as a result of upward revisions of prior estimates, which were attributable to better-than-expected well performance from certain wells, but which were also partially offset by downward revisions attributable to the lower weighted average oil and natural gas prices used to estimate proved reserves in 2019, as compared to 2018. The Company’s proved oil and natural gas reserves decreased 2.3 million BOE in 2019 as a result of net divestitures of minerals-in-place primarily in the Eagle Ford Shale in South Texas and the Haynesville Shale in Northwest Louisiana. The Company’s proved developed oil and natural gas reserves increased to 105.7 million BOE at December 31, 2019 from 94.3 million BOE at December 31, 2018, primarily due to proved developed reserves added as a result of drilling operations in the Wolfcamp and Bone Spring plays in the Delaware Basin. At December 31, 2019, the Company’s proved reserves were made up of approximately 59% oil and 41% natural gas and were approximately 42% proved developed and approximately 58% proved undeveloped.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Standardized Measure of Discounted Future Net Cash Flows and Changes Therein Relating to Proved Oil and Natural Gas Reserves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noted previously, for the period from January through December 2021, the unweighted, arithmetic averages of first-day-of-the-month oil and natural gas prices were $63.04 per Bbl and $3.60 per MMBtu, respectively. For the period from January through December 2020, the comparable average oil and natural gas prices were $36.04 per Bbl and $1.99 per MMBtu, respectively. For the period from January through December 2019, the comparable average oil and natural gas prices were $52.19 per Bbl and $2.58 per MMBtu,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and development costs associated with producing these reserves; neither prices nor costs were escalated with time in these computations.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1945"/>
                <wp:effectExtent l="0" t="0" r="0" b="0"/>
                <wp:wrapNone/>
                <wp:docPr id="148" name="Frame1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0" w:after="0"/>
        <w:rPr/>
      </w:pPr>
      <w:hyperlink w:anchor="i7420cc4011c545a981bbe003a9bf8132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2021, 2020 and 2019</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standardized measure of discounted future net cash flows relating to proved oil and natural gas reserves for the years ended December 31, 2021, 2020 and 2019 (in thousands).</w:t>
      </w:r>
    </w:p>
    <w:tbl>
      <w:tblPr>
        <w:tblW w:w="9773" w:type="dxa"/>
        <w:jc w:val="left"/>
        <w:tblInd w:w="0" w:type="dxa"/>
        <w:tblCellMar>
          <w:top w:w="28" w:type="dxa"/>
          <w:left w:w="28" w:type="dxa"/>
          <w:bottom w:w="28" w:type="dxa"/>
          <w:right w:w="28" w:type="dxa"/>
        </w:tblCellMar>
      </w:tblPr>
      <w:tblGrid>
        <w:gridCol w:w="1720"/>
        <w:gridCol w:w="1509"/>
        <w:gridCol w:w="1525"/>
        <w:gridCol w:w="109"/>
        <w:gridCol w:w="109"/>
        <w:gridCol w:w="109"/>
        <w:gridCol w:w="211"/>
        <w:gridCol w:w="1081"/>
        <w:gridCol w:w="109"/>
        <w:gridCol w:w="109"/>
        <w:gridCol w:w="109"/>
        <w:gridCol w:w="109"/>
        <w:gridCol w:w="211"/>
        <w:gridCol w:w="976"/>
        <w:gridCol w:w="109"/>
        <w:gridCol w:w="109"/>
        <w:gridCol w:w="109"/>
        <w:gridCol w:w="109"/>
        <w:gridCol w:w="211"/>
        <w:gridCol w:w="976"/>
        <w:gridCol w:w="154"/>
      </w:tblGrid>
      <w:tr>
        <w:trPr/>
        <w:tc>
          <w:tcPr>
            <w:tcW w:w="172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(4,588,677)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(2,606,956)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(3,087,142)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annual discount for estimated timing of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standardized measure of discounted future net cash flows relating to proved oil and natural gas reserves for the years ended December 31, 2021, 2020 and 2019 (in thousands).</w:t>
      </w:r>
    </w:p>
    <w:tbl>
      <w:tblPr>
        <w:tblW w:w="10205" w:type="dxa"/>
        <w:jc w:val="left"/>
        <w:tblInd w:w="0" w:type="dxa"/>
        <w:tblCellMar>
          <w:top w:w="28" w:type="dxa"/>
          <w:left w:w="28" w:type="dxa"/>
          <w:bottom w:w="28" w:type="dxa"/>
          <w:right w:w="28" w:type="dxa"/>
        </w:tblCellMar>
      </w:tblPr>
      <w:tblGrid>
        <w:gridCol w:w="2008"/>
        <w:gridCol w:w="1638"/>
        <w:gridCol w:w="1644"/>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2008"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2,250,613 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sales and transfer prices and in production (lifting) costs related to future 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(622,710)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future 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(284,748)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transfers of oil and natural gas produced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(1,412,591)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purchases (divestitures) of reserves in 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due to extensions and discoveries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due to revisions in estimates of reserves quantities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2,033,983 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10.58</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21945"/>
                <wp:effectExtent l="0" t="0" r="0" b="0"/>
                <wp:wrapNone/>
                <wp:docPr id="149" name="Frame1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PERFORMANCE STOCK UNIT AWARD AGREEMENT</w:t>
      </w:r>
    </w:p>
    <w:p>
      <w:pPr>
        <w:pStyle w:val="TextBody"/>
        <w:spacing w:before="0" w:after="0"/>
        <w:jc w:val="both"/>
        <w:rPr/>
      </w:pPr>
      <w:r>
        <w:rPr/>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MATADOR RESOURCES COMPANY </w:t>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2019 LONG-TERM INCENTIVE PLAN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Award of Performance Stock Units</w:t>
      </w:r>
      <w:r>
        <w:rPr>
          <w:rFonts w:ascii="Times New Roman;sans-serif" w:hAnsi="Times New Roman;sans-serif"/>
          <w:b w:val="false"/>
          <w:color w:val="000000"/>
          <w:sz w:val="22"/>
        </w:rPr>
        <w:t>. Pursuant to the Matador Resources Company 2019 Long-Term Incentive Plan (as the same may be amended,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Matador Resources Company, a Texas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grants to</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p>
    <w:p>
      <w:pPr>
        <w:pStyle w:val="TextBody"/>
        <w:spacing w:lineRule="auto" w:line="333" w:before="0" w:after="0"/>
        <w:jc w:val="center"/>
        <w:rPr/>
      </w:pPr>
      <w:r>
        <w:rPr>
          <w:rFonts w:ascii="Times New Roman;sans-serif" w:hAnsi="Times New Roman;sans-serif"/>
          <w:b w:val="false"/>
          <w:color w:val="000000"/>
          <w:sz w:val="22"/>
        </w:rPr>
        <w:t>(the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w:t>
      </w:r>
    </w:p>
    <w:p>
      <w:pPr>
        <w:pStyle w:val="TextBody"/>
        <w:spacing w:before="0" w:after="0"/>
        <w:jc w:val="center"/>
        <w:rPr/>
      </w:pPr>
      <w:r>
        <w:rPr/>
      </w:r>
    </w:p>
    <w:p>
      <w:pPr>
        <w:pStyle w:val="TextBody"/>
        <w:spacing w:lineRule="auto" w:line="326" w:before="0" w:after="0"/>
        <w:jc w:val="both"/>
        <w:rPr/>
      </w:pPr>
      <w:r>
        <w:rPr>
          <w:rFonts w:ascii="Times New Roman;sans-serif" w:hAnsi="Times New Roman;sans-serif"/>
          <w:b w:val="false"/>
          <w:color w:val="000000"/>
          <w:sz w:val="22"/>
        </w:rPr>
        <w:t>an Award of Performance Stock Units (the “</w:t>
      </w:r>
      <w:r>
        <w:rPr>
          <w:rFonts w:ascii="Times New Roman;sans-serif" w:hAnsi="Times New Roman;sans-serif"/>
          <w:b/>
          <w:i/>
          <w:color w:val="000000"/>
          <w:sz w:val="22"/>
        </w:rPr>
        <w:t>Performance Stock Units</w:t>
      </w:r>
      <w:r>
        <w:rPr>
          <w:color w:val="000000"/>
        </w:rPr>
        <w:t>”</w:t>
      </w:r>
      <w:r>
        <w:rPr>
          <w:rFonts w:ascii="Times New Roman;sans-serif" w:hAnsi="Times New Roman;sans-serif"/>
          <w:b w:val="false"/>
          <w:color w:val="000000"/>
          <w:sz w:val="22"/>
        </w:rPr>
        <w:t xml:space="preserve">) subject to the terms and conditions of this Performance Stock Unit Award Agreement (including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 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and the Plan. The target number of Performance Stock Units awarded under this Agreement is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Target Units</w:t>
      </w:r>
      <w:r>
        <w:rPr>
          <w:color w:val="000000"/>
        </w:rPr>
        <w:t>”</w:t>
      </w:r>
      <w:r>
        <w:rPr>
          <w:rFonts w:ascii="Times New Roman;sans-serif" w:hAnsi="Times New Roman;sans-serif"/>
          <w:b w:val="false"/>
          <w:color w:val="000000"/>
          <w:sz w:val="22"/>
        </w:rPr>
        <w:t>). The “</w:t>
      </w:r>
      <w:r>
        <w:rPr>
          <w:rFonts w:ascii="Times New Roman;sans-serif" w:hAnsi="Times New Roman;sans-serif"/>
          <w:b/>
          <w:i/>
          <w:color w:val="000000"/>
          <w:sz w:val="22"/>
        </w:rPr>
        <w:t>Date of Grant</w:t>
      </w:r>
      <w:r>
        <w:rPr>
          <w:color w:val="000000"/>
        </w:rPr>
        <w:t xml:space="preserve">” </w:t>
      </w:r>
      <w:r>
        <w:rPr>
          <w:rFonts w:ascii="Times New Roman;sans-serif" w:hAnsi="Times New Roman;sans-serif"/>
          <w:b w:val="false"/>
          <w:color w:val="000000"/>
          <w:sz w:val="22"/>
        </w:rPr>
        <w:t xml:space="preserve">of this Award is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Each Performance Stock Unit subject to this Award shall represent a notional share of Common Stock, with the value of each Performance Stock Unit being equal to the Fair Market Value of a share of Common Stock at any given time. </w:t>
      </w:r>
    </w:p>
    <w:p>
      <w:pPr>
        <w:pStyle w:val="TextBody"/>
        <w:spacing w:before="0" w:after="0"/>
        <w:ind w:left="0" w:right="0" w:firstLine="720"/>
        <w:jc w:val="both"/>
        <w:rPr/>
      </w:pPr>
      <w:r>
        <w:rPr/>
      </w:r>
    </w:p>
    <w:p>
      <w:pPr>
        <w:pStyle w:val="TextBody"/>
        <w:spacing w:lineRule="auto" w:line="297" w:before="0" w:after="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Subject to Plan; Definitions</w:t>
      </w:r>
      <w:r>
        <w:rPr>
          <w:rFonts w:ascii="Times New Roman;sans-serif" w:hAnsi="Times New Roman;sans-serif"/>
          <w:b w:val="false"/>
          <w:color w:val="000000"/>
          <w:sz w:val="22"/>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w:t>
      </w:r>
      <w:r>
        <w:rPr>
          <w:color w:val="000000"/>
        </w:rPr>
        <w:t>●</w:t>
      </w:r>
      <w:r>
        <w:rPr>
          <w:rFonts w:ascii="Times New Roman;sans-serif" w:hAnsi="Times New Roman;sans-serif"/>
          <w:b w:val="false"/>
          <w:color w:val="000000"/>
          <w:sz w:val="22"/>
        </w:rPr>
        <w:t>], by and between the Company and the Participant (the “</w:t>
      </w:r>
      <w:r>
        <w:rPr>
          <w:rFonts w:ascii="Times New Roman;sans-serif" w:hAnsi="Times New Roman;sans-serif"/>
          <w:b/>
          <w:i/>
          <w:color w:val="000000"/>
          <w:sz w:val="22"/>
        </w:rPr>
        <w:t>Employment Agreement</w:t>
      </w:r>
      <w:r>
        <w:rPr>
          <w:color w:val="000000"/>
        </w:rPr>
        <w:t>”</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Vesting; Settlement of Performance Stock Units</w:t>
      </w:r>
      <w:r>
        <w:rPr>
          <w:rFonts w:ascii="Times New Roman;sans-serif" w:hAnsi="Times New Roman;sans-serif"/>
          <w:b w:val="false"/>
          <w:color w:val="000000"/>
          <w:sz w:val="22"/>
        </w:rPr>
        <w:t xml:space="preserve">. </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 xml:space="preserve">a.    Subject to the Participant’s continuous employment with or service to the Company or a Subsidiary through the end of the Performance Period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the actual number of shares of Common Stock that may become issuable pursuant to the Performance Stock Units shall be determined in accordance with the performance-based vesting requirements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attached hereto and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Performance Stock Units that become vested pursuant to the terms of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or this Section 3 are collectively referred to herein as “</w:t>
      </w:r>
      <w:r>
        <w:rPr>
          <w:rFonts w:ascii="Times New Roman;sans-serif" w:hAnsi="Times New Roman;sans-serif"/>
          <w:b/>
          <w:i/>
          <w:color w:val="000000"/>
          <w:sz w:val="22"/>
        </w:rPr>
        <w:t>Vested Units</w:t>
      </w:r>
      <w:r>
        <w:rPr>
          <w:rFonts w:ascii="Times New Roman;sans-serif" w:hAnsi="Times New Roman;sans-serif"/>
          <w:b w:val="false"/>
          <w:color w:val="000000"/>
          <w:sz w:val="22"/>
        </w:rPr>
        <w:t>.” All other Performance Stock Units are collectively referred to herein as “</w:t>
      </w:r>
      <w:r>
        <w:rPr>
          <w:rFonts w:ascii="Times New Roman;sans-serif" w:hAnsi="Times New Roman;sans-serif"/>
          <w:b/>
          <w:i/>
          <w:color w:val="000000"/>
          <w:sz w:val="22"/>
        </w:rPr>
        <w:t>Unvested Units</w:t>
      </w:r>
      <w:r>
        <w:rPr>
          <w:rFonts w:ascii="Times New Roman;sans-serif" w:hAnsi="Times New Roman;sans-serif"/>
          <w:b w:val="false"/>
          <w:color w:val="000000"/>
          <w:sz w:val="22"/>
        </w:rPr>
        <w:t>.”</w:t>
      </w:r>
    </w:p>
    <w:p>
      <w:pPr>
        <w:pStyle w:val="TextBody"/>
        <w:spacing w:before="0" w:after="0"/>
        <w:ind w:left="0" w:right="0" w:firstLine="720"/>
        <w:jc w:val="both"/>
        <w:rPr/>
      </w:pPr>
      <w:r>
        <w:rPr/>
      </w:r>
    </w:p>
    <w:p>
      <w:pPr>
        <w:pStyle w:val="TextBody"/>
        <w:spacing w:lineRule="auto" w:line="304"/>
        <w:ind w:left="0" w:right="0" w:firstLine="720"/>
        <w:jc w:val="both"/>
        <w:rPr/>
      </w:pPr>
      <w:r>
        <w:rPr>
          <w:rFonts w:ascii="Times New Roman;sans-serif" w:hAnsi="Times New Roman;sans-serif"/>
          <w:b w:val="false"/>
          <w:color w:val="000000"/>
          <w:sz w:val="22"/>
        </w:rPr>
        <w:t xml:space="preserve">b.    The Vested Units, as determined pursuant to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shall vest on the Vesting Date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Subject to the provisions of the Plan and this Agreement, within thirty (30) days following the Vesting Date, and in no event later than two and a half (2½) months following the close of the calendar year in which the Performance Period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ends, the Company shall deliver to the Participant or the Participant’s personal representative a number of shares of Common Stock equal to the number of Vested Units credited to the Participant. Vested Units may be converted only with respect to full shares, and no fractional share of Common Stock shall be issued.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4" w:before="0" w:after="0"/>
        <w:jc w:val="both"/>
        <w:rPr/>
      </w:pPr>
      <w:r>
        <w:rPr>
          <w:rFonts w:ascii="Times New Roman;sans-serif" w:hAnsi="Times New Roman;sans-serif"/>
          <w:b w:val="false"/>
          <w:color w:val="000000"/>
          <w:sz w:val="22"/>
        </w:rPr>
        <w:t xml:space="preserve">Notwithstanding anything herein to the contrary, if the Participant incurs a Termination of Service for any reason after the last day of the Performance Period, but prior to the Vesting Date, the Participant shall not forfeit the Performance Stock Units by reason of such Termination of Service to the extent such Performance Stock Units would have otherwise vested in accordance with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w:t>
      </w:r>
    </w:p>
    <w:p>
      <w:pPr>
        <w:pStyle w:val="TextBody"/>
        <w:spacing w:before="0" w:after="0"/>
        <w:ind w:left="0" w:right="0" w:firstLine="720"/>
        <w:jc w:val="both"/>
        <w:rPr/>
      </w:pPr>
      <w:r>
        <w:rPr/>
      </w:r>
    </w:p>
    <w:p>
      <w:pPr>
        <w:pStyle w:val="TextBody"/>
        <w:spacing w:lineRule="auto" w:line="304"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the foregoing, if within thirty (30) days prior to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Participant shall vest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such Termination of Service.</w:t>
      </w:r>
    </w:p>
    <w:p>
      <w:pPr>
        <w:pStyle w:val="TextBody"/>
        <w:spacing w:before="0" w:after="0"/>
        <w:jc w:val="both"/>
        <w:rPr/>
      </w:pPr>
      <w:r>
        <w:rPr/>
      </w:r>
    </w:p>
    <w:p>
      <w:pPr>
        <w:pStyle w:val="TextBody"/>
        <w:spacing w:lineRule="auto" w:line="304"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In the event a Change in Control occurs prior to the completion of the Performance Period and Participant has not experienced a Termination of Service prior to the effective date of the Change in Control, Participant shall vest immediately prior to the consummation of such Change in Control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the Change in Control.</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Forfeiture of Performance Stock Units</w:t>
      </w:r>
      <w:r>
        <w:rPr>
          <w:rFonts w:ascii="Times New Roman;sans-serif" w:hAnsi="Times New Roman;sans-serif"/>
          <w:b w:val="false"/>
          <w:color w:val="000000"/>
          <w:sz w:val="22"/>
        </w:rPr>
        <w:t xml:space="preserve">. Unvested Units shall be forfeited, without the payment of any consideration therefor, immediately upon the earlier of (i) the Vesting Date, to the extent the performance-based vesting conditions have not been satisfied and the Performance Stock Units have not vested in accordance with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and (ii) subject to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the Participant’s Termination of Service. Upon forfeiture, all of the Participant’s rights with respect to the forfeited Unvested Units shall cease and terminate, without any further obligations on the part of the Company.</w:t>
      </w:r>
    </w:p>
    <w:p>
      <w:pPr>
        <w:pStyle w:val="TextBody"/>
        <w:spacing w:before="0" w:after="0"/>
        <w:jc w:val="both"/>
        <w:rPr/>
      </w:pPr>
      <w:r>
        <w:rPr/>
      </w:r>
    </w:p>
    <w:p>
      <w:pPr>
        <w:pStyle w:val="TextBody"/>
        <w:spacing w:lineRule="auto" w:line="290" w:before="0" w:after="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Restrictions on Performance Stock Units</w:t>
      </w:r>
      <w:r>
        <w:rPr>
          <w:rFonts w:ascii="Times New Roman;sans-serif" w:hAnsi="Times New Roman;sans-serif"/>
          <w:b w:val="false"/>
          <w:color w:val="000000"/>
          <w:sz w:val="22"/>
        </w:rPr>
        <w:t>. Subject to the provisions of the Plan and the terms of this Agreement, the Participant shall not be permitted to sell, transfer, pledge, hypothecate, margin, assign or otherwise encumber any of</w:t>
      </w:r>
      <w:r>
        <w:rPr>
          <w:color w:val="000000"/>
        </w:rPr>
        <w:t xml:space="preserve"> </w:t>
      </w:r>
      <w:r>
        <w:rPr>
          <w:rFonts w:ascii="Times New Roman;sans-serif" w:hAnsi="Times New Roman;sans-serif"/>
          <w:b w:val="false"/>
          <w:color w:val="000000"/>
          <w:sz w:val="22"/>
        </w:rPr>
        <w:t xml:space="preserve">the Performance Stock Units, except that, the Participant may transfer for no consideration some or all of the Performance Stock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Performance Stock Units whenever it may determine that, by reason of changes in applicable laws or changes in circumstances after the date of this Agreement, such action is appropriate.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304" w:before="0" w:after="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Rights of a Shareholder</w:t>
      </w:r>
      <w:r>
        <w:rPr>
          <w:rFonts w:ascii="Times New Roman;sans-serif" w:hAnsi="Times New Roman;sans-serif"/>
          <w:b w:val="false"/>
          <w:color w:val="000000"/>
          <w:sz w:val="22"/>
        </w:rPr>
        <w:t xml:space="preserve">. The Participant will have no rights as a shareholder with respect to any Performance Stock Units covered by this Agreement (including, without limitation, any voting rights or the right to receive any dividends) until the issuance of a certificate or certificates to the Participant or the registration of such shares in the Participant’s name for shares of Common Stock. Except as otherwise provided in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hereof, no adjustment shall be made for dividends or other rights for which the record date is prior to the issuance of such shares of Common Stock. The Participant, by his or her execution of this Agreement, agrees to execute any documents requested by the Company in connection with the issuance of such shares of Common Stock. </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Adjustment to Number of Performance Stock Units</w:t>
      </w:r>
      <w:r>
        <w:rPr>
          <w:rFonts w:ascii="Times New Roman;sans-serif" w:hAnsi="Times New Roman;sans-serif"/>
          <w:b w:val="false"/>
          <w:color w:val="000000"/>
          <w:sz w:val="22"/>
        </w:rPr>
        <w:t>. The number of Target Units shall be subject to adjustment in accordance with </w:t>
      </w:r>
      <w:r>
        <w:rPr>
          <w:rFonts w:ascii="Times New Roman;sans-serif" w:hAnsi="Times New Roman;sans-serif"/>
          <w:b w:val="false"/>
          <w:color w:val="000000"/>
          <w:sz w:val="22"/>
          <w:u w:val="single"/>
        </w:rPr>
        <w:t>Articles 11-13</w:t>
      </w:r>
      <w:r>
        <w:rPr>
          <w:color w:val="000000"/>
        </w:rPr>
        <w:t> </w:t>
      </w:r>
      <w:r>
        <w:rPr>
          <w:rFonts w:ascii="Times New Roman;sans-serif" w:hAnsi="Times New Roman;sans-serif"/>
          <w:b w:val="false"/>
          <w:color w:val="000000"/>
          <w:sz w:val="22"/>
        </w:rPr>
        <w:t>of the Plan.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Participant’s Representations</w:t>
      </w:r>
      <w:r>
        <w:rPr>
          <w:rFonts w:ascii="Times New Roman;sans-serif" w:hAnsi="Times New Roman;sans-serif"/>
          <w:b w:val="false"/>
          <w:color w:val="000000"/>
          <w:sz w:val="22"/>
        </w:rPr>
        <w:t>. Notwithstanding any of the provisions hereof, the Participant hereby agrees that he or she will not acquire any shares of Common Stock, and that the Company will not be obligated to issue any shares of Common Stock to the Participant hereunder if the issuance of such shares would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pStyle w:val="TextBody"/>
        <w:spacing w:before="0" w:after="0"/>
        <w:jc w:val="both"/>
        <w:rPr/>
      </w:pPr>
      <w:r>
        <w:rPr/>
      </w:r>
    </w:p>
    <w:p>
      <w:pPr>
        <w:pStyle w:val="TextBody"/>
        <w:spacing w:lineRule="auto" w:line="290" w:before="0" w:after="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Participant’s Acknowledgments</w:t>
      </w:r>
      <w:r>
        <w:rPr>
          <w:rFonts w:ascii="Times New Roman;sans-serif" w:hAnsi="Times New Roman;sans-serif"/>
          <w:b w:val="false"/>
          <w:color w:val="000000"/>
          <w:sz w:val="22"/>
        </w:rPr>
        <w:t>. The Participant acknowledges that a copy of the Plan has been made available for his or her review by the Company, and represents that he or she is familiar with the</w:t>
      </w:r>
      <w:r>
        <w:rPr>
          <w:color w:val="000000"/>
        </w:rPr>
        <w:t xml:space="preserve"> </w:t>
      </w:r>
      <w:r>
        <w:rPr>
          <w:rFonts w:ascii="Times New Roman;sans-serif" w:hAnsi="Times New Roman;sans-serif"/>
          <w:b w:val="false"/>
          <w:color w:val="000000"/>
          <w:sz w:val="22"/>
        </w:rPr>
        <w:t>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Law Governing</w:t>
      </w:r>
      <w:r>
        <w:rPr>
          <w:rFonts w:ascii="Times New Roman;sans-serif" w:hAnsi="Times New Roman;sans-serif"/>
          <w:b w:val="false"/>
          <w:color w:val="000000"/>
          <w:sz w:val="22"/>
        </w:rPr>
        <w:t>. This Agreement shall be governed by, construed, and enforced in accordance with the laws of the State of</w:t>
      </w:r>
      <w:r>
        <w:rPr>
          <w:color w:val="000000"/>
        </w:rPr>
        <w:t> </w:t>
      </w:r>
      <w:r>
        <w:rPr>
          <w:rFonts w:ascii="Times New Roman;sans-serif" w:hAnsi="Times New Roman;sans-serif"/>
          <w:b w:val="false"/>
          <w:color w:val="000000"/>
          <w:sz w:val="22"/>
        </w:rPr>
        <w:t>Texas (excluding any conflict of laws rule or principle of Texas law that might refer the governance, construction, or interpretation of this Agreement to the laws of another state).</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No Right to Continue Service or Employment</w:t>
      </w:r>
      <w:r>
        <w:rPr>
          <w:rFonts w:ascii="Times New Roman;sans-serif" w:hAnsi="Times New Roman;sans-serif"/>
          <w:b w:val="false"/>
          <w:color w:val="000000"/>
          <w:sz w:val="22"/>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Legal Construction.</w:t>
      </w:r>
      <w:r>
        <w:rPr>
          <w:color w:val="000000"/>
        </w:rPr>
        <w:t> </w:t>
      </w:r>
      <w:r>
        <w:rPr>
          <w:rFonts w:ascii="Times New Roman;sans-serif" w:hAnsi="Times New Roman;sans-serif"/>
          <w:b w:val="false"/>
          <w:color w:val="000000"/>
          <w:sz w:val="22"/>
        </w:rPr>
        <w:t>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304" w:before="0" w:after="0"/>
        <w:ind w:left="0" w:right="0" w:firstLine="72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Covenants and Agreements as Independent Agreements</w:t>
      </w:r>
      <w:r>
        <w:rPr>
          <w:rFonts w:ascii="Times New Roman;sans-serif" w:hAnsi="Times New Roman;sans-serif"/>
          <w:b w:val="false"/>
          <w:color w:val="000000"/>
          <w:sz w:val="22"/>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Parties Bound</w:t>
      </w:r>
      <w:r>
        <w:rPr>
          <w:rFonts w:ascii="Times New Roman;sans-serif" w:hAnsi="Times New Roman;sans-serif"/>
          <w:b w:val="false"/>
          <w:color w:val="000000"/>
          <w:sz w:val="22"/>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Performance Stock Units without first executing and delivering an agreement in a form satisfactory to the Company making such person subject to the restrictions on transfer contained herein.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Modification</w:t>
      </w:r>
      <w:r>
        <w:rPr>
          <w:rFonts w:ascii="Times New Roman;sans-serif" w:hAnsi="Times New Roman;sans-serif"/>
          <w:b w:val="false"/>
          <w:color w:val="000000"/>
          <w:sz w:val="22"/>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Times New Roman;sans-serif" w:hAnsi="Times New Roman;sans-serif"/>
          <w:b w:val="false"/>
          <w:color w:val="000000"/>
          <w:sz w:val="22"/>
          <w:u w:val="single"/>
        </w:rPr>
        <w:t>Section 16</w:t>
      </w:r>
      <w:r>
        <w:rPr>
          <w:rFonts w:ascii="Times New Roman;sans-serif" w:hAnsi="Times New Roman;sans-serif"/>
          <w:b w:val="false"/>
          <w:color w:val="000000"/>
          <w:sz w:val="22"/>
        </w:rPr>
        <w:t>, the Company may amend the Plan to the extent permitted by the Plan.</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that are used in this Agreement are used for reference and convenience purposes only and do not constitute substantive matters to be considered in construing the terms and provisions of this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Gender and Number</w:t>
      </w:r>
      <w:r>
        <w:rPr>
          <w:rFonts w:ascii="Times New Roman;sans-serif" w:hAnsi="Times New Roman;sans-serif"/>
          <w:b w:val="false"/>
          <w:color w:val="000000"/>
          <w:sz w:val="22"/>
        </w:rPr>
        <w:t>. Words of any gender used in this Agreement shall be held and construed to include any other gender, and words in the singular number shall be held to include the plural, and vice versa, unless the context requires otherwise.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04" w:before="0" w:after="0"/>
        <w:ind w:left="0" w:right="0" w:firstLine="72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pStyle w:val="TextBody"/>
        <w:spacing w:before="0" w:after="0"/>
        <w:ind w:left="0" w:right="0" w:firstLine="720"/>
        <w:jc w:val="both"/>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Notice to the Company shall be addressed and delivered as follows:</w:t>
      </w:r>
    </w:p>
    <w:p>
      <w:pPr>
        <w:pStyle w:val="TextBody"/>
        <w:spacing w:before="0" w:after="0"/>
        <w:ind w:left="0" w:right="0" w:firstLine="720"/>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Matador Resources Company</w:t>
      </w:r>
    </w:p>
    <w:p>
      <w:pPr>
        <w:pStyle w:val="TextBody"/>
        <w:spacing w:lineRule="auto" w:line="333"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5400 LBJ Fwy, Suite 1500</w:t>
      </w:r>
    </w:p>
    <w:p>
      <w:pPr>
        <w:pStyle w:val="TextBody"/>
        <w:spacing w:lineRule="auto" w:line="333"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Dallas, TX 75240</w:t>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Attn: General Counsel</w:t>
      </w:r>
    </w:p>
    <w:p>
      <w:pPr>
        <w:pStyle w:val="TextBody"/>
        <w:spacing w:lineRule="auto" w:line="333"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Facsimile: (972) 371-5201</w:t>
      </w:r>
    </w:p>
    <w:p>
      <w:pPr>
        <w:pStyle w:val="TextBody"/>
        <w:spacing w:before="0" w:after="0"/>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Notice to the Participant shall be addressed and delivered to the Participant’s address as set forth in the Company’s records.</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Tax Requirements</w:t>
      </w:r>
      <w:r>
        <w:rPr>
          <w:rFonts w:ascii="Times New Roman;sans-serif" w:hAnsi="Times New Roman;sans-serif"/>
          <w:b w:val="false"/>
          <w:color w:val="000000"/>
          <w:sz w:val="22"/>
        </w:rPr>
        <w:t xml:space="preserve">. The Participant is hereby advised to consult immediately with his or her own tax advisor regarding the tax consequences of this Agreement. The Company or, if applicable, any Subsidiary (for purposes of this </w:t>
      </w:r>
      <w:r>
        <w:rPr>
          <w:rFonts w:ascii="Times New Roman;sans-serif" w:hAnsi="Times New Roman;sans-serif"/>
          <w:b w:val="false"/>
          <w:color w:val="000000"/>
          <w:sz w:val="22"/>
          <w:u w:val="single"/>
        </w:rPr>
        <w:t>Section 20</w:t>
      </w:r>
      <w:r>
        <w:rPr>
          <w:rFonts w:ascii="Times New Roman;sans-serif" w:hAnsi="Times New Roman;sans-serif"/>
          <w:b w:val="false"/>
          <w:color w:val="000000"/>
          <w:sz w:val="22"/>
        </w:rPr>
        <w:t>, the term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The Company may, in its sole discretion, also require the Participant receiving shares of Common Stock issued under the Plan to pay the Company the amount of any taxes that the Company is permitted to withhold in connection with the Participant’s income arising with respect to the Award. Such payments shall be required to be made when requested by Company and 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applicable tax withholding payment; (iii) the Company’s withholding of a number of shares to be delivered upon the vesting of this Award, which shares so withheld have an aggregate Fair Market Value that equals or exceeds (solely to avoid the issuance of fractional shares) the applicable tax withholding payment; or (iv) any combination of (i), (ii) or (iii) or any other method consented to by the Company in writing. The Company may, in its sole discretion, withhold any such taxes from any other cash remuneration otherwise paid by the Company to the Participant.</w:t>
      </w:r>
    </w:p>
    <w:p>
      <w:pPr>
        <w:pStyle w:val="TextBody"/>
        <w:spacing w:before="0" w:after="0"/>
        <w:jc w:val="both"/>
        <w:rPr/>
      </w:pPr>
      <w:r>
        <w:rPr/>
      </w:r>
    </w:p>
    <w:p>
      <w:pPr>
        <w:pStyle w:val="TextBody"/>
        <w:spacing w:lineRule="auto" w:line="304"/>
        <w:ind w:left="0" w:right="0" w:firstLine="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xml:space="preserve">.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0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Performance Stock Units via Company web site or other electronic delivery.</w:t>
      </w:r>
    </w:p>
    <w:p>
      <w:pPr>
        <w:pStyle w:val="TextBody"/>
        <w:spacing w:before="0" w:after="0"/>
        <w:jc w:val="both"/>
        <w:rPr/>
      </w:pPr>
      <w:r>
        <w:rPr/>
      </w:r>
    </w:p>
    <w:p>
      <w:pPr>
        <w:pStyle w:val="TextBody"/>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 * * * * * * *</w:t>
      </w:r>
    </w:p>
    <w:p>
      <w:pPr>
        <w:pStyle w:val="TextBody"/>
        <w:spacing w:before="0" w:after="0"/>
        <w:jc w:val="center"/>
        <w:rPr/>
      </w:pPr>
      <w:r>
        <w:rPr/>
      </w:r>
    </w:p>
    <w:p>
      <w:pPr>
        <w:pStyle w:val="TextBody"/>
        <w:spacing w:lineRule="auto" w:line="333"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p>
    <w:p>
      <w:pPr>
        <w:pStyle w:val="TextBody"/>
        <w:spacing w:lineRule="auto" w:line="333"/>
        <w:jc w:val="center"/>
        <w:rPr/>
      </w:pP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0" w:after="0"/>
        <w:ind w:left="0" w:right="0" w:firstLine="720"/>
        <w:jc w:val="both"/>
        <w:rPr/>
      </w:pPr>
      <w:r>
        <w:rPr>
          <w:rFonts w:ascii="Times New Roman;sans-serif" w:hAnsi="Times New Roman;sans-serif"/>
          <w:b w:val="false"/>
          <w:color w:val="000000"/>
          <w:sz w:val="22"/>
        </w:rPr>
        <w:t>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Times New Roman;sans-serif" w:hAnsi="Times New Roman;sans-serif"/>
          <w:b w:val="false"/>
          <w:color w:val="000000"/>
          <w:sz w:val="22"/>
          <w:u w:val="single"/>
        </w:rPr>
        <w:t>Section 1</w:t>
      </w:r>
      <w:r>
        <w:rPr>
          <w:color w:val="000000"/>
        </w:rPr>
        <w:t> </w:t>
      </w:r>
      <w:r>
        <w:rPr>
          <w:rFonts w:ascii="Times New Roman;sans-serif" w:hAnsi="Times New Roman;sans-serif"/>
          <w:b w:val="false"/>
          <w:color w:val="000000"/>
          <w:sz w:val="22"/>
        </w:rPr>
        <w:t>hereof.</w:t>
      </w:r>
    </w:p>
    <w:p>
      <w:pPr>
        <w:pStyle w:val="TextBody"/>
        <w:spacing w:before="0" w:after="0"/>
        <w:jc w:val="both"/>
        <w:rPr/>
      </w:pPr>
      <w:r>
        <w:rPr/>
      </w:r>
    </w:p>
    <w:tbl>
      <w:tblPr>
        <w:tblW w:w="4347" w:type="dxa"/>
        <w:jc w:val="right"/>
        <w:tblInd w:w="0" w:type="dxa"/>
        <w:tblCellMar>
          <w:top w:w="28" w:type="dxa"/>
          <w:left w:w="28" w:type="dxa"/>
          <w:bottom w:w="28" w:type="dxa"/>
          <w:right w:w="28" w:type="dxa"/>
        </w:tblCellMar>
      </w:tblPr>
      <w:tblGrid>
        <w:gridCol w:w="754"/>
        <w:gridCol w:w="660"/>
        <w:gridCol w:w="660"/>
        <w:gridCol w:w="660"/>
        <w:gridCol w:w="660"/>
        <w:gridCol w:w="953"/>
      </w:tblGrid>
      <w:tr>
        <w:trPr/>
        <w:tc>
          <w:tcPr>
            <w:tcW w:w="75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MATADOR RESOURCES 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jc w:val="right"/>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APPENDIX A</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PERFORMANCE GOALS AND PERFORMANCE PERIOD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10.59</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PERFORMANCE STOCK UNIT AWARD AGREEMENT</w:t>
      </w:r>
    </w:p>
    <w:p>
      <w:pPr>
        <w:pStyle w:val="TextBody"/>
        <w:spacing w:before="0" w:after="0"/>
        <w:jc w:val="both"/>
        <w:rPr/>
      </w:pPr>
      <w:r>
        <w:rPr/>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MATADOR RESOURCES COMPANY </w:t>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2019 LONG-TERM INCENTIVE PLAN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Award of Performance Stock Units</w:t>
      </w:r>
      <w:r>
        <w:rPr>
          <w:rFonts w:ascii="Times New Roman;sans-serif" w:hAnsi="Times New Roman;sans-serif"/>
          <w:b w:val="false"/>
          <w:color w:val="000000"/>
          <w:sz w:val="22"/>
        </w:rPr>
        <w:t>. Pursuant to the Matador Resources Company 2019 Long-Term Incentive Plan (as the same may be amended,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Matador Resources Company, a Texas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grants to</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p>
    <w:p>
      <w:pPr>
        <w:pStyle w:val="TextBody"/>
        <w:spacing w:lineRule="auto" w:line="333" w:before="0" w:after="0"/>
        <w:jc w:val="center"/>
        <w:rPr/>
      </w:pPr>
      <w:r>
        <w:rPr>
          <w:rFonts w:ascii="Times New Roman;sans-serif" w:hAnsi="Times New Roman;sans-serif"/>
          <w:b w:val="false"/>
          <w:color w:val="000000"/>
          <w:sz w:val="22"/>
        </w:rPr>
        <w:t>(the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w:t>
      </w:r>
    </w:p>
    <w:p>
      <w:pPr>
        <w:pStyle w:val="TextBody"/>
        <w:spacing w:before="0" w:after="0"/>
        <w:jc w:val="center"/>
        <w:rPr/>
      </w:pPr>
      <w:r>
        <w:rPr/>
      </w:r>
    </w:p>
    <w:p>
      <w:pPr>
        <w:pStyle w:val="TextBody"/>
        <w:spacing w:lineRule="auto" w:line="326" w:before="0" w:after="0"/>
        <w:jc w:val="both"/>
        <w:rPr/>
      </w:pPr>
      <w:r>
        <w:rPr>
          <w:rFonts w:ascii="Times New Roman;sans-serif" w:hAnsi="Times New Roman;sans-serif"/>
          <w:b w:val="false"/>
          <w:color w:val="000000"/>
          <w:sz w:val="22"/>
        </w:rPr>
        <w:t>an Award of Performance Stock Units (the “</w:t>
      </w:r>
      <w:r>
        <w:rPr>
          <w:rFonts w:ascii="Times New Roman;sans-serif" w:hAnsi="Times New Roman;sans-serif"/>
          <w:b/>
          <w:i/>
          <w:color w:val="000000"/>
          <w:sz w:val="22"/>
        </w:rPr>
        <w:t>Performance Stock Units</w:t>
      </w:r>
      <w:r>
        <w:rPr>
          <w:color w:val="000000"/>
        </w:rPr>
        <w:t>”</w:t>
      </w:r>
      <w:r>
        <w:rPr>
          <w:rFonts w:ascii="Times New Roman;sans-serif" w:hAnsi="Times New Roman;sans-serif"/>
          <w:b w:val="false"/>
          <w:color w:val="000000"/>
          <w:sz w:val="22"/>
        </w:rPr>
        <w:t xml:space="preserve">) subject to the terms and conditions of this Performance Stock Unit Award Agreement (including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 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and the Plan. The target number of Performance Stock Units awarded under this Agreement is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Target Units</w:t>
      </w:r>
      <w:r>
        <w:rPr>
          <w:color w:val="000000"/>
        </w:rPr>
        <w:t>”</w:t>
      </w:r>
      <w:r>
        <w:rPr>
          <w:rFonts w:ascii="Times New Roman;sans-serif" w:hAnsi="Times New Roman;sans-serif"/>
          <w:b w:val="false"/>
          <w:color w:val="000000"/>
          <w:sz w:val="22"/>
        </w:rPr>
        <w:t>). The “</w:t>
      </w:r>
      <w:r>
        <w:rPr>
          <w:rFonts w:ascii="Times New Roman;sans-serif" w:hAnsi="Times New Roman;sans-serif"/>
          <w:b/>
          <w:i/>
          <w:color w:val="000000"/>
          <w:sz w:val="22"/>
        </w:rPr>
        <w:t>Date of Grant</w:t>
      </w:r>
      <w:r>
        <w:rPr>
          <w:color w:val="000000"/>
        </w:rPr>
        <w:t xml:space="preserve">” </w:t>
      </w:r>
      <w:r>
        <w:rPr>
          <w:rFonts w:ascii="Times New Roman;sans-serif" w:hAnsi="Times New Roman;sans-serif"/>
          <w:b w:val="false"/>
          <w:color w:val="000000"/>
          <w:sz w:val="22"/>
        </w:rPr>
        <w:t>of this Award is</w:t>
      </w:r>
      <w:r>
        <w:rPr>
          <w:color w:val="000000"/>
        </w:rPr>
        <w:t xml:space="preserve">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Each Performance Stock Unit subject to this Award shall represent a notional share of Common Stock, with the value of each Performance Stock Unit being equal to the Fair Market Value of a share of Common Stock at any given time. </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Subject to Plan; Definitions</w:t>
      </w:r>
      <w:r>
        <w:rPr>
          <w:rFonts w:ascii="Times New Roman;sans-serif" w:hAnsi="Times New Roman;sans-serif"/>
          <w:b w:val="false"/>
          <w:color w:val="000000"/>
          <w:sz w:val="22"/>
        </w:rPr>
        <w:t xml:space="preserve">.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 Settlement of Performance Stock Units</w:t>
      </w:r>
      <w:r>
        <w:rPr>
          <w:rFonts w:ascii="Times New Roman;sans-serif" w:hAnsi="Times New Roman;sans-serif"/>
          <w:b w:val="false"/>
          <w:color w:val="000000"/>
          <w:sz w:val="22"/>
        </w:rPr>
        <w:t xml:space="preserve">. </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 xml:space="preserve">a.    Subject to the Participant’s continuous employment with or service to the Company or a Subsidiary through the end of the Performance Period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the actual number of shares of Common Stock that may become issuable pursuant to the Performance Stock Units shall be determined in accordance with the performance-based vesting requirements set forth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attached hereto and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Performance Stock Units that become vested pursuant to the terms of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or this Section 3 are collectively referred to herein as “</w:t>
      </w:r>
      <w:r>
        <w:rPr>
          <w:rFonts w:ascii="Times New Roman;sans-serif" w:hAnsi="Times New Roman;sans-serif"/>
          <w:b/>
          <w:i/>
          <w:color w:val="000000"/>
          <w:sz w:val="22"/>
        </w:rPr>
        <w:t>Vested Units</w:t>
      </w:r>
      <w:r>
        <w:rPr>
          <w:rFonts w:ascii="Times New Roman;sans-serif" w:hAnsi="Times New Roman;sans-serif"/>
          <w:b w:val="false"/>
          <w:color w:val="000000"/>
          <w:sz w:val="22"/>
        </w:rPr>
        <w:t>.” All other Performance Stock Units are collectively referred to herein as “</w:t>
      </w:r>
      <w:r>
        <w:rPr>
          <w:rFonts w:ascii="Times New Roman;sans-serif" w:hAnsi="Times New Roman;sans-serif"/>
          <w:b/>
          <w:i/>
          <w:color w:val="000000"/>
          <w:sz w:val="22"/>
        </w:rPr>
        <w:t>Unvested Units</w:t>
      </w:r>
      <w:r>
        <w:rPr>
          <w:rFonts w:ascii="Times New Roman;sans-serif" w:hAnsi="Times New Roman;sans-serif"/>
          <w:b w:val="false"/>
          <w:color w:val="000000"/>
          <w:sz w:val="22"/>
        </w:rPr>
        <w:t>.”</w:t>
      </w:r>
    </w:p>
    <w:p>
      <w:pPr>
        <w:pStyle w:val="TextBody"/>
        <w:spacing w:before="0" w:after="0"/>
        <w:ind w:left="0" w:right="0" w:firstLine="720"/>
        <w:jc w:val="both"/>
        <w:rPr/>
      </w:pPr>
      <w:r>
        <w:rPr/>
      </w:r>
    </w:p>
    <w:p>
      <w:pPr>
        <w:pStyle w:val="TextBody"/>
        <w:spacing w:lineRule="auto" w:line="304"/>
        <w:ind w:left="0" w:right="0" w:firstLine="720"/>
        <w:jc w:val="both"/>
        <w:rPr/>
      </w:pPr>
      <w:r>
        <w:rPr>
          <w:rFonts w:ascii="Times New Roman;sans-serif" w:hAnsi="Times New Roman;sans-serif"/>
          <w:b w:val="false"/>
          <w:color w:val="000000"/>
          <w:sz w:val="22"/>
        </w:rPr>
        <w:t xml:space="preserve">b.    The Vested Units, as determined pursuant to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shall vest on the Vesting Date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Subject to the provisions of the Plan and this Agreement, within thirty (30) days following the Vesting Date, and in no event later than two and a half (2½) months following the close of the calendar year in which the Performance Period (as defined in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ends, the Company shall deliver to the Participant or the Participant’s personal representative a number of shares of Common Stock equal to the number of Vested Units credited to the Participant. Vested Units may be converted only with respect to full shares,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4" w:before="0" w:after="0"/>
        <w:jc w:val="both"/>
        <w:rPr/>
      </w:pPr>
      <w:r>
        <w:rPr>
          <w:rFonts w:ascii="Times New Roman;sans-serif" w:hAnsi="Times New Roman;sans-serif"/>
          <w:b w:val="false"/>
          <w:color w:val="000000"/>
          <w:sz w:val="22"/>
        </w:rPr>
        <w:t xml:space="preserve">and no fractional share of Common Stock shall be issued. Notwithstanding anything herein to the contrary, if the Participant incurs a Termination of Service for any reason after the last day of the Performance Period, but prior to the Vesting Date, the Participant shall not forfeit the Performance Stock Units by reason of such Termination of Service to the extent such Performance Stock Units would have otherwise vested in accordance with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w:t>
      </w:r>
    </w:p>
    <w:p>
      <w:pPr>
        <w:pStyle w:val="TextBody"/>
        <w:spacing w:before="0" w:after="0"/>
        <w:jc w:val="both"/>
        <w:rPr/>
      </w:pPr>
      <w:r>
        <w:rPr/>
      </w:r>
    </w:p>
    <w:p>
      <w:pPr>
        <w:pStyle w:val="TextBody"/>
        <w:spacing w:lineRule="auto" w:line="304"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In the event a Change in Control occurs prior to the completion of the Performance Period and Participant has not experienced a Termination of Service prior to the effective date of the Change in Control, Participant shall vest immediately prior to the consummation of such Change in Control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the Change in Control.</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Forfeiture of Performance Stock Units</w:t>
      </w:r>
      <w:r>
        <w:rPr>
          <w:rFonts w:ascii="Times New Roman;sans-serif" w:hAnsi="Times New Roman;sans-serif"/>
          <w:b w:val="false"/>
          <w:color w:val="000000"/>
          <w:sz w:val="22"/>
        </w:rPr>
        <w:t xml:space="preserve">. Unvested Units shall be forfeited, without the payment of any consideration therefor, immediately upon the earlier of (i) the Vesting Date, to the extent the performance-based vesting conditions have not been satisfied and the Performance Stock Units have not vested in accordance with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and (ii) subject to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the Participant’s Termination of Service. Upon forfeiture, all of the Participant’s rights with respect to the forfeited Unvested Units shall cease and terminate, without any further obligations on the part of the Company.</w:t>
      </w:r>
    </w:p>
    <w:p>
      <w:pPr>
        <w:pStyle w:val="TextBody"/>
        <w:spacing w:before="0" w:after="0"/>
        <w:jc w:val="both"/>
        <w:rPr/>
      </w:pPr>
      <w:r>
        <w:rPr/>
      </w:r>
    </w:p>
    <w:p>
      <w:pPr>
        <w:pStyle w:val="TextBody"/>
        <w:spacing w:lineRule="auto" w:line="29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Restrictions on Performance Stock Units</w:t>
      </w:r>
      <w:r>
        <w:rPr>
          <w:rFonts w:ascii="Times New Roman;sans-serif" w:hAnsi="Times New Roman;sans-serif"/>
          <w:b w:val="false"/>
          <w:color w:val="000000"/>
          <w:sz w:val="22"/>
        </w:rPr>
        <w:t>. Subject to the provisions of the Plan and the terms of this Agreement, the Participant shall not be permitted to sell, transfer, pledge, hypothecate, margin, assign or otherwise encumber any of</w:t>
      </w:r>
      <w:r>
        <w:rPr>
          <w:color w:val="000000"/>
        </w:rPr>
        <w:t xml:space="preserve"> </w:t>
      </w:r>
      <w:r>
        <w:rPr>
          <w:rFonts w:ascii="Times New Roman;sans-serif" w:hAnsi="Times New Roman;sans-serif"/>
          <w:b w:val="false"/>
          <w:color w:val="000000"/>
          <w:sz w:val="22"/>
        </w:rPr>
        <w:t xml:space="preserve">the Performance Stock Units, except that, the Participant may transfer for no consideration some or all of the Performance Stock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Performance Stock Units whenever it may determine that, by reason of changes in applicable laws or changes in circumstances after the date of this Agreement, such action is appropriate. </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Rights of a Shareholder</w:t>
      </w:r>
      <w:r>
        <w:rPr>
          <w:rFonts w:ascii="Times New Roman;sans-serif" w:hAnsi="Times New Roman;sans-serif"/>
          <w:b w:val="false"/>
          <w:color w:val="000000"/>
          <w:sz w:val="22"/>
        </w:rPr>
        <w:t xml:space="preserve">. The Participant will have no rights as a shareholder with respect to any Performance Stock Units covered by this Agreement (including, without limitation, any voting rights or the right to receive any dividends) until the issuance of a certificate or certificates to the Participant or the registration of such shares in the Participant’s name for shares of Common Stock. Except as otherwise provided in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hereof, no adjustment shall be made for dividends or other rights for which the record date is prior to the issuance of such shares of Common Stock. The Participant, by his or her execution of this Agreement, agrees to execute any documents requested by the Company in connection with the issuance of such shares of Common Stock.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304"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Adjustment to Number of Performance Stock Units</w:t>
      </w:r>
      <w:r>
        <w:rPr>
          <w:rFonts w:ascii="Times New Roman;sans-serif" w:hAnsi="Times New Roman;sans-serif"/>
          <w:b w:val="false"/>
          <w:color w:val="000000"/>
          <w:sz w:val="22"/>
        </w:rPr>
        <w:t>. The number of Target Units shall be subject to adjustment in accordance with </w:t>
      </w:r>
      <w:r>
        <w:rPr>
          <w:rFonts w:ascii="Times New Roman;sans-serif" w:hAnsi="Times New Roman;sans-serif"/>
          <w:b w:val="false"/>
          <w:color w:val="000000"/>
          <w:sz w:val="22"/>
          <w:u w:val="single"/>
        </w:rPr>
        <w:t>Articles 11-13</w:t>
      </w:r>
      <w:r>
        <w:rPr>
          <w:color w:val="000000"/>
        </w:rPr>
        <w:t> </w:t>
      </w:r>
      <w:r>
        <w:rPr>
          <w:rFonts w:ascii="Times New Roman;sans-serif" w:hAnsi="Times New Roman;sans-serif"/>
          <w:b w:val="false"/>
          <w:color w:val="000000"/>
          <w:sz w:val="22"/>
        </w:rPr>
        <w:t>of the Plan.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240" w:before="0" w:after="22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Confidential Information and Non-Disclosure</w:t>
      </w:r>
      <w:r>
        <w:rPr>
          <w:rFonts w:ascii="Times New Roman;sans-serif" w:hAnsi="Times New Roman;sans-serif"/>
          <w:b w:val="false"/>
          <w:color w:val="000000"/>
          <w:sz w:val="22"/>
        </w:rPr>
        <w:t xml:space="preserve">. During the course of the Participant’s employment with or engagement by the Company, the Participant will receive certain confidential information and trade secrets, which includes but is not limited to production data, drilling schedules, financial results before they are disclosed publicly, technical data, customer and vendor lists, management methods, operating techniques, prospective acquisitions, employee lists, training manuals and procedures, personnel evaluation procedures, financial reports and/or other confidential information and knowledge concerning the business of the Company and its affiliates (hereinafter collectively referred to as </w:t>
      </w:r>
      <w:r>
        <w:rPr>
          <w:color w:val="000000"/>
        </w:rPr>
        <w:t>“</w:t>
      </w:r>
      <w:r>
        <w:rPr>
          <w:rFonts w:ascii="Times New Roman;sans-serif" w:hAnsi="Times New Roman;sans-serif"/>
          <w:b/>
          <w:i/>
          <w:color w:val="000000"/>
          <w:sz w:val="22"/>
        </w:rPr>
        <w:t>Confidential Information”</w:t>
      </w:r>
      <w:r>
        <w:rPr>
          <w:rFonts w:ascii="Times New Roman;sans-serif" w:hAnsi="Times New Roman;sans-serif"/>
          <w:b w:val="false"/>
          <w:color w:val="000000"/>
          <w:sz w:val="22"/>
        </w:rPr>
        <w:t xml:space="preserve">), which the Company desires to protect. The Participant understands and agrees that the Confidential Information is confidential and the Participant agrees not to disclose or reveal the Confidential Information to anyone outside the Company or use Confidential Information for the benefit of any person or entity other than the Company. Additionally, the Participant may receive Confidential Information and work on projects that are not widely known throughout the Company, and the Participant agrees to not disclose or reveal such Confidential Information or details about such projects to any other person (including other employees or independent contractors of the Company) except as required in connection with his or her job duties. The Participant further agrees not to use or disclose the Confidential Information in order to compete with the Company at any time during or after the Participant’s employment or engagement with the Company. The Participant is hereby notified in accordance with the Defend Trade Secrets Act of 2016 that the Participant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In addition, notwithstanding the foregoing, if the Participant files a lawsuit for retaliation against the Company for reporting a suspected violation of law, the Participant may disclose the Company’s trade secrets to the Participant’s attorney and use the trade secret information in the court proceeding if the Participant files any document containing the trade secret under seal, and does not disclose the trade secret, except pursuant to court order. </w:t>
      </w:r>
    </w:p>
    <w:p>
      <w:pPr>
        <w:pStyle w:val="TextBody"/>
        <w:spacing w:lineRule="auto" w:line="240" w:before="0" w:after="22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Non-Solicitation</w:t>
      </w:r>
      <w:r>
        <w:rPr>
          <w:rFonts w:ascii="Times New Roman;sans-serif" w:hAnsi="Times New Roman;sans-serif"/>
          <w:b w:val="false"/>
          <w:color w:val="000000"/>
          <w:sz w:val="22"/>
        </w:rPr>
        <w:t>. The Participant understands and acknowledges that the Company expends significant time and expense in recruiting and training its employees and that the loss of employees would cause significant and irreparable harm to the Company. In consideration of the receipt of the Performance Stock Units and Confidential Information and the benefit received by the Participant from the Company’s goodwill or other business interests, during the period from the Date of Grant through the date that is twenty-four (24) months following the Participant’s Termination of Service for any reason (the “</w:t>
      </w:r>
      <w:r>
        <w:rPr>
          <w:rFonts w:ascii="Times New Roman;sans-serif" w:hAnsi="Times New Roman;sans-serif"/>
          <w:b/>
          <w:i/>
          <w:color w:val="000000"/>
          <w:sz w:val="22"/>
        </w:rPr>
        <w:t>Non-Solicitation Period</w:t>
      </w:r>
      <w:r>
        <w:rPr>
          <w:color w:val="000000"/>
        </w:rPr>
        <w:t>”</w:t>
      </w:r>
      <w:r>
        <w:rPr>
          <w:rFonts w:ascii="Times New Roman;sans-serif" w:hAnsi="Times New Roman;sans-serif"/>
          <w:b w:val="false"/>
          <w:color w:val="000000"/>
          <w:sz w:val="22"/>
        </w:rPr>
        <w:t xml:space="preserve">), the Participant agrees on his or her own behalf and on behalf of his or her affiliates that, without the prior written consent of the Board, the Chairman of the Board or the Chief Executive Officer of the Company, he or she shall not, directly or indirectly, (i) solicit for employment or a contracting relationship, or employ or retain any person who is or has been, within the last six months, employed by or engaged as an independent contractor to the Company or its affiliates or (ii) induce or attempt to induce any such person to leave his or her employment or independent contractor relationship with the Company or its affiliates. The Company agrees that the foregoing restriction is not intended to apply generally to companies providing services to the Company, such as rig and oilfield services providers, or lenders. </w:t>
      </w:r>
    </w:p>
    <w:p>
      <w:pPr>
        <w:pStyle w:val="TextBody"/>
        <w:spacing w:lineRule="auto" w:line="240" w:before="0" w:after="22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rPr>
        <w:t>Non-Compete</w:t>
      </w:r>
      <w:r>
        <w:rPr>
          <w:rFonts w:ascii="Times New Roman;sans-serif" w:hAnsi="Times New Roman;sans-serif"/>
          <w:b w:val="false"/>
          <w:color w:val="000000"/>
          <w:sz w:val="22"/>
        </w:rPr>
        <w:t xml:space="preserve">.    The Participant understands and acknowledges that the Company has an interest in protecting its Confidential Information, goodwill and other business interests and that the Participant has benefitted and will benefit from the Company’s goodwill and has accessed or will access the Company’s information, including Confidential Information, during the course of the Participant’s employment or engagement by the Company, and therefore the </w:t>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20"/>
        <w:jc w:val="both"/>
        <w:rPr/>
      </w:pPr>
      <w:r>
        <w:rPr>
          <w:rFonts w:ascii="Times New Roman;sans-serif" w:hAnsi="Times New Roman;sans-serif"/>
          <w:b w:val="false"/>
          <w:color w:val="000000"/>
          <w:sz w:val="22"/>
        </w:rPr>
        <w:t>Participant would be able to irreparably injure the Company if the Participant should engage in unfair competition. In consideration of the receipt of the Performance Stock Units and Confidential Information and the benefit received by the Participant from the Company’s goodwill or other business interests, during the period from the Date of Grant through the date that is twelve (12) months following the Participant’s Termination of Service (the “</w:t>
      </w:r>
      <w:r>
        <w:rPr>
          <w:rFonts w:ascii="Times New Roman;sans-serif" w:hAnsi="Times New Roman;sans-serif"/>
          <w:b/>
          <w:i/>
          <w:color w:val="000000"/>
          <w:sz w:val="22"/>
        </w:rPr>
        <w:t>Non-Compete Period</w:t>
      </w:r>
      <w:r>
        <w:rPr>
          <w:rFonts w:ascii="Times New Roman;sans-serif" w:hAnsi="Times New Roman;sans-serif"/>
          <w:b w:val="false"/>
          <w:color w:val="000000"/>
          <w:sz w:val="22"/>
        </w:rPr>
        <w:t>), the Participant agrees that he or she shall not, without the prior written consent of the Board, the Chairman of the Board or the Chief Executive Officer of the Company, directly or indirectly: (i) invest in (other than investments in publicly-owned companies that constitute not more than 1% of the voting securities of any such company) a Competing Business with Significant Assets in the Restricted Area (each as defined below), or (ii) [other than in a capacity involving legal advice], participate in the operations of a Competing Business in the Restricted Area as a manager, employee, director, officer, consultant, independent contractor or in any other capacity or otherwise provide, directly or indirectly, services or assistance to a Competing Business in a position that involves input into or direction of the Competing Business’s operations within the Restricted Area. “</w:t>
      </w:r>
      <w:r>
        <w:rPr>
          <w:rFonts w:ascii="Times New Roman;sans-serif" w:hAnsi="Times New Roman;sans-serif"/>
          <w:b/>
          <w:i/>
          <w:color w:val="000000"/>
          <w:sz w:val="22"/>
        </w:rPr>
        <w:t>Competing Business</w:t>
      </w:r>
      <w:r>
        <w:rPr>
          <w:color w:val="000000"/>
        </w:rPr>
        <w:t xml:space="preserve">” </w:t>
      </w:r>
      <w:r>
        <w:rPr>
          <w:rFonts w:ascii="Times New Roman;sans-serif" w:hAnsi="Times New Roman;sans-serif"/>
          <w:b w:val="false"/>
          <w:color w:val="000000"/>
          <w:sz w:val="22"/>
        </w:rPr>
        <w:t>means any person or entity engaged in (x) oil and natural gas exploration, development and production; (y) marketing and midstream operations, including natural gas processing, oil and natural gas transportation services, oil, natural gas and salt water gathering services and salt water disposal services, and/or (z) acquisition activities related to (x) and (y). “</w:t>
      </w:r>
      <w:r>
        <w:rPr>
          <w:rFonts w:ascii="Times New Roman;sans-serif" w:hAnsi="Times New Roman;sans-serif"/>
          <w:b/>
          <w:i/>
          <w:color w:val="000000"/>
          <w:sz w:val="22"/>
        </w:rPr>
        <w:t>Significant Assets</w:t>
      </w:r>
      <w:r>
        <w:rPr>
          <w:color w:val="000000"/>
        </w:rPr>
        <w:t xml:space="preserve">” </w:t>
      </w:r>
      <w:r>
        <w:rPr>
          <w:rFonts w:ascii="Times New Roman;sans-serif" w:hAnsi="Times New Roman;sans-serif"/>
          <w:b w:val="false"/>
          <w:color w:val="000000"/>
          <w:sz w:val="22"/>
        </w:rPr>
        <w:t>means (i) oil and natural gas reserves in excess of 10 million barrels of oil equivalent or (ii) midstream assets with an aggregate fair market value of $25 million or more. “</w:t>
      </w:r>
      <w:r>
        <w:rPr>
          <w:rFonts w:ascii="Times New Roman;sans-serif" w:hAnsi="Times New Roman;sans-serif"/>
          <w:b/>
          <w:i/>
          <w:color w:val="000000"/>
          <w:sz w:val="22"/>
        </w:rPr>
        <w:t>Restricted Area</w:t>
      </w:r>
      <w:r>
        <w:rPr>
          <w:color w:val="000000"/>
        </w:rPr>
        <w:t xml:space="preserve">” </w:t>
      </w:r>
      <w:r>
        <w:rPr>
          <w:rFonts w:ascii="Times New Roman;sans-serif" w:hAnsi="Times New Roman;sans-serif"/>
          <w:b w:val="false"/>
          <w:color w:val="000000"/>
          <w:sz w:val="22"/>
        </w:rPr>
        <w:t>means Eddy and Lea Counties, New Mexico and Loving County, Texas (collectively, the “</w:t>
      </w:r>
      <w:r>
        <w:rPr>
          <w:rFonts w:ascii="Times New Roman;sans-serif" w:hAnsi="Times New Roman;sans-serif"/>
          <w:b/>
          <w:i/>
          <w:color w:val="000000"/>
          <w:sz w:val="22"/>
        </w:rPr>
        <w:t>Named Counties</w:t>
      </w:r>
      <w:r>
        <w:rPr>
          <w:color w:val="000000"/>
        </w:rPr>
        <w:t>”</w:t>
      </w:r>
      <w:r>
        <w:rPr>
          <w:rFonts w:ascii="Times New Roman;sans-serif" w:hAnsi="Times New Roman;sans-serif"/>
          <w:b w:val="false"/>
          <w:color w:val="000000"/>
          <w:sz w:val="22"/>
        </w:rPr>
        <w:t>), plus any county or parish where the Company, together with its Subsidiaries, has Significant Assets as of the date of Participant’s Termination of Service; provided, however, that the Restricted Area shall cease to include a particular Named County following a sale of all or substantially all of the assets held by the Company, together with its Subsidiaries, in such Named County.</w:t>
      </w:r>
    </w:p>
    <w:p>
      <w:pPr>
        <w:pStyle w:val="TextBody"/>
        <w:spacing w:lineRule="auto" w:line="304" w:before="0" w:after="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Injunctive Relief and Specific Performance</w:t>
      </w:r>
      <w:r>
        <w:rPr>
          <w:rFonts w:ascii="Times New Roman;sans-serif" w:hAnsi="Times New Roman;sans-serif"/>
          <w:b w:val="false"/>
          <w:color w:val="000000"/>
          <w:sz w:val="22"/>
        </w:rPr>
        <w:t xml:space="preserve">. </w:t>
      </w:r>
    </w:p>
    <w:p>
      <w:pPr>
        <w:pStyle w:val="TextBody"/>
        <w:spacing w:before="0" w:after="0"/>
        <w:jc w:val="both"/>
        <w:rPr/>
      </w:pPr>
      <w:r>
        <w:rPr/>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a.The Participant hereby provides the Company assurance that the Participant has carefully read and considered all the terms and conditions of this Agreement, including the restraints imposed on the Participant under </w:t>
      </w:r>
      <w:r>
        <w:rPr>
          <w:rFonts w:ascii="Times New Roman;sans-serif" w:hAnsi="Times New Roman;sans-serif"/>
          <w:b w:val="false"/>
          <w:color w:val="000000"/>
          <w:sz w:val="22"/>
          <w:u w:val="single"/>
        </w:rPr>
        <w:t>Section 8</w:t>
      </w:r>
      <w:r>
        <w:rPr>
          <w:rFonts w:ascii="Times New Roman;sans-serif" w:hAnsi="Times New Roman;sans-serif"/>
          <w:b w:val="false"/>
          <w:color w:val="000000"/>
          <w:sz w:val="22"/>
        </w:rPr>
        <w:t xml:space="preserve">. The Participant agrees that the restraints are necessary to protect the Company’s business interests, including the Confidential Information and its goodwill, and that each of the restraints is reasonable with respect to subject matter, length of time and geographic area.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b.The Participant further agrees that the Company would suffer imminent and irreparable harm if the Participant breaches any of the restrictions in </w:t>
      </w:r>
      <w:r>
        <w:rPr>
          <w:rFonts w:ascii="Times New Roman;sans-serif" w:hAnsi="Times New Roman;sans-serif"/>
          <w:b w:val="false"/>
          <w:color w:val="000000"/>
          <w:sz w:val="22"/>
          <w:u w:val="single"/>
        </w:rPr>
        <w:t>Section 8</w:t>
      </w:r>
      <w:r>
        <w:rPr>
          <w:rFonts w:ascii="Times New Roman;sans-serif" w:hAnsi="Times New Roman;sans-serif"/>
          <w:b w:val="false"/>
          <w:color w:val="000000"/>
          <w:sz w:val="22"/>
        </w:rPr>
        <w:t xml:space="preserve">. The Participant agrees that the Company, in addition and not in the alternative to any other remedies available to it, shall be entitled to preliminary and permanent injunctive relief against any breach or threatened breach by the Participant of any such covenants, without having to post bond, together with an award of its reasonable attorneys’ fees incurred in enforcing its rights hereunder.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c.The Participant further agrees that each of the Non-Solicitation Period and the Non-Compete Period shall be tolled, and shall not run, during the period of any breach by the Participant of any of the covenants contained in </w:t>
      </w:r>
      <w:r>
        <w:rPr>
          <w:rFonts w:ascii="Times New Roman;sans-serif" w:hAnsi="Times New Roman;sans-serif"/>
          <w:b w:val="false"/>
          <w:color w:val="000000"/>
          <w:sz w:val="22"/>
          <w:u w:val="single"/>
        </w:rPr>
        <w:t>Section 8</w:t>
      </w:r>
      <w:r>
        <w:rPr>
          <w:rFonts w:ascii="Times New Roman;sans-serif" w:hAnsi="Times New Roman;sans-serif"/>
          <w:b w:val="false"/>
          <w:color w:val="000000"/>
          <w:sz w:val="22"/>
        </w:rPr>
        <w:t xml:space="preserve">.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d.The Participant and Company further agree that, in the event that any provision of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is determined by a court of competent jurisdiction to be unenforceable, that provision shall be deemed modified to permit enforcement to the maximum extent permitted by law.</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e.The parties acknowledge that remedies at law will be inadequate remedies for breach or attempted breach of this Agreement (and specifically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hereof) and consequently agree that this Agreement shall be enforceable by specific performance. The remedy of specific performance shall be cumulative of all of the rights and remedies at law or in equity of the parties under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04" w:before="0" w:after="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Participant’s Representations</w:t>
      </w:r>
      <w:r>
        <w:rPr>
          <w:rFonts w:ascii="Times New Roman;sans-serif" w:hAnsi="Times New Roman;sans-serif"/>
          <w:b w:val="false"/>
          <w:color w:val="000000"/>
          <w:sz w:val="22"/>
        </w:rPr>
        <w:t>. Notwithstanding any of the provisions hereof, the Participant hereby agrees that he or she will not acquire any shares of Common Stock, and that the Company will not be obligated to issue any shares of Common Stock to the Participant hereunder if the issuance of such shares would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pStyle w:val="TextBody"/>
        <w:spacing w:before="0" w:after="0"/>
        <w:jc w:val="both"/>
        <w:rPr/>
      </w:pPr>
      <w:r>
        <w:rPr/>
      </w:r>
    </w:p>
    <w:p>
      <w:pPr>
        <w:pStyle w:val="TextBody"/>
        <w:spacing w:lineRule="auto" w:line="290" w:before="0" w:after="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Participant’s Acknowledgments</w:t>
      </w:r>
      <w:r>
        <w:rPr>
          <w:rFonts w:ascii="Times New Roman;sans-serif" w:hAnsi="Times New Roman;sans-serif"/>
          <w:b w:val="false"/>
          <w:color w:val="000000"/>
          <w:sz w:val="22"/>
        </w:rPr>
        <w:t>. The Participant acknowledges that a copy of the Plan has been made available for his or her review by the Company, and represents that he or she is familiar with the</w:t>
      </w:r>
      <w:r>
        <w:rPr>
          <w:color w:val="000000"/>
        </w:rPr>
        <w:t xml:space="preserve"> </w:t>
      </w:r>
      <w:r>
        <w:rPr>
          <w:rFonts w:ascii="Times New Roman;sans-serif" w:hAnsi="Times New Roman;sans-serif"/>
          <w:b w:val="false"/>
          <w:color w:val="000000"/>
          <w:sz w:val="22"/>
        </w:rPr>
        <w:t>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Law Governing</w:t>
      </w:r>
      <w:r>
        <w:rPr>
          <w:rFonts w:ascii="Times New Roman;sans-serif" w:hAnsi="Times New Roman;sans-serif"/>
          <w:b w:val="false"/>
          <w:color w:val="000000"/>
          <w:sz w:val="22"/>
        </w:rPr>
        <w:t>. This Agreement shall be governed by, construed, and enforced in accordance with the laws of the State of</w:t>
      </w:r>
      <w:r>
        <w:rPr>
          <w:color w:val="000000"/>
        </w:rPr>
        <w:t> </w:t>
      </w:r>
      <w:r>
        <w:rPr>
          <w:rFonts w:ascii="Times New Roman;sans-serif" w:hAnsi="Times New Roman;sans-serif"/>
          <w:b w:val="false"/>
          <w:color w:val="000000"/>
          <w:sz w:val="22"/>
        </w:rPr>
        <w:t>Texas (excluding any conflict of laws rule or principle of Texas law that might refer the governance, construction, or interpretation of this Agreement to the laws of another state).</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No Right to Continue Service or Employment</w:t>
      </w:r>
      <w:r>
        <w:rPr>
          <w:rFonts w:ascii="Times New Roman;sans-serif" w:hAnsi="Times New Roman;sans-serif"/>
          <w:b w:val="false"/>
          <w:color w:val="000000"/>
          <w:sz w:val="22"/>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 Nothing herein shall be construed to modify the terms of any employment agreement or independent contractor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Legal Construction.</w:t>
      </w:r>
      <w:r>
        <w:rPr>
          <w:color w:val="000000"/>
        </w:rPr>
        <w:t> </w:t>
      </w:r>
      <w:r>
        <w:rPr>
          <w:rFonts w:ascii="Times New Roman;sans-serif" w:hAnsi="Times New Roman;sans-serif"/>
          <w:b w:val="false"/>
          <w:color w:val="000000"/>
          <w:sz w:val="22"/>
        </w:rPr>
        <w:t>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Covenants and Agreements as Independent Agreements</w:t>
      </w:r>
      <w:r>
        <w:rPr>
          <w:rFonts w:ascii="Times New Roman;sans-serif" w:hAnsi="Times New Roman;sans-serif"/>
          <w:b w:val="false"/>
          <w:color w:val="000000"/>
          <w:sz w:val="22"/>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pStyle w:val="TextBody"/>
        <w:spacing w:before="0" w:after="0"/>
        <w:jc w:val="both"/>
        <w:rPr/>
      </w:pPr>
      <w:r>
        <w:rPr/>
      </w:r>
    </w:p>
    <w:p>
      <w:pPr>
        <w:pStyle w:val="TextBody"/>
        <w:spacing w:lineRule="auto" w:line="304"/>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0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Parties Bound</w:t>
      </w:r>
      <w:r>
        <w:rPr>
          <w:rFonts w:ascii="Times New Roman;sans-serif" w:hAnsi="Times New Roman;sans-serif"/>
          <w:b w:val="false"/>
          <w:color w:val="000000"/>
          <w:sz w:val="22"/>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Performance Stock Units without first executing and delivering an agreement in a form satisfactory to the Company making such person subject to the restrictions on transfer contained herein.</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Modification</w:t>
      </w:r>
      <w:r>
        <w:rPr>
          <w:rFonts w:ascii="Times New Roman;sans-serif" w:hAnsi="Times New Roman;sans-serif"/>
          <w:b w:val="false"/>
          <w:color w:val="000000"/>
          <w:sz w:val="22"/>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Times New Roman;sans-serif" w:hAnsi="Times New Roman;sans-serif"/>
          <w:b w:val="false"/>
          <w:color w:val="000000"/>
          <w:sz w:val="22"/>
          <w:u w:val="single"/>
        </w:rPr>
        <w:t>Section 18</w:t>
      </w:r>
      <w:r>
        <w:rPr>
          <w:rFonts w:ascii="Times New Roman;sans-serif" w:hAnsi="Times New Roman;sans-serif"/>
          <w:b w:val="false"/>
          <w:color w:val="000000"/>
          <w:sz w:val="22"/>
        </w:rPr>
        <w:t>, the Company may amend the Plan to the extent permitted by the Plan.</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that are used in this Agreement are used for reference and convenience purposes only and do not constitute substantive matters to be considered in construing the terms and provisions of this Agreement.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Gender and Number</w:t>
      </w:r>
      <w:r>
        <w:rPr>
          <w:rFonts w:ascii="Times New Roman;sans-serif" w:hAnsi="Times New Roman;sans-serif"/>
          <w:b w:val="false"/>
          <w:color w:val="000000"/>
          <w:sz w:val="22"/>
        </w:rPr>
        <w:t>. Words of any gender used in this Agreement shall be held and construed to include any other gender, and words in the singular number shall be held to include the plural, and vice versa, unless the context requires otherwise.</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pStyle w:val="TextBody"/>
        <w:spacing w:before="0" w:after="0"/>
        <w:ind w:left="0" w:right="0" w:firstLine="720"/>
        <w:jc w:val="both"/>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Notice to the Company shall be addressed and delivered as follows:</w:t>
      </w:r>
    </w:p>
    <w:p>
      <w:pPr>
        <w:pStyle w:val="TextBody"/>
        <w:spacing w:before="0" w:after="0"/>
        <w:ind w:left="0" w:right="0" w:firstLine="720"/>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Matador Resources Company</w:t>
      </w:r>
    </w:p>
    <w:p>
      <w:pPr>
        <w:pStyle w:val="TextBody"/>
        <w:spacing w:lineRule="auto" w:line="333"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5400 LBJ Fwy, Suite 1500</w:t>
      </w:r>
    </w:p>
    <w:p>
      <w:pPr>
        <w:pStyle w:val="TextBody"/>
        <w:spacing w:lineRule="auto" w:line="333"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Dallas, TX 75240</w:t>
      </w:r>
    </w:p>
    <w:p>
      <w:pPr>
        <w:pStyle w:val="TextBody"/>
        <w:spacing w:lineRule="auto" w:line="33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Attn: General Counsel</w:t>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Facsimile: (972) 371-5201</w:t>
      </w:r>
    </w:p>
    <w:p>
      <w:pPr>
        <w:pStyle w:val="TextBody"/>
        <w:spacing w:before="0" w:after="0"/>
        <w:rPr/>
      </w:pPr>
      <w:r>
        <w:rPr/>
      </w:r>
    </w:p>
    <w:p>
      <w:pPr>
        <w:pStyle w:val="TextBody"/>
        <w:spacing w:lineRule="auto" w:line="333"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Notice to the Participant shall be addressed and delivered to the Participant’s address as set forth in the Company’s records.</w:t>
      </w:r>
    </w:p>
    <w:p>
      <w:pPr>
        <w:pStyle w:val="TextBody"/>
        <w:spacing w:before="0" w:after="0"/>
        <w:ind w:left="0" w:right="0" w:firstLine="72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Tax Requirements</w:t>
      </w:r>
      <w:r>
        <w:rPr>
          <w:rFonts w:ascii="Times New Roman;sans-serif" w:hAnsi="Times New Roman;sans-serif"/>
          <w:b w:val="false"/>
          <w:color w:val="000000"/>
          <w:sz w:val="22"/>
        </w:rPr>
        <w:t xml:space="preserve">. The Participant is hereby advised to consult immediately with his or her own tax advisor regarding the tax consequences of this Agreement. The Company or, if applicable, any Subsidiary (for purposes of this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the term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The Company may, in its sole discretion, also require the Participant receiving shares of Common Stock issued under the Plan to pay the Company the amount of any taxes that the Company is permitted to withhold in connection with the Participant’s income arising with respect to the Award. Such payments shall be required to be made when requested by Company and 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applicable tax withholding payment; (iii) the Company’s withholding of a number of shares to be delivered upon the vesting of this Award, which shares so withheld have an aggregate Fair Market Value that equals or exceeds (solely to avoid the issuance of fractional shares) the applicable tax withholding payment; or (iv) any combination of (i), (ii), or (iii) or any other method consented to by the Company in writing. The Company may, in its sole discretion, withhold any such taxes from any other cash remuneration otherwise paid by the Company to the Participant.</w:t>
      </w:r>
    </w:p>
    <w:p>
      <w:pPr>
        <w:pStyle w:val="TextBody"/>
        <w:spacing w:before="0" w:after="0"/>
        <w:jc w:val="both"/>
        <w:rPr/>
      </w:pPr>
      <w:r>
        <w:rPr/>
      </w:r>
    </w:p>
    <w:p>
      <w:pPr>
        <w:pStyle w:val="TextBody"/>
        <w:spacing w:lineRule="auto" w:line="304" w:before="0" w:after="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pStyle w:val="TextBody"/>
        <w:spacing w:before="0" w:after="0"/>
        <w:ind w:left="0" w:right="0" w:firstLine="720"/>
        <w:jc w:val="both"/>
        <w:rPr/>
      </w:pPr>
      <w:r>
        <w:rPr/>
      </w:r>
    </w:p>
    <w:p>
      <w:pPr>
        <w:pStyle w:val="TextBody"/>
        <w:spacing w:lineRule="auto" w:line="304"/>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xml:space="preserve">. By executing this Agreement (including via digital acceptance), the Participant hereby consents to the delivery of information (including, without limitation, information </w:t>
      </w:r>
      <w:r>
        <w:br w:type="page"/>
      </w: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0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required to be delivered to the Participant pursuant to applicable securities laws) regarding the Company and its Subsidiaries, the Plan, and the Performance Stock Units via Company web site or other electronic delivery.</w:t>
      </w:r>
    </w:p>
    <w:p>
      <w:pPr>
        <w:pStyle w:val="TextBody"/>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 * * * * * * *</w:t>
      </w:r>
    </w:p>
    <w:p>
      <w:pPr>
        <w:pStyle w:val="TextBody"/>
        <w:spacing w:before="0" w:after="0"/>
        <w:jc w:val="center"/>
        <w:rPr/>
      </w:pPr>
      <w:r>
        <w:rPr/>
      </w:r>
    </w:p>
    <w:p>
      <w:pPr>
        <w:pStyle w:val="TextBody"/>
        <w:spacing w:lineRule="auto" w:line="333"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p>
    <w:p>
      <w:pPr>
        <w:pStyle w:val="TextBody"/>
        <w:spacing w:lineRule="auto" w:line="333"/>
        <w:jc w:val="center"/>
        <w:rPr/>
      </w:pP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33" w:before="0" w:after="0"/>
        <w:ind w:left="0" w:right="0" w:firstLine="720"/>
        <w:jc w:val="both"/>
        <w:rPr/>
      </w:pPr>
      <w:r>
        <w:rPr>
          <w:rFonts w:ascii="Times New Roman;sans-serif" w:hAnsi="Times New Roman;sans-serif"/>
          <w:b w:val="false"/>
          <w:color w:val="000000"/>
          <w:sz w:val="22"/>
        </w:rPr>
        <w:t>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Times New Roman;sans-serif" w:hAnsi="Times New Roman;sans-serif"/>
          <w:b w:val="false"/>
          <w:color w:val="000000"/>
          <w:sz w:val="22"/>
          <w:u w:val="single"/>
        </w:rPr>
        <w:t>Section 1</w:t>
      </w:r>
      <w:r>
        <w:rPr>
          <w:color w:val="000000"/>
        </w:rPr>
        <w:t> </w:t>
      </w:r>
      <w:r>
        <w:rPr>
          <w:rFonts w:ascii="Times New Roman;sans-serif" w:hAnsi="Times New Roman;sans-serif"/>
          <w:b w:val="false"/>
          <w:color w:val="000000"/>
          <w:sz w:val="22"/>
        </w:rPr>
        <w:t>hereof.</w:t>
      </w:r>
    </w:p>
    <w:p>
      <w:pPr>
        <w:pStyle w:val="TextBody"/>
        <w:spacing w:before="0" w:after="0"/>
        <w:jc w:val="both"/>
        <w:rPr/>
      </w:pPr>
      <w:r>
        <w:rPr/>
      </w:r>
    </w:p>
    <w:tbl>
      <w:tblPr>
        <w:tblW w:w="4347" w:type="dxa"/>
        <w:jc w:val="left"/>
        <w:tblInd w:w="0" w:type="dxa"/>
        <w:tblCellMar>
          <w:top w:w="28" w:type="dxa"/>
          <w:left w:w="28" w:type="dxa"/>
          <w:bottom w:w="28" w:type="dxa"/>
          <w:right w:w="28" w:type="dxa"/>
        </w:tblCellMar>
      </w:tblPr>
      <w:tblGrid>
        <w:gridCol w:w="754"/>
        <w:gridCol w:w="660"/>
        <w:gridCol w:w="660"/>
        <w:gridCol w:w="660"/>
        <w:gridCol w:w="660"/>
        <w:gridCol w:w="953"/>
      </w:tblGrid>
      <w:tr>
        <w:trPr/>
        <w:tc>
          <w:tcPr>
            <w:tcW w:w="75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MATADOR RESOURCES 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color w:val="000000"/>
        </w:rPr>
      </w:pPr>
      <w:r>
        <w:rPr>
          <w:color w:val="000000"/>
        </w:rPr>
        <w:t> </w:t>
      </w:r>
      <w:r>
        <w:rPr>
          <w:color w:val="000000"/>
        </w:rPr>
        <w:t>       </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APPENDIX A</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PERFORMANCE GOALS AND PERFORMANCE PERIOD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10.60</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AWARD AGREEMENT</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MATADOR RESOURCES COMPANY</w:t>
        <w:br/>
        <w:t>2019 LONG-TERM INCENTIVE PLAN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Grant of Award</w:t>
      </w:r>
      <w:r>
        <w:rPr>
          <w:rFonts w:ascii="Times New Roman;sans-serif" w:hAnsi="Times New Roman;sans-serif"/>
          <w:b w:val="false"/>
          <w:color w:val="000000"/>
          <w:sz w:val="22"/>
        </w:rPr>
        <w:t>. Pursuant to the Matador Resources Company 2019 Long-Term Incentive Plan (as the same may be amended,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Matador Resources Company, a Texas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grants to</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p>
    <w:p>
      <w:pPr>
        <w:pStyle w:val="TextBody"/>
        <w:spacing w:lineRule="auto" w:line="240" w:before="0" w:after="0"/>
        <w:jc w:val="center"/>
        <w:rPr/>
      </w:pPr>
      <w:r>
        <w:rPr>
          <w:rFonts w:ascii="Times New Roman;sans-serif" w:hAnsi="Times New Roman;sans-serif"/>
          <w:b w:val="false"/>
          <w:color w:val="000000"/>
          <w:sz w:val="22"/>
        </w:rPr>
        <w:t>(the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w:t>
      </w:r>
    </w:p>
    <w:p>
      <w:pPr>
        <w:pStyle w:val="TextBody"/>
        <w:spacing w:before="0" w:after="0"/>
        <w:jc w:val="center"/>
        <w:rPr/>
      </w:pPr>
      <w:r>
        <w:rPr/>
      </w:r>
    </w:p>
    <w:p>
      <w:pPr>
        <w:pStyle w:val="TextBody"/>
        <w:spacing w:lineRule="auto" w:line="240" w:before="0" w:after="0"/>
        <w:jc w:val="both"/>
        <w:rPr/>
      </w:pPr>
      <w:r>
        <w:rPr>
          <w:rFonts w:ascii="Times New Roman;sans-serif" w:hAnsi="Times New Roman;sans-serif"/>
          <w:b w:val="false"/>
          <w:color w:val="000000"/>
          <w:sz w:val="22"/>
        </w:rPr>
        <w:t>an Award of Restricted Stock in accordance with Section 6.4 of the Plan. The number of shares of Common Stock awarded under this Restricted Stock Award Agreement (this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is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shares (the “</w:t>
      </w:r>
      <w:r>
        <w:rPr>
          <w:rFonts w:ascii="Times New Roman;sans-serif" w:hAnsi="Times New Roman;sans-serif"/>
          <w:b/>
          <w:i/>
          <w:color w:val="000000"/>
          <w:sz w:val="22"/>
        </w:rPr>
        <w:t>Awarded Shares</w:t>
      </w:r>
      <w:r>
        <w:rPr>
          <w:color w:val="000000"/>
        </w:rPr>
        <w:t>”</w:t>
      </w:r>
      <w:r>
        <w:rPr>
          <w:rFonts w:ascii="Times New Roman;sans-serif" w:hAnsi="Times New Roman;sans-serif"/>
          <w:b w:val="false"/>
          <w:color w:val="000000"/>
          <w:sz w:val="22"/>
        </w:rPr>
        <w:t>). The “</w:t>
      </w:r>
      <w:r>
        <w:rPr>
          <w:rFonts w:ascii="Times New Roman;sans-serif" w:hAnsi="Times New Roman;sans-serif"/>
          <w:b/>
          <w:i/>
          <w:color w:val="000000"/>
          <w:sz w:val="22"/>
        </w:rPr>
        <w:t>Date of Grant</w:t>
      </w:r>
      <w:r>
        <w:rPr>
          <w:color w:val="000000"/>
        </w:rPr>
        <w:t xml:space="preserve">” </w:t>
      </w:r>
      <w:r>
        <w:rPr>
          <w:rFonts w:ascii="Times New Roman;sans-serif" w:hAnsi="Times New Roman;sans-serif"/>
          <w:b w:val="false"/>
          <w:color w:val="000000"/>
          <w:sz w:val="22"/>
        </w:rPr>
        <w:t>of this Award is</w:t>
      </w:r>
      <w:r>
        <w:rPr>
          <w:color w:val="000000"/>
        </w:rPr>
        <w:t xml:space="preserve">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Subject to Plan; Definitions</w:t>
      </w:r>
      <w:r>
        <w:rPr>
          <w:rFonts w:ascii="Times New Roman;sans-serif" w:hAnsi="Times New Roman;sans-serif"/>
          <w:b w:val="false"/>
          <w:color w:val="000000"/>
          <w:sz w:val="22"/>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For purposes of this Agreement, unless the context requires otherwise, the following terms shall have the meanings indicated:</w:t>
      </w:r>
    </w:p>
    <w:p>
      <w:pPr>
        <w:pStyle w:val="TextBody"/>
        <w:spacing w:before="0" w:after="0"/>
        <w:jc w:val="both"/>
        <w:rPr/>
      </w:pPr>
      <w:r>
        <w:rPr/>
      </w:r>
    </w:p>
    <w:p>
      <w:pPr>
        <w:pStyle w:val="TextBody"/>
        <w:spacing w:lineRule="auto" w:line="240" w:before="0" w:after="240"/>
        <w:jc w:val="both"/>
        <w:rPr/>
      </w:pPr>
      <w:r>
        <w:rPr>
          <w:color w:val="000000"/>
        </w:rPr>
        <w:t>    </w:t>
      </w:r>
      <w:r>
        <w:rPr>
          <w:rFonts w:ascii="Times New Roman;sans-serif" w:hAnsi="Times New Roman;sans-serif"/>
          <w:b w:val="false"/>
          <w:color w:val="000000"/>
          <w:sz w:val="22"/>
        </w:rPr>
        <w:t>a.    “</w:t>
      </w:r>
      <w:r>
        <w:rPr>
          <w:rFonts w:ascii="Times New Roman;sans-serif" w:hAnsi="Times New Roman;sans-serif"/>
          <w:b/>
          <w:i/>
          <w:color w:val="000000"/>
          <w:sz w:val="22"/>
        </w:rPr>
        <w:t>Good Reason</w:t>
      </w:r>
      <w:r>
        <w:rPr>
          <w:color w:val="000000"/>
        </w:rPr>
        <w:t xml:space="preserve">” </w:t>
      </w:r>
      <w:r>
        <w:rPr>
          <w:rFonts w:ascii="Times New Roman;sans-serif" w:hAnsi="Times New Roman;sans-serif"/>
          <w:b w:val="false"/>
          <w:color w:val="000000"/>
          <w:sz w:val="22"/>
        </w:rPr>
        <w:t xml:space="preserve">shall mean (i) the assignment to the Participant of duties materially inconsistent with his or her position, or a material diminution in the Participant’s then current authority, duties or responsibilities; or (ii) a diminution of the Participant’s then current base salary or other action or inaction that constitutes a material breach of his or her employment agreement or independent contractor agreement, if any. Within thirty (30) days following the date the Participant knows of the actions constituting Good Reason as defined herein, the Participant shall give the Company written notice thereof, and provide the Company with a reasonable period of time, in no event less than thirty (30) days, after receipt of such notice to remedy the alleged actions constituting Good Reason;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entitled to notice of, and the opportunity to remedy, the recurrence of any alleged actions (or substantially similar actions) constituting Good Reason in the event that the Participant has previously provided notice of such prior alleged actions (or substantially similar actions) to the Company and provided the Company an opportunity to cure such prior actions (or substantially similar actions). In the event the Company does not cure the alleged actions, if the Participant does not terminate his or her employment or engagement within sixty (60) days following the last day of the Company’s cure period, the Participant shall not be entitled to terminate his or her employment or engagement for Good Reason based upon the occurrence of such 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recurrence of such actions (or substantially similar actions) may constitute Good Reason. Any corrective measures undertaken by the Company are solely within its discretion and do not concede or indicate agreement that the actions described in the Participant’s written notice constitute Good Reason as defined herein.</w:t>
      </w:r>
    </w:p>
    <w:p>
      <w:pPr>
        <w:pStyle w:val="TextBody"/>
        <w:spacing w:lineRule="auto" w:line="240" w:before="0" w:after="240"/>
        <w:jc w:val="both"/>
        <w:rPr/>
      </w:pPr>
      <w:r>
        <w:rPr>
          <w:color w:val="000000"/>
        </w:rPr>
        <w:t>    </w:t>
      </w:r>
      <w:r>
        <w:rPr>
          <w:rFonts w:ascii="Times New Roman;sans-serif" w:hAnsi="Times New Roman;sans-serif"/>
          <w:b w:val="false"/>
          <w:color w:val="000000"/>
          <w:sz w:val="22"/>
        </w:rPr>
        <w:t>b.    “</w:t>
      </w:r>
      <w:r>
        <w:rPr>
          <w:rFonts w:ascii="Times New Roman;sans-serif" w:hAnsi="Times New Roman;sans-serif"/>
          <w:b/>
          <w:i/>
          <w:color w:val="000000"/>
          <w:sz w:val="22"/>
        </w:rPr>
        <w:t>Just Cause</w:t>
      </w:r>
      <w:r>
        <w:rPr>
          <w:color w:val="000000"/>
        </w:rPr>
        <w:t xml:space="preserve">” </w:t>
      </w:r>
      <w:r>
        <w:rPr>
          <w:rFonts w:ascii="Times New Roman;sans-serif" w:hAnsi="Times New Roman;sans-serif"/>
          <w:b w:val="false"/>
          <w:color w:val="000000"/>
          <w:sz w:val="22"/>
        </w:rPr>
        <w:t xml:space="preserve">shall mean (i) the Participant’s continued and material failure to perform the duties of his or her employment or engagement consistent with the Participant’s position, except as a result of Partial Disability or Total and Permanent Disability; (ii) the Participant’s failure to perform his or her material obligations under his or her employment agreement or independent contractor agreement, if any, except as a result of Partial Disability or Total and Permanent Disability, or a material breach by the Participant of the Company’s written policies concerning discrimination, harassment or securities trading; (iii) the Participant’s refusal or failure to follow lawful directives of the Board or his or her supervisor, except as a result of Partial Disability or Total and Permanent Disability; (iv) the Participant’s commission of an act of fraud, theft, or embezzlement; (v) the Participant’s indictment for or conviction of a felony or other crime involving moral turpitude; or (vi) the Participant’s intentional breach of fiduciary duty;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Participant shall have thirty (30) days after written notice from </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(or the Committee) to remedy any actions alleged under subsections (i), (ii) or (iii) in the manner reasonably specified by the Board (or the Committee).</w:t>
      </w:r>
    </w:p>
    <w:p>
      <w:pPr>
        <w:pStyle w:val="TextBody"/>
        <w:spacing w:lineRule="auto" w:line="240" w:before="0" w:after="240"/>
        <w:jc w:val="both"/>
        <w:rPr/>
      </w:pPr>
      <w:r>
        <w:rPr>
          <w:color w:val="000000"/>
        </w:rPr>
        <w:t>    </w:t>
      </w:r>
      <w:r>
        <w:rPr>
          <w:rFonts w:ascii="Times New Roman;sans-serif" w:hAnsi="Times New Roman;sans-serif"/>
          <w:b w:val="false"/>
          <w:color w:val="000000"/>
          <w:sz w:val="22"/>
        </w:rPr>
        <w:t>c.    “</w:t>
      </w:r>
      <w:r>
        <w:rPr>
          <w:rFonts w:ascii="Times New Roman;sans-serif" w:hAnsi="Times New Roman;sans-serif"/>
          <w:b/>
          <w:i/>
          <w:color w:val="000000"/>
          <w:sz w:val="22"/>
        </w:rPr>
        <w:t>Partial Disability</w:t>
      </w:r>
      <w:r>
        <w:rPr>
          <w:color w:val="000000"/>
        </w:rPr>
        <w:t xml:space="preserve">” </w:t>
      </w:r>
      <w:r>
        <w:rPr>
          <w:rFonts w:ascii="Times New Roman;sans-serif" w:hAnsi="Times New Roman;sans-serif"/>
          <w:b w:val="false"/>
          <w:color w:val="000000"/>
          <w:sz w:val="22"/>
        </w:rPr>
        <w:t>shall mean the Participant’s inability because of any physical or mental illness lasting no more than ninety (90) days to perform the duties assigned to him or her for more than twenty (20) hours per week (and including any period of short term total absence due to illness or injury, including recovery from surgery, but in no event lasting longer than the ninety (90) day period).</w:t>
      </w:r>
    </w:p>
    <w:p>
      <w:pPr>
        <w:pStyle w:val="TextBody"/>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specifically provided in this Agreement and subject to certain restrictions and conditions set forth in the Plan, the Awarded Shares shall vest as follows: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a.One-third (1/3) of the total Awarded Shares shall vest on the first anniversary of the Date of Grant, provided the Participant is continuously employed by (or if the Participant is a Contractor or an Outside Director, is providing services to) the Company or a Subsidiary through that date;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One-third (1/3) of the total Awarded Shares shall vest on the second anniversary of the Date of Grant, provided the Participant is continuously employed by (or if the Participant is a Contractor or an Outside Director, is providing services to) the Company or a Subsidiary through that date; and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One-third (1/3) of the total Awarded Shares shall vest on the third anniversary of the Date of Grant, provided the Participant is continuously employed by (or if the Participant is a Contractor or an Outside Director, is providing services to) the Company or a Subsidiary through that date.</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upon or within twelve (12) months following a Change in Control, the Participant incurs a Termination of Service by the Company without Just Cause or by the Participant for Good Reason, then effective immediately prior to such Termination of Service, all Awarded Shares not previously vested shall thereupon immediately become fully vested.</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Forfeiture of Awarded Shares</w:t>
      </w:r>
      <w:r>
        <w:rPr>
          <w:rFonts w:ascii="Times New Roman;sans-serif" w:hAnsi="Times New Roman;sans-serif"/>
          <w:b w:val="false"/>
          <w:color w:val="000000"/>
          <w:sz w:val="22"/>
        </w:rPr>
        <w:t xml:space="preserve">. Awarded Shares that are not vested in accordance with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shall be forfeited, without the payment of any consideration therefor, immediately upon the Participant’s Termination of Service. Upon forfeiture, all of the Participant’s rights with respect to the forfeited Awarded Shares shall cease and terminate, without any further obligations on the part of the Company.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Restrictions on Awarded Shares</w:t>
      </w:r>
      <w:r>
        <w:rPr>
          <w:rFonts w:ascii="Times New Roman;sans-serif" w:hAnsi="Times New Roman;sans-serif"/>
          <w:b w:val="false"/>
          <w:color w:val="000000"/>
          <w:sz w:val="22"/>
        </w:rPr>
        <w:t xml:space="preserve">. Subject to the provisions of the Plan and the terms of this Agreement, from the Date of Grant until the date the Awarded Shares are vested in accordance with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and are no longer subject to forfeiture in accordance with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Restriction Period</w:t>
      </w:r>
      <w:r>
        <w:rPr>
          <w:color w:val="000000"/>
        </w:rPr>
        <w:t>”</w:t>
      </w:r>
      <w:r>
        <w:rPr>
          <w:rFonts w:ascii="Times New Roman;sans-serif" w:hAnsi="Times New Roman;sans-serif"/>
          <w:b w:val="false"/>
          <w:color w:val="000000"/>
          <w:sz w:val="22"/>
        </w:rPr>
        <w:t>), the Participant shall not be permitted to sell, transfer, pledge, hypothecate, margin, assign or otherwise encumber any of the Awarded Shares, except that during the Restriction Period, the Participant may transfer for no consideration some or all of the Awarded Shares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Awarded Shares whenever it may determine that, by reason of changes in applicable laws or changes in circumstances after the date of this Agreement, such action is appropriate.</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Legend</w:t>
      </w:r>
      <w:r>
        <w:rPr>
          <w:rFonts w:ascii="Times New Roman;sans-serif" w:hAnsi="Times New Roman;sans-serif"/>
          <w:b w:val="false"/>
          <w:color w:val="000000"/>
          <w:sz w:val="22"/>
        </w:rPr>
        <w:t>. The following legend shall be placed on all certificates issued representing Awarded Shares:</w:t>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before="0" w:after="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On the face of the certificate:</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2"/>
        </w:rPr>
        <w:t>Transfer of this stock is restricted in accordance with conditions printed on the reverse of this certificate.”</w:t>
      </w:r>
    </w:p>
    <w:p>
      <w:pPr>
        <w:pStyle w:val="TextBody"/>
        <w:spacing w:before="0" w:after="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On the reverse:</w:t>
      </w:r>
    </w:p>
    <w:p>
      <w:pPr>
        <w:pStyle w:val="TextBody"/>
        <w:spacing w:before="0" w:after="0"/>
        <w:ind w:left="0" w:right="0" w:firstLine="1440"/>
        <w:jc w:val="both"/>
        <w:rPr/>
      </w:pPr>
      <w:r>
        <w:rPr/>
      </w:r>
    </w:p>
    <w:p>
      <w:pPr>
        <w:pStyle w:val="TextBody"/>
        <w:spacing w:lineRule="auto" w:line="240" w:before="0" w:after="0"/>
        <w:jc w:val="both"/>
        <w:rPr/>
      </w:pPr>
      <w:r>
        <w:rPr>
          <w:color w:val="000000"/>
        </w:rPr>
        <w:t>“</w:t>
      </w:r>
      <w:r>
        <w:rPr>
          <w:rFonts w:ascii="Times New Roman;sans-serif" w:hAnsi="Times New Roman;sans-serif"/>
          <w:b w:val="false"/>
          <w:color w:val="000000"/>
          <w:sz w:val="22"/>
        </w:rPr>
        <w:t xml:space="preserve">The shares of stock evidenced by this certificate are subject to and transferable only in accordance with that certain Matador Resources Company 2019 Long-Term Incentive Plan, a copy of which is on file at the principal office of the Company in Dallas, Texas and that certain Restricted Stock Award Agreement dated as of </w:t>
      </w:r>
      <w:r>
        <w:rPr>
          <w:rFonts w:ascii="Times New Roman;sans-serif" w:hAnsi="Times New Roman;sans-serif"/>
          <w:b/>
          <w:color w:val="000000"/>
          <w:sz w:val="22"/>
        </w:rPr>
        <w:t>[</w:t>
      </w:r>
      <w:r>
        <w:rPr>
          <w:color w:val="000000"/>
        </w:rPr>
        <w:t>●</w:t>
      </w:r>
      <w:r>
        <w:rPr>
          <w:rFonts w:ascii="Times New Roman;sans-serif" w:hAnsi="Times New Roman;sans-serif"/>
          <w:b/>
          <w:color w:val="000000"/>
          <w:sz w:val="22"/>
        </w:rPr>
        <w:t>]</w:t>
      </w:r>
      <w:r>
        <w:rPr>
          <w:rFonts w:ascii="Times New Roman;sans-serif" w:hAnsi="Times New Roman;sans-serif"/>
          <w:b w:val="false"/>
          <w:color w:val="000000"/>
          <w:sz w:val="22"/>
        </w:rPr>
        <w:t>, by and between the Company and the recordholder named on the face of this certificate. No transfer or pledge of the shares evidenced hereby may be made except in accordance with and subject to the provisions of said Plan and Award Agreement. By acceptance of this certificate, any holder, transferee or pledgee hereof agrees to be bound by all of the provisions of said Plan and Award Agreement.”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Delivery of Certificates; Registration of Shares</w:t>
      </w:r>
      <w:r>
        <w:rPr>
          <w:rFonts w:ascii="Times New Roman;sans-serif" w:hAnsi="Times New Roman;sans-serif"/>
          <w:b w:val="false"/>
          <w:color w:val="000000"/>
          <w:sz w:val="22"/>
        </w:rPr>
        <w:t xml:space="preserve">. The Company shall deliver certificates for the Awarded Shares to the Participant or shall register the Awarded Shares in the Participant’s name, free of restriction under this Agreement, promptly after, and only after, the Restriction Period has expired without forfeiture pursuant to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xml:space="preserve">. In connection with any issuance of a certificate for Restricted Stock, the Participant shall endorse such certificate in blank or execute a stock power in a form satisfactory to the Company in blank and deliver such certificate and executed stock power to the Company.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Rights of a Shareholder</w:t>
      </w:r>
      <w:r>
        <w:rPr>
          <w:rFonts w:ascii="Times New Roman;sans-serif" w:hAnsi="Times New Roman;sans-serif"/>
          <w:b w:val="false"/>
          <w:color w:val="000000"/>
          <w:sz w:val="22"/>
        </w:rPr>
        <w:t xml:space="preserve">. Except as provided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 xml:space="preserve">above, the Participant shall have, with respect to his Awarded Shares, all of the rights of a shareholder of the Company, including the right to vote the shares, and the right to receive any dividends thereon; provided, however, that dividends shall accrue in a Company bookkeeping account during the Restriction Period and shall be paid to the Participant only if and to the extent that the underlying Awarded Shares vest and are settled.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Voting</w:t>
      </w:r>
      <w:r>
        <w:rPr>
          <w:rFonts w:ascii="Times New Roman;sans-serif" w:hAnsi="Times New Roman;sans-serif"/>
          <w:b w:val="false"/>
          <w:color w:val="000000"/>
          <w:sz w:val="22"/>
        </w:rPr>
        <w:t xml:space="preserve">. The Participant, as record holder of the Awarded Shares, has the exclusive right to vote, or consent with respect to, such Awarded Shares until such time as the Awarded Shares are transferred in accordance with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shall not create any voting right where the holders of such Awarded Shares otherwise have no such right.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Adjustment to Number of Awarded Shares</w:t>
      </w:r>
      <w:r>
        <w:rPr>
          <w:rFonts w:ascii="Times New Roman;sans-serif" w:hAnsi="Times New Roman;sans-serif"/>
          <w:b w:val="false"/>
          <w:color w:val="000000"/>
          <w:sz w:val="22"/>
        </w:rPr>
        <w:t xml:space="preserve">. The number of Awarded Shares shall be subject to adjustment in accordance with </w:t>
      </w:r>
      <w:r>
        <w:rPr>
          <w:rFonts w:ascii="Times New Roman;sans-serif" w:hAnsi="Times New Roman;sans-serif"/>
          <w:b w:val="false"/>
          <w:color w:val="000000"/>
          <w:sz w:val="22"/>
          <w:u w:val="single"/>
        </w:rPr>
        <w:t>Articles 11-13</w:t>
      </w:r>
      <w:r>
        <w:rPr>
          <w:color w:val="000000"/>
        </w:rPr>
        <w:t xml:space="preserve"> </w:t>
      </w:r>
      <w:r>
        <w:rPr>
          <w:rFonts w:ascii="Times New Roman;sans-serif" w:hAnsi="Times New Roman;sans-serif"/>
          <w:b w:val="false"/>
          <w:color w:val="000000"/>
          <w:sz w:val="22"/>
        </w:rPr>
        <w:t>of the Plan.</w:t>
      </w:r>
    </w:p>
    <w:p>
      <w:pPr>
        <w:pStyle w:val="TextBody"/>
        <w:spacing w:before="0" w:after="0"/>
        <w:jc w:val="both"/>
        <w:rPr/>
      </w:pPr>
      <w:r>
        <w:rPr/>
      </w:r>
    </w:p>
    <w:p>
      <w:pPr>
        <w:pStyle w:val="TextBody"/>
        <w:spacing w:lineRule="auto" w:line="240" w:before="0" w:after="22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w:t>
      </w:r>
    </w:p>
    <w:p>
      <w:pPr>
        <w:pStyle w:val="TextBody"/>
        <w:spacing w:lineRule="auto" w:line="240" w:before="0" w:after="22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Confidential Information and Non-Disclosure</w:t>
      </w:r>
      <w:r>
        <w:rPr>
          <w:rFonts w:ascii="Times New Roman;sans-serif" w:hAnsi="Times New Roman;sans-serif"/>
          <w:b w:val="false"/>
          <w:color w:val="000000"/>
          <w:sz w:val="22"/>
        </w:rPr>
        <w:t xml:space="preserve">. During the course of the Participant’s employment with or engagement by the Company, the Participant will receive certain confidential information and trade secrets, which includes but is not limited to production data, drilling schedules, financial results before they are disclosed publicly, technical data, customer and vendor lists, management methods, operating techniques, prospective acquisitions, employee lists, training manuals and procedures, personnel evaluation procedures, financial reports and/or other confidential information and knowledge concerning the business of the Company and its affiliates (hereinafter collectively referred to as </w:t>
      </w:r>
      <w:r>
        <w:rPr>
          <w:color w:val="000000"/>
        </w:rPr>
        <w:t>“</w:t>
      </w:r>
      <w:r>
        <w:rPr>
          <w:rFonts w:ascii="Times New Roman;sans-serif" w:hAnsi="Times New Roman;sans-serif"/>
          <w:b/>
          <w:i/>
          <w:color w:val="000000"/>
          <w:sz w:val="22"/>
        </w:rPr>
        <w:t>Confidential Information”</w:t>
      </w:r>
      <w:r>
        <w:rPr>
          <w:rFonts w:ascii="Times New Roman;sans-serif" w:hAnsi="Times New Roman;sans-serif"/>
          <w:b w:val="false"/>
          <w:color w:val="000000"/>
          <w:sz w:val="22"/>
        </w:rPr>
        <w:t xml:space="preserve">), which the Company desires to protect. The Participant understands and agrees that the Confidential Information is confidential and the Participant agrees not to disclose or reveal the Confidential Information to anyone outside the Company or use Confidential Information for the benefit of any person or entity other than the Company. Additionally, the Participant may receive Confidential Information and work on projects that are not widely known throughout the Company, and the Participant agrees to not disclose or reveal such Confidential Information or details about such projects to any other person (including other employees or independent contractors of the Company) except as required in connection with his or her job duties. The </w:t>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Participant further agrees not to use or disclose the Confidential Information in order to compete with the Company at any time during or after the Participant’s employment or engagement with the Company. The Participant is hereby notified in accordance with the Defend Trade Secrets Act of 2016 that the Participant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In addition, notwithstanding the foregoing, if the Participant files a lawsuit for retaliation against the Company for reporting a suspected violation of law, the Participant may disclose the Company’s trade secrets to the Participant’s attorney and use the trade secret information in the court proceeding if the Participant files any document containing the trade secret under seal, and does not disclose the trade secret, except pursuant to court order. </w:t>
      </w:r>
    </w:p>
    <w:p>
      <w:pPr>
        <w:pStyle w:val="TextBody"/>
        <w:spacing w:lineRule="auto" w:line="240" w:before="0" w:after="22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Non-Solicitation</w:t>
      </w:r>
      <w:r>
        <w:rPr>
          <w:rFonts w:ascii="Times New Roman;sans-serif" w:hAnsi="Times New Roman;sans-serif"/>
          <w:b w:val="false"/>
          <w:color w:val="000000"/>
          <w:sz w:val="22"/>
        </w:rPr>
        <w:t>. The Participant understands and acknowledges that the Company expends significant time and expense in recruiting and training its employees and that the loss of employees would cause significant and irreparable harm to the Company. In consideration of the receipt of the Awarded Shares and Confidential Information and the benefit received by the Participant from the Company’s goodwill or other business interests, during the period from the Date of Grant through the date that is twenty-four (24) months following the Participant’s Termination of Service for any reason (the “</w:t>
      </w:r>
      <w:r>
        <w:rPr>
          <w:rFonts w:ascii="Times New Roman;sans-serif" w:hAnsi="Times New Roman;sans-serif"/>
          <w:b/>
          <w:i/>
          <w:color w:val="000000"/>
          <w:sz w:val="22"/>
        </w:rPr>
        <w:t>Non-Solicitation Period</w:t>
      </w:r>
      <w:r>
        <w:rPr>
          <w:color w:val="000000"/>
        </w:rPr>
        <w:t>”</w:t>
      </w:r>
      <w:r>
        <w:rPr>
          <w:rFonts w:ascii="Times New Roman;sans-serif" w:hAnsi="Times New Roman;sans-serif"/>
          <w:b w:val="false"/>
          <w:color w:val="000000"/>
          <w:sz w:val="22"/>
        </w:rPr>
        <w:t xml:space="preserve">), the Participant agrees on his or her own behalf and on behalf of his or her affiliates that, without the prior written consent of the Board, the Chairman of the Board or the Chief Executive Officer of the Company, he or she shall not, directly or indirectly, (i) solicit for employment or a contracting relationship, or employ or retain any person who is or has been, within the last six months, employed by or engaged as an independent contractor to the Company or its affiliates or (ii) induce or attempt to induce any such person to leave his or her employment or independent contractor relationship with the Company or its affiliates. The Company agrees that the foregoing restriction is not intended to apply generally to companies providing services to the Company, such as rig and oilfield services providers, or lenders. </w:t>
      </w:r>
    </w:p>
    <w:p>
      <w:pPr>
        <w:pStyle w:val="TextBody"/>
        <w:spacing w:lineRule="auto" w:line="240" w:before="0" w:after="22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rPr>
        <w:t>Non-Compete</w:t>
      </w:r>
      <w:r>
        <w:rPr>
          <w:rFonts w:ascii="Times New Roman;sans-serif" w:hAnsi="Times New Roman;sans-serif"/>
          <w:b w:val="false"/>
          <w:color w:val="000000"/>
          <w:sz w:val="22"/>
        </w:rPr>
        <w:t>. The Participant understands and acknowledges that the Company has an interest in protecting its Confidential Information, goodwill and other business interests and that the Participant has benefitted and will benefit from the Company’s goodwill and has accessed or will access the Company’s information, including Confidential Information, during the course of the Participant’s employment or engagement by the Company, and therefore the Participant would be able to irreparably injure the Company if the Participant should engage in unfair competition. In consideration of the receipt of the Awarded Shares and Confidential Information and the benefit received by the Participant from the Company’s goodwill or other business interests, during the period from the Date of Grant through the date that is twelve (12) months following the Participant’s Termination of Service for any reason (the “</w:t>
      </w:r>
      <w:r>
        <w:rPr>
          <w:rFonts w:ascii="Times New Roman;sans-serif" w:hAnsi="Times New Roman;sans-serif"/>
          <w:b/>
          <w:i/>
          <w:color w:val="000000"/>
          <w:sz w:val="22"/>
        </w:rPr>
        <w:t>Non-Compete Period</w:t>
      </w:r>
      <w:r>
        <w:rPr>
          <w:color w:val="000000"/>
        </w:rPr>
        <w:t>”</w:t>
      </w:r>
      <w:r>
        <w:rPr>
          <w:rFonts w:ascii="Times New Roman;sans-serif" w:hAnsi="Times New Roman;sans-serif"/>
          <w:b w:val="false"/>
          <w:color w:val="000000"/>
          <w:sz w:val="22"/>
        </w:rPr>
        <w:t>), the Participant agrees that he or she shall not, without the prior written consent of the Board, the Chairman of the Board or the Chief Executive Officer of the Company, directly or indirectly: (i) invest in (other than investments in publicly-owned companies that constitute not more than 1% of the voting securities of any such company) a Competing Business with Significant Assets in the Restricted Area (each as defined below), or (ii) [other than in a capacity involving legal advice,] participate in the operations of a Competing Business in the Restricted Area as a manager, employee, director, officer, consultant, independent contractor or in any other capacity or otherwise provide, directly or indirectly, services or assistance to a Competing Business in a position that involves input into or direction of the Competing Business’s operations within the Restricted Area. “</w:t>
      </w:r>
      <w:r>
        <w:rPr>
          <w:rFonts w:ascii="Times New Roman;sans-serif" w:hAnsi="Times New Roman;sans-serif"/>
          <w:b/>
          <w:i/>
          <w:color w:val="000000"/>
          <w:sz w:val="22"/>
        </w:rPr>
        <w:t>Competing Business</w:t>
      </w:r>
      <w:r>
        <w:rPr>
          <w:color w:val="000000"/>
        </w:rPr>
        <w:t xml:space="preserve">” </w:t>
      </w:r>
      <w:r>
        <w:rPr>
          <w:rFonts w:ascii="Times New Roman;sans-serif" w:hAnsi="Times New Roman;sans-serif"/>
          <w:b w:val="false"/>
          <w:color w:val="000000"/>
          <w:sz w:val="22"/>
        </w:rPr>
        <w:t>means any person or entity engaged in (x) oil and natural gas exploration, development and production; (y) marketing and midstream operations, including natural gas processing, oil and natural gas transportation services, oil, natural gas and salt water gathering services and salt water disposal services, and/or (z) acquisition activities related to (x) and (y). “</w:t>
      </w:r>
      <w:r>
        <w:rPr>
          <w:rFonts w:ascii="Times New Roman;sans-serif" w:hAnsi="Times New Roman;sans-serif"/>
          <w:b/>
          <w:i/>
          <w:color w:val="000000"/>
          <w:sz w:val="22"/>
        </w:rPr>
        <w:t>Significant Assets</w:t>
      </w:r>
      <w:r>
        <w:rPr>
          <w:color w:val="000000"/>
        </w:rPr>
        <w:t xml:space="preserve">” </w:t>
      </w:r>
      <w:r>
        <w:rPr>
          <w:rFonts w:ascii="Times New Roman;sans-serif" w:hAnsi="Times New Roman;sans-serif"/>
          <w:b w:val="false"/>
          <w:color w:val="000000"/>
          <w:sz w:val="22"/>
        </w:rPr>
        <w:t>means (i) oil and natural gas reserves in excess of 10 million barrels of oil equivalent or (ii) midstream assets with an aggregate fair market value of $25 million or more. “</w:t>
      </w:r>
      <w:r>
        <w:rPr>
          <w:rFonts w:ascii="Times New Roman;sans-serif" w:hAnsi="Times New Roman;sans-serif"/>
          <w:b/>
          <w:i/>
          <w:color w:val="000000"/>
          <w:sz w:val="22"/>
        </w:rPr>
        <w:t>Restricted Area</w:t>
      </w:r>
      <w:r>
        <w:rPr>
          <w:color w:val="000000"/>
        </w:rPr>
        <w:t xml:space="preserve">” </w:t>
      </w:r>
      <w:r>
        <w:rPr>
          <w:rFonts w:ascii="Times New Roman;sans-serif" w:hAnsi="Times New Roman;sans-serif"/>
          <w:b w:val="false"/>
          <w:color w:val="000000"/>
          <w:sz w:val="22"/>
        </w:rPr>
        <w:t>means Eddy and Lea Counties, New Mexico and Loving County, Texas (collectively, the “</w:t>
      </w:r>
      <w:r>
        <w:rPr>
          <w:rFonts w:ascii="Times New Roman;sans-serif" w:hAnsi="Times New Roman;sans-serif"/>
          <w:b/>
          <w:i/>
          <w:color w:val="000000"/>
          <w:sz w:val="22"/>
        </w:rPr>
        <w:t>Named Counties</w:t>
      </w:r>
      <w:r>
        <w:rPr>
          <w:color w:val="000000"/>
        </w:rPr>
        <w:t>”</w:t>
      </w:r>
      <w:r>
        <w:rPr>
          <w:rFonts w:ascii="Times New Roman;sans-serif" w:hAnsi="Times New Roman;sans-serif"/>
          <w:b w:val="false"/>
          <w:color w:val="000000"/>
          <w:sz w:val="22"/>
        </w:rPr>
        <w:t xml:space="preserve">), plus any county or parish where the Company, together with its Subsidiaries, has Significant Assets as of the date of Participant’s Termination of Service; provided, however, that the Restricted Area </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shall cease to include a particular Named County following a sale of all or substantially all of the assets held by the Company, together with its Subsidiaries, in such Named County. </w:t>
      </w:r>
    </w:p>
    <w:p>
      <w:pPr>
        <w:pStyle w:val="TextBody"/>
        <w:spacing w:lineRule="auto" w:line="240" w:before="0" w:after="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Injunctive Relief and Specific Performance</w:t>
      </w:r>
      <w:r>
        <w:rPr>
          <w:rFonts w:ascii="Times New Roman;sans-serif" w:hAnsi="Times New Roman;sans-serif"/>
          <w:b w:val="false"/>
          <w:color w:val="000000"/>
          <w:sz w:val="22"/>
        </w:rPr>
        <w:t xml:space="preserve">. </w:t>
      </w:r>
    </w:p>
    <w:p>
      <w:pPr>
        <w:pStyle w:val="TextBody"/>
        <w:spacing w:before="0" w:after="0"/>
        <w:jc w:val="both"/>
        <w:rPr/>
      </w:pPr>
      <w:r>
        <w:rPr/>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a.The Participant hereby provides the Company assurance that the Participant has carefully read and considered all the terms and conditions of this Agreement, including the restraints imposed on the Participant under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The Participant agrees that the restraints are necessary to protect the Company’s business interests, including the Confidential Information and its goodwill, and that each of the restraints is reasonable with respect to subject matter, length of time and geographic area.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b.The Participant further agrees that the Company would suffer imminent and irreparable harm if the Participant breaches any of the restrictions in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The Participant agrees that the Company, in addition and not in the alternative to any other remedies available to it, shall be entitled to preliminary and permanent injunctive relief against any breach or threatened breach by the Participant of any such covenants, without having to post bond, together with an award of its reasonable attorneys’ fees incurred in enforcing its rights hereunder.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c.The Participant further agrees that each of the Non-Solicitation Period and the Non-Compete Period shall be tolled, and shall not run, during the period of any breach by the Participant of any of the covenants contained in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d.The Participant and Company further agree that, in the event that any provision of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is determined by a court of competent jurisdiction to be unenforceable, that provision shall be deemed modified to permit enforcement to the maximum extent permitted by law.</w:t>
      </w:r>
    </w:p>
    <w:p>
      <w:pPr>
        <w:pStyle w:val="TextBody"/>
        <w:spacing w:lineRule="auto" w:line="240" w:before="0" w:after="220"/>
        <w:ind w:left="0" w:right="0" w:firstLine="720"/>
        <w:jc w:val="both"/>
        <w:rPr/>
      </w:pPr>
      <w:r>
        <w:rPr>
          <w:rFonts w:ascii="Times New Roman;sans-serif" w:hAnsi="Times New Roman;sans-serif"/>
          <w:b w:val="false"/>
          <w:color w:val="000000"/>
          <w:sz w:val="22"/>
        </w:rPr>
        <w:t xml:space="preserve">e.The parties acknowledge that remedies at law will be inadequate remedies for breach or attempted breach of this Agreement (and specifically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hereof) and consequently agree that this Agreement shall be enforceable by specific performance. The remedy of specific performance shall be cumulative of all of the rights and remedies at law or in equity of the parties under this Agreement.</w:t>
      </w:r>
    </w:p>
    <w:p>
      <w:pPr>
        <w:pStyle w:val="TextBody"/>
        <w:spacing w:lineRule="auto" w:line="240" w:before="0" w:after="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Participant’s Representations</w:t>
      </w:r>
      <w:r>
        <w:rPr>
          <w:rFonts w:ascii="Times New Roman;sans-serif" w:hAnsi="Times New Roman;sans-serif"/>
          <w:b w:val="false"/>
          <w:color w:val="000000"/>
          <w:sz w:val="22"/>
        </w:rPr>
        <w:t>. Notwithstanding any of the provisions hereof, the Participant hereby agrees that he or she will not acquire any Awarded Shares, and that the Company will not be obligated to issue any Awarded Shares to the Participant hereunder, if the issuance of such shares shall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Participant’s Acknowledgments</w:t>
      </w:r>
      <w:r>
        <w:rPr>
          <w:rFonts w:ascii="Times New Roman;sans-serif" w:hAnsi="Times New Roman;sans-serif"/>
          <w:b w:val="false"/>
          <w:color w:val="000000"/>
          <w:sz w:val="22"/>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Law Governing</w:t>
      </w:r>
      <w:r>
        <w:rPr>
          <w:rFonts w:ascii="Times New Roman;sans-serif" w:hAnsi="Times New Roman;sans-serif"/>
          <w:b w:val="false"/>
          <w:color w:val="000000"/>
          <w:sz w:val="22"/>
        </w:rPr>
        <w:t>. This Agreement shall be governed by, construed, and enforced in accordance with the laws of the State of</w:t>
      </w:r>
      <w:r>
        <w:rPr>
          <w:color w:val="000000"/>
        </w:rPr>
        <w:t xml:space="preserve"> </w:t>
      </w:r>
      <w:r>
        <w:rPr>
          <w:rFonts w:ascii="Times New Roman;sans-serif" w:hAnsi="Times New Roman;sans-serif"/>
          <w:b w:val="false"/>
          <w:color w:val="000000"/>
          <w:sz w:val="22"/>
        </w:rPr>
        <w:t>Texas (excluding any conflict of laws rule or principle of Texas law that might refer the governance, construction, or interpretation of this Agreement to the laws of another state).</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Right to Continue Service or Employment</w:t>
      </w:r>
      <w:r>
        <w:rPr>
          <w:rFonts w:ascii="Times New Roman;sans-serif" w:hAnsi="Times New Roman;sans-serif"/>
          <w:b w:val="false"/>
          <w:color w:val="000000"/>
          <w:sz w:val="22"/>
        </w:rPr>
        <w:t xml:space="preserve">.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Employee, Contractor, or Outside Director at any time. Nothing herein shall be construed to modify the terms of any employment agreement or independent contractor agreement.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Legal Construction.</w:t>
      </w:r>
      <w:r>
        <w:rPr>
          <w:color w:val="000000"/>
        </w:rPr>
        <w:t xml:space="preserve"> </w:t>
      </w:r>
      <w:r>
        <w:rPr>
          <w:rFonts w:ascii="Times New Roman;sans-serif" w:hAnsi="Times New Roman;sans-serif"/>
          <w:b w:val="false"/>
          <w:color w:val="000000"/>
          <w:sz w:val="22"/>
        </w:rPr>
        <w:t>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Covenants and Agreements as Independent Agreements</w:t>
      </w:r>
      <w:r>
        <w:rPr>
          <w:rFonts w:ascii="Times New Roman;sans-serif" w:hAnsi="Times New Roman;sans-serif"/>
          <w:b w:val="false"/>
          <w:color w:val="000000"/>
          <w:sz w:val="22"/>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Parties Bound</w:t>
      </w:r>
      <w:r>
        <w:rPr>
          <w:rFonts w:ascii="Times New Roman;sans-serif" w:hAnsi="Times New Roman;sans-serif"/>
          <w:b w:val="false"/>
          <w:color w:val="000000"/>
          <w:sz w:val="22"/>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Shares without first executing and delivering an agreement in a form satisfactory to the Company making such person or entity subject to the restrictions on transfer contained herein.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Modification</w:t>
      </w:r>
      <w:r>
        <w:rPr>
          <w:rFonts w:ascii="Times New Roman;sans-serif" w:hAnsi="Times New Roman;sans-serif"/>
          <w:b w:val="false"/>
          <w:color w:val="000000"/>
          <w:sz w:val="22"/>
        </w:rPr>
        <w:t>. The Committee may amend this Agreement at any time and from time to time without the consent of the Participant; provided, however that no such amendment may materially and adversely affect the rights of the Participant without his or her consent. Notwithstanding the preceding sentence, the Company may amend the Plan to the extent permitted by the Plan.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that are used in this Agreement are used for reference and convenience purposes only and do not constitute substantive matters to be considered in construing the terms and provisions of this Agreement.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Gender and Number</w:t>
      </w:r>
      <w:r>
        <w:rPr>
          <w:rFonts w:ascii="Times New Roman;sans-serif" w:hAnsi="Times New Roman;sans-serif"/>
          <w:b w:val="false"/>
          <w:color w:val="000000"/>
          <w:sz w:val="22"/>
        </w:rPr>
        <w:t>. Words of any gender used in this Agreement shall be held and construed to include any other gender, and words in the singular number shall be held to include the plural, and vice versa, unless the context requires otherwise.</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Notice to the Company shall be addressed and delivered as follows:</w:t>
      </w:r>
    </w:p>
    <w:p>
      <w:pPr>
        <w:pStyle w:val="TextBody"/>
        <w:spacing w:before="0" w:after="0"/>
        <w:ind w:left="0" w:right="0" w:firstLine="720"/>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Matador Resources Company</w: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5400 LBJ Fwy, Suite 1500</w: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Dallas, TX 75240</w: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Attn: General Counsel</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Facsimile: (972) 371-5201</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Notice to the Participant shall be addressed and delivered to the Participant’s address as set forth in the Company’s records.</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Tax Requirements</w:t>
      </w:r>
      <w:r>
        <w:rPr>
          <w:rFonts w:ascii="Times New Roman;sans-serif" w:hAnsi="Times New Roman;sans-serif"/>
          <w:b w:val="false"/>
          <w:color w:val="000000"/>
          <w:sz w:val="22"/>
        </w:rPr>
        <w:t xml:space="preserve">. The Participant is hereby advised to consult immediately with his or her own tax advisor regarding the tax consequences of this Agreement, the method and timing for filing an election to include the Awarded Shares in income under Section 83(b) of the Code, and the tax consequences of such election. By execution of this Agreement, the Participant agrees that if the Participant makes such an election, the Participant shall provide the Company with written notice of such election in accordance with the regulations promulgated under Section 83(b) of the Code. The Company or, if applicable, any Subsidiary (for purposes of this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 the term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 xml:space="preserve">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The Company may, in its sole discretion, also require the Participant receiving shares of Common Stock issued under the Plan to pay the Company the amount of any taxes that the Company is permitted to withhold in connection with the Participant’s income arising with respect to this Award. Such payments shall be required to be made when requested by Company and 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applicable tax withholding payment; (iii) the Company’s withholding of a number of shares to be delivered upon the vesting of this Award, which shares so withheld have an aggregate Fair Market Value that equals or exceeds (solely to avoid the issuance of fractional shares) the applicable tax withholding payment; or (iv) any combination of (i), (ii), or (iii) or any other method consented to by the Company in writing. The Company may, in its sole discretion, withhold any such taxes from any other cash remuneration otherwise paid by the Company to the Participant.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Restrictions on Resale</w:t>
      </w:r>
      <w:r>
        <w:rPr>
          <w:rFonts w:ascii="Times New Roman;sans-serif" w:hAnsi="Times New Roman;sans-serif"/>
          <w:b w:val="false"/>
          <w:color w:val="000000"/>
          <w:sz w:val="22"/>
        </w:rPr>
        <w:t>. The Company may impose such restrictions, conditions or limitations as it determines appropriate as to the timing and manner of any resales by the Participant or other subsequent transfers by the Participant of any Awarded Shares, including without limitation (a) restrictions under an insider trading policy, (b) restrictions designed to delay and/or coordinate the timing and manner of sales by the Participant and other holders and (c) restrictions as to the use of a specified brokerage firm for such resales or other transfers.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Shares via Company web site or other electronic delivery.</w:t>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 * * * * * * *</w:t>
      </w:r>
    </w:p>
    <w:p>
      <w:pPr>
        <w:pStyle w:val="TextBody"/>
        <w:spacing w:before="0" w:after="0"/>
        <w:jc w:val="center"/>
        <w:rPr/>
      </w:pPr>
      <w:r>
        <w:rPr/>
      </w:r>
    </w:p>
    <w:p>
      <w:pPr>
        <w:pStyle w:val="TextBody"/>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p>
    <w:p>
      <w:pPr>
        <w:pStyle w:val="TextBody"/>
        <w:spacing w:lineRule="auto" w:line="240" w:before="0" w:after="0"/>
        <w:jc w:val="center"/>
        <w:rPr/>
      </w:pP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0"/>
        <w:ind w:left="0" w:right="0" w:firstLine="720"/>
        <w:jc w:val="both"/>
        <w:rPr/>
      </w:pPr>
      <w:r>
        <w:rPr>
          <w:rFonts w:ascii="Times New Roman;sans-serif" w:hAnsi="Times New Roman;sans-serif"/>
          <w:b w:val="false"/>
          <w:color w:val="000000"/>
          <w:sz w:val="22"/>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hereof.</w:t>
      </w:r>
    </w:p>
    <w:p>
      <w:pPr>
        <w:pStyle w:val="TextBody"/>
        <w:spacing w:before="0" w:after="0"/>
        <w:jc w:val="both"/>
        <w:rPr/>
      </w:pPr>
      <w:r>
        <w:rPr/>
      </w:r>
    </w:p>
    <w:tbl>
      <w:tblPr>
        <w:tblW w:w="4347" w:type="dxa"/>
        <w:jc w:val="left"/>
        <w:tblInd w:w="0" w:type="dxa"/>
        <w:tblCellMar>
          <w:top w:w="28" w:type="dxa"/>
          <w:left w:w="28" w:type="dxa"/>
          <w:bottom w:w="28" w:type="dxa"/>
          <w:right w:w="28" w:type="dxa"/>
        </w:tblCellMar>
      </w:tblPr>
      <w:tblGrid>
        <w:gridCol w:w="754"/>
        <w:gridCol w:w="660"/>
        <w:gridCol w:w="660"/>
        <w:gridCol w:w="660"/>
        <w:gridCol w:w="660"/>
        <w:gridCol w:w="953"/>
      </w:tblGrid>
      <w:tr>
        <w:trPr/>
        <w:tc>
          <w:tcPr>
            <w:tcW w:w="75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MATADOR RESOURCES COMPANY</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434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i/>
                                <w:color w:val="000000"/>
                                <w:sz w:val="20"/>
                              </w:rPr>
                              <w:t>Signature Page to Restricted Stock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i/>
                          <w:color w:val="000000"/>
                          <w:sz w:val="20"/>
                        </w:rPr>
                        <w:t>Signature Page to Restricted Stock Award Agreement</w:t>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MATADOR RESOURCES COMPANY </w: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List of Subsidiaries</w: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As of December 31, 2021</w:t>
      </w:r>
    </w:p>
    <w:tbl>
      <w:tblPr>
        <w:tblW w:w="5728" w:type="dxa"/>
        <w:jc w:val="center"/>
        <w:tblInd w:w="0" w:type="dxa"/>
        <w:tblCellMar>
          <w:top w:w="28" w:type="dxa"/>
          <w:left w:w="28" w:type="dxa"/>
          <w:bottom w:w="28" w:type="dxa"/>
          <w:right w:w="28" w:type="dxa"/>
        </w:tblCellMar>
      </w:tblPr>
      <w:tblGrid>
        <w:gridCol w:w="1568"/>
        <w:gridCol w:w="1371"/>
        <w:gridCol w:w="1396"/>
        <w:gridCol w:w="109"/>
        <w:gridCol w:w="109"/>
        <w:gridCol w:w="109"/>
        <w:gridCol w:w="312"/>
        <w:gridCol w:w="312"/>
        <w:gridCol w:w="442"/>
      </w:tblGrid>
      <w:tr>
        <w:trPr/>
        <w:tc>
          <w:tcPr>
            <w:tcW w:w="156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w:t>
            </w:r>
          </w:p>
        </w:tc>
      </w:tr>
      <w:tr>
        <w:trPr/>
        <w:tc>
          <w:tcPr>
            <w:tcW w:w="4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River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DLK Black River Midstream,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Fulcrum Delaware Water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Greyhound Midstream,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Greyhound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Delaware,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Southeast,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 Texas,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RB Pipeline,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Wolf Pipeline,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Production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Delaware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Southeast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 Texas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Explorers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LKE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Rockies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Spiral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Black River Oil Pipeline,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Black River Oil Pipeline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Midstream,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Stebbins Water Management,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 Permian,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Inclusion of an entity on the list of subsidiaries is not a representation that such subsidiary is a significant subsidiary.</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right"/>
        <w:rPr/>
      </w:pPr>
      <w:r>
        <w:rPr/>
      </w:r>
    </w:p>
    <w:p>
      <w:pPr>
        <w:pStyle w:val="TextBody"/>
        <w:spacing w:lineRule="auto" w:line="288" w:before="240" w:after="30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333-204868, 333-231989 and 333-180641) on Form S-8 of our reports dated March 1, 2022, with respect to the consolidated financial statements of Matador Resources Company and the effectiveness of internal control over financial reporting.</w:t>
      </w:r>
    </w:p>
    <w:p>
      <w:pPr>
        <w:pStyle w:val="TextBody"/>
        <w:spacing w:before="0" w:after="0"/>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854" w:type="dxa"/>
        <w:jc w:val="left"/>
        <w:tblInd w:w="0" w:type="dxa"/>
        <w:tblCellMar>
          <w:top w:w="28" w:type="dxa"/>
          <w:left w:w="28" w:type="dxa"/>
          <w:bottom w:w="28" w:type="dxa"/>
          <w:right w:w="28" w:type="dxa"/>
        </w:tblCellMar>
      </w:tblPr>
      <w:tblGrid>
        <w:gridCol w:w="124"/>
        <w:gridCol w:w="109"/>
        <w:gridCol w:w="109"/>
        <w:gridCol w:w="109"/>
        <w:gridCol w:w="109"/>
        <w:gridCol w:w="109"/>
        <w:gridCol w:w="346"/>
        <w:gridCol w:w="346"/>
        <w:gridCol w:w="4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 23.2</w:t>
            </w:r>
          </w:p>
        </w:tc>
      </w:tr>
    </w:tbl>
    <w:p>
      <w:pPr>
        <w:pStyle w:val="TextBody"/>
        <w:spacing w:before="0" w:after="0"/>
        <w:jc w:val="right"/>
        <w:rPr/>
      </w:pPr>
      <w:r>
        <w:rPr/>
      </w:r>
    </w:p>
    <w:p>
      <w:pPr>
        <w:pStyle w:val="TextBody"/>
        <w:spacing w:lineRule="auto" w:line="288" w:before="0" w:after="0"/>
        <w:jc w:val="center"/>
        <w:rPr/>
      </w:pPr>
      <w:r>
        <w:rPr>
          <w:color w:val="000000"/>
        </w:rPr>
        <w:t> </w:t>
      </w:r>
      <w:r>
        <w:rPr>
          <w:rFonts w:ascii="Times New Roman;sans-serif" w:hAnsi="Times New Roman;sans-serif"/>
          <w:b w:val="false"/>
          <w:color w:val="000000"/>
          <w:sz w:val="20"/>
          <w:u w:val="single"/>
        </w:rPr>
        <w:t>CONSENT OF INDEPENDENT PETROLEUM ENGINEERS AND GEOLOGISTS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use of the name Netherland, Sewell &amp; Associates, Inc.; the references to our audit of Matador Resources Company’s proved oil and natural gas reserves estimates and future net revenue at December 31, 2021; and the inclusion of our corresponding audit letter, dated January 17, 2022, in this Annual Report on Form 10-K of Matador Resources Company for the fiscal year ended December 31, 2021, as well as in the notes to the financial statements included therein. In addition, we hereby consent to the incorporation by reference of our audit letter, dated January 17, 2022, in Matador Resources Company’s Forms S-8 (File No. 333-180641, File No. 333-204868, and File No. 333-231989).</w:t>
      </w:r>
    </w:p>
    <w:p>
      <w:pPr>
        <w:pStyle w:val="TextBody"/>
        <w:spacing w:lineRule="auto" w:line="288" w:before="0" w:after="0"/>
        <w:jc w:val="right"/>
        <w:rPr>
          <w:color w:val="000000"/>
        </w:rPr>
      </w:pPr>
      <w:r>
        <w:rPr>
          <w:color w:val="000000"/>
        </w:rPr>
        <w:t> </w:t>
      </w:r>
    </w:p>
    <w:tbl>
      <w:tblPr>
        <w:tblW w:w="6084" w:type="dxa"/>
        <w:jc w:val="right"/>
        <w:tblInd w:w="0" w:type="dxa"/>
        <w:tblCellMar>
          <w:top w:w="28" w:type="dxa"/>
          <w:left w:w="28" w:type="dxa"/>
          <w:bottom w:w="28" w:type="dxa"/>
          <w:right w:w="28" w:type="dxa"/>
        </w:tblCellMar>
      </w:tblPr>
      <w:tblGrid>
        <w:gridCol w:w="525"/>
        <w:gridCol w:w="461"/>
        <w:gridCol w:w="461"/>
        <w:gridCol w:w="461"/>
        <w:gridCol w:w="461"/>
        <w:gridCol w:w="461"/>
        <w:gridCol w:w="949"/>
        <w:gridCol w:w="949"/>
        <w:gridCol w:w="1356"/>
      </w:tblGrid>
      <w:tr>
        <w:trPr/>
        <w:tc>
          <w:tcPr>
            <w:tcW w:w="5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NETHERLAND, SEWELL &amp; ASSOCIATES, INC.</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C.H. (Scott) Rees III </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(Scott) Rees III, P.E.</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spacing w:before="0" w:after="0"/>
        <w:jc w:val="center"/>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Matador Resources Company;</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185" w:type="dxa"/>
        <w:jc w:val="left"/>
        <w:tblInd w:w="0" w:type="dxa"/>
        <w:tblCellMar>
          <w:top w:w="28" w:type="dxa"/>
          <w:left w:w="28" w:type="dxa"/>
          <w:bottom w:w="28" w:type="dxa"/>
          <w:right w:w="28" w:type="dxa"/>
        </w:tblCellMar>
      </w:tblPr>
      <w:tblGrid>
        <w:gridCol w:w="580"/>
        <w:gridCol w:w="511"/>
        <w:gridCol w:w="513"/>
        <w:gridCol w:w="109"/>
        <w:gridCol w:w="109"/>
        <w:gridCol w:w="109"/>
        <w:gridCol w:w="951"/>
        <w:gridCol w:w="951"/>
        <w:gridCol w:w="1352"/>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David E. Lancaster, certify that: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Matador Resources Company;</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370" w:type="dxa"/>
        <w:jc w:val="left"/>
        <w:tblInd w:w="0" w:type="dxa"/>
        <w:tblCellMar>
          <w:top w:w="28" w:type="dxa"/>
          <w:left w:w="28" w:type="dxa"/>
          <w:bottom w:w="28" w:type="dxa"/>
          <w:right w:w="28" w:type="dxa"/>
        </w:tblCellMar>
      </w:tblPr>
      <w:tblGrid>
        <w:gridCol w:w="580"/>
        <w:gridCol w:w="511"/>
        <w:gridCol w:w="513"/>
        <w:gridCol w:w="109"/>
        <w:gridCol w:w="109"/>
        <w:gridCol w:w="109"/>
        <w:gridCol w:w="1297"/>
        <w:gridCol w:w="1297"/>
        <w:gridCol w:w="1845"/>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E. Lancaster</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E. Lancaster</w:t>
              <w:br/>
              <w:t>Executive Vice President and 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Matador Resources Company (the “Company”) on Form 10-K for the year ended December 31, 2021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(1) The Form 10-K fully complies with the requirements of Section 13(a) or 15(d) of the Securities Exchange Act of 1934; and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10-K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185" w:type="dxa"/>
        <w:jc w:val="left"/>
        <w:tblInd w:w="0" w:type="dxa"/>
        <w:tblCellMar>
          <w:top w:w="28" w:type="dxa"/>
          <w:left w:w="28" w:type="dxa"/>
          <w:bottom w:w="28" w:type="dxa"/>
          <w:right w:w="28" w:type="dxa"/>
        </w:tblCellMar>
      </w:tblPr>
      <w:tblGrid>
        <w:gridCol w:w="580"/>
        <w:gridCol w:w="511"/>
        <w:gridCol w:w="513"/>
        <w:gridCol w:w="109"/>
        <w:gridCol w:w="109"/>
        <w:gridCol w:w="109"/>
        <w:gridCol w:w="951"/>
        <w:gridCol w:w="951"/>
        <w:gridCol w:w="1352"/>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Matador Resources Company (the “Company”) on Form 10-K for the year ended December 31, 2021 as filed with the Securities and Exchange Commission on the date hereof (the “Form 10-K”), I, David E. Lancaster, Executive Vice President and Chief Financial Officer of the Company, hereby certify, pursuant to 18 U.S.C. § 1350, as adopted pursuant to § 906 of the Sarbanes-Oxley Act of 2002, that to the best of my knowledge: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(1) The Form 10-K fully complies with the requirements of Section 13(a) or 15(d) of the Securities Exchange Act of 1934; and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10-K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6370" w:type="dxa"/>
        <w:jc w:val="left"/>
        <w:tblInd w:w="0" w:type="dxa"/>
        <w:tblCellMar>
          <w:top w:w="28" w:type="dxa"/>
          <w:left w:w="28" w:type="dxa"/>
          <w:bottom w:w="28" w:type="dxa"/>
          <w:right w:w="28" w:type="dxa"/>
        </w:tblCellMar>
      </w:tblPr>
      <w:tblGrid>
        <w:gridCol w:w="580"/>
        <w:gridCol w:w="511"/>
        <w:gridCol w:w="513"/>
        <w:gridCol w:w="109"/>
        <w:gridCol w:w="109"/>
        <w:gridCol w:w="109"/>
        <w:gridCol w:w="1297"/>
        <w:gridCol w:w="1297"/>
        <w:gridCol w:w="1845"/>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E. Lancaster</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E. Lancaster</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[Netherland, Sewell &amp; Associates, Inc. Letterhead]</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January 17, 2022</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Mr. Tanner Schulz</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MRC Energy Company</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Lincoln Centre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5400 LBJ Freeway, Suite 1500</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Dallas, Texas 75240</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Dear Mr. Schulz:</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accordance with your request, we have audited the estimates prepared by MRC Energy Company (MRC), as of December 31, 2021,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MRC's estimates of the net reserves and future net revenue, as of December 31, 2021, for the audited properties:</w:t>
      </w:r>
    </w:p>
    <w:p>
      <w:pPr>
        <w:pStyle w:val="TextBody"/>
        <w:spacing w:before="0" w:after="0"/>
        <w:jc w:val="both"/>
        <w:rPr/>
      </w:pPr>
      <w:r>
        <w:rPr/>
      </w:r>
    </w:p>
    <w:tbl>
      <w:tblPr>
        <w:tblW w:w="9334" w:type="dxa"/>
        <w:jc w:val="center"/>
        <w:tblInd w:w="0" w:type="dxa"/>
        <w:tblCellMar>
          <w:top w:w="28" w:type="dxa"/>
          <w:left w:w="28" w:type="dxa"/>
          <w:bottom w:w="28" w:type="dxa"/>
          <w:right w:w="28" w:type="dxa"/>
        </w:tblCellMar>
      </w:tblPr>
      <w:tblGrid>
        <w:gridCol w:w="1099"/>
        <w:gridCol w:w="970"/>
        <w:gridCol w:w="976"/>
        <w:gridCol w:w="109"/>
        <w:gridCol w:w="109"/>
        <w:gridCol w:w="109"/>
        <w:gridCol w:w="354"/>
        <w:gridCol w:w="301"/>
        <w:gridCol w:w="306"/>
        <w:gridCol w:w="143"/>
        <w:gridCol w:w="143"/>
        <w:gridCol w:w="143"/>
        <w:gridCol w:w="318"/>
        <w:gridCol w:w="318"/>
        <w:gridCol w:w="325"/>
        <w:gridCol w:w="109"/>
        <w:gridCol w:w="109"/>
        <w:gridCol w:w="109"/>
        <w:gridCol w:w="516"/>
        <w:gridCol w:w="382"/>
        <w:gridCol w:w="248"/>
        <w:gridCol w:w="248"/>
        <w:gridCol w:w="248"/>
        <w:gridCol w:w="248"/>
        <w:gridCol w:w="408"/>
        <w:gridCol w:w="408"/>
        <w:gridCol w:w="578"/>
      </w:tblGrid>
      <w:tr>
        <w:trPr/>
        <w:tc>
          <w:tcPr>
            <w:tcW w:w="109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Reserves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Future Net Revenue (M$)</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Oil</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Present Worth</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(MMCF)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at 10%</w:t>
            </w:r>
          </w:p>
        </w:tc>
      </w:tr>
      <w:tr>
        <w:trPr/>
        <w:tc>
          <w:tcPr>
            <w:tcW w:w="3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Producing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97,348.9</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509,392.7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5,456,914.4</w:t>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3,358,142.7</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Non-Producing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4,884.3</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36,780.4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347,718.2</w:t>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223,546.0</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Undeveloped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79,072.7</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306,373.7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3,529,172.2</w:t>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1,765,941.1</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r>
              <w:rPr>
                <w:rFonts w:ascii="Arial;sans-serif" w:hAnsi="Arial;sans-serif"/>
                <w:b w:val="false"/>
                <w:color w:val="000000"/>
                <w:sz w:val="20"/>
              </w:rPr>
              <w:t>Total Proved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181,306.0</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852,546.9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9,333,807.1</w:t>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5,347,628.0</w:t>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14"/>
        </w:rPr>
      </w:pPr>
      <w:r>
        <w:rPr>
          <w:rFonts w:ascii="Arial;sans-serif" w:hAnsi="Arial;sans-serif"/>
          <w:b w:val="false"/>
          <w:i/>
          <w:color w:val="000000"/>
          <w:sz w:val="14"/>
        </w:rPr>
        <w:t>Totals may not add because of rounding.</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oil volumes shown include crude oil and condensate. Oil volumes are expressed in thousands of barrels (MBBL); a barrel is equivalent to 42 United States gallons. Gas volumes are expressed in millions of cubic feet (MMCF) at standard temperature and pressure bases. </w:t>
      </w:r>
    </w:p>
    <w:p>
      <w:pPr>
        <w:pStyle w:val="TextBody"/>
        <w:spacing w:before="0" w:after="0"/>
        <w:jc w:val="both"/>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in accordance with the Standards Pertaining to the Estimating and Auditing of Oil and Gas Reserves Information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promulgated by the Society of Petroleum Engineers (SPE Standards). Additionally, these estimates are within the recommended 10 percent tolerance threshold set forth in the SPE Standards. We are satisfied with the methods and procedures used by MRC in preparing the December 31, 2021, estimates of reserves and future revenue, and we saw nothing of an unusual nature that would cause us to take exception with the estimates, in the aggregate, as prepared by MRC.</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Reserves categorization conveys the relative degree of certainty; reserves subcategorization is based on development and production status. 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 </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Prices used by MRC are based on the 12-month unweighted arithmetic average of the first-day-of-the-month price for each month in the period January through December 2021. For oil volumes, the average West Texas Intermediate posted price of $63.04 per barrel is adjusted by lease for quality, transportation fees, and market differentials. For gas volumes, the average Henry Hub spot price of $3.598 per MMBTU is adjusted by lease for energy content, transportation fees, and market differentials. All prices are held constant throughout the lives of the properties. The average adjusted product prices weighted by production over the remaining lives of the properties are $65.11 per barrel of oil and $3.951 per MCF of gas.</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Abandonment costs used are MRC's estimates of the costs to abandon the wells and production facilities, net of any salvage value. Operating, capital, and abandonment costs are not escalated for inflation.</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 </w:t>
      </w:r>
    </w:p>
    <w:p>
      <w:pPr>
        <w:pStyle w:val="TextBody"/>
        <w:spacing w:before="0" w:after="0"/>
        <w:jc w:val="both"/>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not rely on such information or data until we had satisfactorily resolved our questions relating thereto or had independently verified such information or data. Our audit did not include a review of MRC's overall reserves management processes and practices.</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Arial;sans-serif" w:hAnsi="Arial;sans-serif"/>
          <w:b w:val="false"/>
          <w:color w:val="000000"/>
          <w:sz w:val="20"/>
        </w:rPr>
        <w:t>Sincerely,</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Arial;sans-serif" w:hAnsi="Arial;sans-serif"/>
          <w:b/>
          <w:color w:val="000000"/>
          <w:sz w:val="20"/>
        </w:rPr>
        <w:t>NETHERLAND, SEWELL &amp; ASSOCIATES, INC.</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Texas Registered Engineering Firm F-2699</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color w:val="000000"/>
        </w:rPr>
        <w:t>            </w:t>
      </w:r>
      <w:r>
        <w:rPr>
          <w:rFonts w:ascii="Arial;sans-serif" w:hAnsi="Arial;sans-serif"/>
          <w:b w:val="false"/>
          <w:color w:val="000000"/>
          <w:sz w:val="20"/>
          <w:u w:val="single"/>
        </w:rPr>
        <w:t xml:space="preserve">/s/ C.H. (Scott) Rees III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By: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C.H. (Scott) Rees III, P.E.</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Chairman and Chief Executive Officer</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color w:val="000000"/>
        </w:rPr>
        <w:t>            </w:t>
      </w:r>
      <w:r>
        <w:rPr>
          <w:rFonts w:ascii="Arial;sans-serif" w:hAnsi="Arial;sans-serif"/>
          <w:b w:val="false"/>
          <w:color w:val="000000"/>
          <w:sz w:val="20"/>
          <w:u w:val="single"/>
        </w:rPr>
        <w:t xml:space="preserve">/s/ Nathan C. Shahan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By: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Nathan C. Shahan, P.E. 102389</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Vice President</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Arial;sans-serif" w:hAnsi="Arial;sans-serif"/>
          <w:b w:val="false"/>
          <w:color w:val="000000"/>
          <w:sz w:val="20"/>
        </w:rPr>
        <w:t>Date Signed: January 17, 2022</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NCS:MBG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pStyle w:val="TextBody"/>
        <w:spacing w:before="0" w:after="0"/>
        <w:jc w:val="both"/>
        <w:rPr/>
      </w:pPr>
      <w:r>
        <w:rPr/>
      </w:r>
    </w:p>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val="false"/>
          <w:color w:val="000000"/>
          <w:sz w:val="22"/>
        </w:rPr>
      </w:pPr>
      <w:r>
        <w:rPr>
          <w:rFonts w:ascii="Arial;sans-serif" w:hAnsi="Arial;sans-serif"/>
          <w:b w:val="false"/>
          <w:color w:val="000000"/>
          <w:sz w:val="22"/>
        </w:rPr>
        <w:t>CERTIFICATION OF QUALIFICATION</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Nathan C. Shahan, Licensed Professional Engineer, 2100 Ross Avenue, Suite 2200, Dallas, Texas, hereby certify: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That I am an employee of Netherland, Sewell &amp; Associates, Inc. in the position of Vice President.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I do not have, nor do I expect to receive, any direct or indirect interest in the securities of Matador Resources Company or its subsidiaries.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I attended Texas A&amp;M University and graduated in 2002 with a Bachelor of Science Degree in Petroleum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 xml:space="preserve">/s/ Nathan C. Shahan </w:t>
      </w:r>
      <w:r>
        <w:rPr>
          <w:color w:val="000000"/>
        </w:rPr>
        <w:t>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Nathan C. Shahan, P.E.</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Texas Registration No. 102389</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pStyle w:val="TextBody"/>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20006/000119312517056449/d348512dex21.htm" TargetMode="External"/><Relationship Id="rId4" Type="http://schemas.openxmlformats.org/officeDocument/2006/relationships/hyperlink" Target="http://www.sec.gov/Archives/edgar/data/1520006/000152000617000188/a20170630mtdr10q-exhibit32.htm" TargetMode="External"/><Relationship Id="rId5" Type="http://schemas.openxmlformats.org/officeDocument/2006/relationships/hyperlink" Target="http://www.sec.gov/Archives/edgar/data/1520006/000152000617000188/a20170630mtdr10q-exhibit33.htm" TargetMode="External"/><Relationship Id="rId6" Type="http://schemas.openxmlformats.org/officeDocument/2006/relationships/hyperlink" Target="http://www.sec.gov/Archives/edgar/data/1520006/000152000617000188/a20170630mtdr10q-exhibit34.htm" TargetMode="External"/><Relationship Id="rId7" Type="http://schemas.openxmlformats.org/officeDocument/2006/relationships/hyperlink" Target="http://www.sec.gov/Archives/edgar/data/1520006/000152000618000051/a20171231mtdr8k-amendedbyl.htm" TargetMode="External"/><Relationship Id="rId8" Type="http://schemas.openxmlformats.org/officeDocument/2006/relationships/hyperlink" Target="http://www.sec.gov/Archives/edgar/data/1520006/000119312512016839/d217064dex41.htm" TargetMode="External"/><Relationship Id="rId9" Type="http://schemas.openxmlformats.org/officeDocument/2006/relationships/hyperlink" Target="http://www.sec.gov/Archives/edgar/data/1520006/000119312518254069/d578570dex41.htm" TargetMode="External"/><Relationship Id="rId10" Type="http://schemas.openxmlformats.org/officeDocument/2006/relationships/hyperlink" Target="http://www.sec.gov/Archives/edgar/data/1520006/000152000619000048/a20181231mtdr10-kex43.htm" TargetMode="External"/><Relationship Id="rId11" Type="http://schemas.openxmlformats.org/officeDocument/2006/relationships/hyperlink" Target="http://www.sec.gov/Archives/edgar/data/1520006/000152000621000249/secondsupplementalindentur.htm" TargetMode="External"/><Relationship Id="rId12" Type="http://schemas.openxmlformats.org/officeDocument/2006/relationships/hyperlink" Target="http://www.sec.gov/Archives/edgar/data/1520006/000152000620000037/a20191231mtdr10-kex44.htm" TargetMode="External"/><Relationship Id="rId13" Type="http://schemas.openxmlformats.org/officeDocument/2006/relationships/hyperlink" Target="http://www.sec.gov/Archives/edgar/data/1520006/000119312511310666/d217064dex103.htm" TargetMode="External"/><Relationship Id="rId14" Type="http://schemas.openxmlformats.org/officeDocument/2006/relationships/hyperlink" Target="http://www.sec.gov/Archives/edgar/data/1520006/000119312511310666/d217064dex104.htm" TargetMode="External"/><Relationship Id="rId15" Type="http://schemas.openxmlformats.org/officeDocument/2006/relationships/hyperlink" Target="http://www.sec.gov/Archives/edgar/data/1520006/000119312511310666/d217064dex105.htm" TargetMode="External"/><Relationship Id="rId16" Type="http://schemas.openxmlformats.org/officeDocument/2006/relationships/hyperlink" Target="http://www.sec.gov/Archives/edgar/data/1520006/000119312511310666/d217064dex108.htm" TargetMode="External"/><Relationship Id="rId17" Type="http://schemas.openxmlformats.org/officeDocument/2006/relationships/hyperlink" Target="http://www.sec.gov/Archives/edgar/data/1520006/000119312511310666/d217064dex109.htm" TargetMode="External"/><Relationship Id="rId18" Type="http://schemas.openxmlformats.org/officeDocument/2006/relationships/hyperlink" Target="http://www.sec.gov/Archives/edgar/data/1520006/000119312511310666/d217064dex1010.htm" TargetMode="External"/><Relationship Id="rId19" Type="http://schemas.openxmlformats.org/officeDocument/2006/relationships/hyperlink" Target="http://www.sec.gov/Archives/edgar/data/1520006/000119312511356358/d217064dex1012.htm" TargetMode="External"/><Relationship Id="rId20" Type="http://schemas.openxmlformats.org/officeDocument/2006/relationships/hyperlink" Target="http://www.sec.gov/Archives/edgar/data/1520006/000119312511356358/d217064dex1013.htm" TargetMode="External"/><Relationship Id="rId21" Type="http://schemas.openxmlformats.org/officeDocument/2006/relationships/hyperlink" Target="http://www.sec.gov/Archives/edgar/data/1520006/000119312511356358/d217064dex1014.htm" TargetMode="External"/><Relationship Id="rId22" Type="http://schemas.openxmlformats.org/officeDocument/2006/relationships/hyperlink" Target="http://www.sec.gov/Archives/edgar/data/1520006/000152000614000017/mtdr10-k12312013ex1051.htm" TargetMode="External"/><Relationship Id="rId23" Type="http://schemas.openxmlformats.org/officeDocument/2006/relationships/hyperlink" Target="http://www.sec.gov/Archives/edgar/data/1520006/000152000615000008/mtdr10-k12312014ex1052.htm" TargetMode="External"/><Relationship Id="rId24" Type="http://schemas.openxmlformats.org/officeDocument/2006/relationships/hyperlink" Target="http://www.sec.gov/Archives/edgar/data/1520006/000152000617000141/mtdrexhibit1012017q1.htm" TargetMode="External"/><Relationship Id="rId25" Type="http://schemas.openxmlformats.org/officeDocument/2006/relationships/hyperlink" Target="http://www.sec.gov/Archives/edgar/data/1520006/000152000618000102/a20180630mtdr10q-exhibit101.htm" TargetMode="External"/><Relationship Id="rId26" Type="http://schemas.openxmlformats.org/officeDocument/2006/relationships/hyperlink" Target="http://www.sec.gov/Archives/edgar/data/1520006/000152000619000115/a20190630mtdr10q-exhibit104.htm" TargetMode="External"/><Relationship Id="rId27" Type="http://schemas.openxmlformats.org/officeDocument/2006/relationships/hyperlink" Target="http://www.sec.gov/Archives/edgar/data/1520006/000152000618000102/a20180630mtdr10q-exhibit102.htm" TargetMode="External"/><Relationship Id="rId28" Type="http://schemas.openxmlformats.org/officeDocument/2006/relationships/hyperlink" Target="http://www.sec.gov/Archives/edgar/data/1520006/000152000619000115/a20190630mtdr10q-exhibit105.htm" TargetMode="External"/><Relationship Id="rId29" Type="http://schemas.openxmlformats.org/officeDocument/2006/relationships/hyperlink" Target="https://www.sec.gov/Archives/edgar/data/0001520006/000152000621000056/a20201231mtdr10-kex1055.htm" TargetMode="External"/><Relationship Id="rId30" Type="http://schemas.openxmlformats.org/officeDocument/2006/relationships/hyperlink" Target="https://www.sec.gov/Archives/edgar/data/0001520006/000152000621000056/a20201231mtdr10-kex1055.htm" TargetMode="External"/><Relationship Id="rId31" Type="http://schemas.openxmlformats.org/officeDocument/2006/relationships/hyperlink" Target="https://www.sec.gov/Archives/edgar/data/0001520006/000152000621000056/a20201231mtdr10-kex1055.htm" TargetMode="External"/><Relationship Id="rId32" Type="http://schemas.openxmlformats.org/officeDocument/2006/relationships/hyperlink" Target="http://www.sec.gov/Archives/edgar/data/1520006/000119312511310666/d217064dex1022.htm" TargetMode="External"/><Relationship Id="rId33" Type="http://schemas.openxmlformats.org/officeDocument/2006/relationships/hyperlink" Target="http://www.sec.gov/Archives/edgar/data/1520006/000119312512415433/d419120dex101.htm" TargetMode="External"/><Relationship Id="rId34" Type="http://schemas.openxmlformats.org/officeDocument/2006/relationships/hyperlink" Target="http://www.sec.gov/Archives/edgar/data/1520006/000119312513111031/d444422dex1049.htm" TargetMode="External"/><Relationship Id="rId35" Type="http://schemas.openxmlformats.org/officeDocument/2006/relationships/hyperlink" Target="http://www.sec.gov/Archives/edgar/data/1520006/000119312513111031/d444422dex1050.htm" TargetMode="External"/><Relationship Id="rId36" Type="http://schemas.openxmlformats.org/officeDocument/2006/relationships/hyperlink" Target="http://www.sec.gov/Archives/edgar/data/1520006/000119312513111031/d444422dex1051.htm" TargetMode="External"/><Relationship Id="rId37" Type="http://schemas.openxmlformats.org/officeDocument/2006/relationships/hyperlink" Target="http://www.sec.gov/Archives/edgar/data/1520006/000119312513248961/d548231dex101.htm" TargetMode="External"/><Relationship Id="rId38" Type="http://schemas.openxmlformats.org/officeDocument/2006/relationships/hyperlink" Target="http://www.sec.gov/Archives/edgar/data/1520006/000144530513002065/exhibit102q22013.htm" TargetMode="External"/><Relationship Id="rId39" Type="http://schemas.openxmlformats.org/officeDocument/2006/relationships/hyperlink" Target="http://www.sec.gov/Archives/edgar/data/1520006/000152000614000017/mtdr10-k12312013ex1050.htm" TargetMode="External"/><Relationship Id="rId40" Type="http://schemas.openxmlformats.org/officeDocument/2006/relationships/hyperlink" Target="http://www.sec.gov/Archives/edgar/data/1520006/000152000614000046/rbc_matador-fifthamendment.htm" TargetMode="External"/><Relationship Id="rId41" Type="http://schemas.openxmlformats.org/officeDocument/2006/relationships/hyperlink" Target="http://www.sec.gov/Archives/edgar/data/1520006/000119312515129556/d909750dex102.htm" TargetMode="External"/><Relationship Id="rId42" Type="http://schemas.openxmlformats.org/officeDocument/2006/relationships/hyperlink" Target="http://www.sec.gov/Archives/edgar/data/1520006/000152000615000160/seventhamendmenttothirdame.htm" TargetMode="External"/><Relationship Id="rId43" Type="http://schemas.openxmlformats.org/officeDocument/2006/relationships/hyperlink" Target="http://www.sec.gov/Archives/edgar/data/1520006/000152000616000382/rbc_matador-eighthamendmen.htm" TargetMode="External"/><Relationship Id="rId44" Type="http://schemas.openxmlformats.org/officeDocument/2006/relationships/hyperlink" Target="http://www.sec.gov/Archives/edgar/data/1520006/000119312516789726/d209952dex102.htm" TargetMode="External"/><Relationship Id="rId45" Type="http://schemas.openxmlformats.org/officeDocument/2006/relationships/hyperlink" Target="http://www.sec.gov/Archives/edgar/data/1520006/000152000617000138/rbc_matador-tenthamendment.htm" TargetMode="External"/><Relationship Id="rId46" Type="http://schemas.openxmlformats.org/officeDocument/2006/relationships/hyperlink" Target="http://www.sec.gov/Archives/edgar/data/1520006/000119312518244534/d598036dex101.htm" TargetMode="External"/><Relationship Id="rId47" Type="http://schemas.openxmlformats.org/officeDocument/2006/relationships/hyperlink" Target="http://www.sec.gov/Archives/edgar/data/1520006/000119312518293290/d623866dex102.htm" TargetMode="External"/><Relationship Id="rId48" Type="http://schemas.openxmlformats.org/officeDocument/2006/relationships/hyperlink" Target="http://www.sec.gov/Archives/edgar/data/1520006/000119312518293290/d623866dex102.htm" TargetMode="External"/><Relationship Id="rId49" Type="http://schemas.openxmlformats.org/officeDocument/2006/relationships/hyperlink" Target="http://www.sec.gov/Archives/edgar/data/1520006/000152000618000121/rbc_matador-thirteenthamen.htm" TargetMode="External"/><Relationship Id="rId50" Type="http://schemas.openxmlformats.org/officeDocument/2006/relationships/hyperlink" Target="http://www.sec.gov/Archives/edgar/data/1520006/000152000620000037/a20191231mtdr10-kex1055.htm" TargetMode="External"/><Relationship Id="rId51" Type="http://schemas.openxmlformats.org/officeDocument/2006/relationships/hyperlink" Target="http://www.sec.gov/Archives/edgar/data/1520006/000152000621000083/a20210331mtdr8kerex101.htm" TargetMode="External"/><Relationship Id="rId52" Type="http://schemas.openxmlformats.org/officeDocument/2006/relationships/hyperlink" Target="http://www.sec.gov/Archives/edgar/data/1520006/000152000621000236/a20211118mtdrex101forupl.htm" TargetMode="External"/><Relationship Id="rId53" Type="http://schemas.openxmlformats.org/officeDocument/2006/relationships/hyperlink" Target="http://www.sec.gov/Archives/edgar/data/1520006/000152000616000245/mtdr10-k12312015ex1059.htm" TargetMode="External"/><Relationship Id="rId54" Type="http://schemas.openxmlformats.org/officeDocument/2006/relationships/hyperlink" Target="http://www.sec.gov/Archives/edgar/data/1520006/000152000619000048/a20181231mtdr10-kex1066.htm" TargetMode="External"/><Relationship Id="rId55" Type="http://schemas.openxmlformats.org/officeDocument/2006/relationships/hyperlink" Target="http://www.sec.gov/Archives/edgar/data/1520006/000152000615000102/matador-amendedandrestated.htm" TargetMode="External"/><Relationship Id="rId56" Type="http://schemas.openxmlformats.org/officeDocument/2006/relationships/hyperlink" Target="http://www.sec.gov/Archives/edgar/data/1520006/000152000617000199/a20170930mtdr10q-exhibit101.htm" TargetMode="External"/><Relationship Id="rId57" Type="http://schemas.openxmlformats.org/officeDocument/2006/relationships/hyperlink" Target="http://www.sec.gov/Archives/edgar/data/1520006/000152000616000245/mtdr10-k12312015ex1053.htm" TargetMode="External"/><Relationship Id="rId58" Type="http://schemas.openxmlformats.org/officeDocument/2006/relationships/hyperlink" Target="http://www.sec.gov/Archives/edgar/data/1520006/000152000616000245/mtdr10-k12312015ex1054.htm" TargetMode="External"/><Relationship Id="rId59" Type="http://schemas.openxmlformats.org/officeDocument/2006/relationships/hyperlink" Target="http://www.sec.gov/Archives/edgar/data/1520006/000152000617000074/mtdr10-k12312016ex1063.htm" TargetMode="External"/><Relationship Id="rId60" Type="http://schemas.openxmlformats.org/officeDocument/2006/relationships/hyperlink" Target="http://www.sec.gov/Archives/edgar/data/1520006/000152000617000188/a20170630mtdr10q-exhibit104.htm" TargetMode="External"/><Relationship Id="rId61" Type="http://schemas.openxmlformats.org/officeDocument/2006/relationships/hyperlink" Target="http://www.sec.gov/Archives/edgar/data/1520006/000152000617000199/a20170930mtdr10q-exhibit103.htm" TargetMode="External"/><Relationship Id="rId62" Type="http://schemas.openxmlformats.org/officeDocument/2006/relationships/hyperlink" Target="http://www.sec.gov/Archives/edgar/data/1520006/000152000617000199/a20170930mtdr10q-exhibit104.htm" TargetMode="External"/><Relationship Id="rId63" Type="http://schemas.openxmlformats.org/officeDocument/2006/relationships/hyperlink" Target="http://www.sec.gov/Archives/edgar/data/1520006/000152000617000199/a20170930mtdr10q-exhibit105.htm" TargetMode="External"/><Relationship Id="rId64" Type="http://schemas.openxmlformats.org/officeDocument/2006/relationships/hyperlink" Target="http://www.sec.gov/Archives/edgar/data/1520006/000152000617000199/a20170930mtdr10q-exhibit106.htm" TargetMode="External"/><Relationship Id="rId65" Type="http://schemas.openxmlformats.org/officeDocument/2006/relationships/hyperlink" Target="http://www.sec.gov/Archives/edgar/data/1520006/000152000617000199/a20170930mtdr10q-exhibit107.htm" TargetMode="External"/><Relationship Id="rId66" Type="http://schemas.openxmlformats.org/officeDocument/2006/relationships/hyperlink" Target="http://www.sec.gov/Archives/edgar/data/1520006/000152000619000048/a20181231mtdr10-kex1067.htm" TargetMode="External"/><Relationship Id="rId67" Type="http://schemas.openxmlformats.org/officeDocument/2006/relationships/hyperlink" Target="http://www.sec.gov/Archives/edgar/data/1520006/000152000619000048/a20181231mtdr10-kex1068.htm" TargetMode="External"/><Relationship Id="rId68" Type="http://schemas.openxmlformats.org/officeDocument/2006/relationships/hyperlink" Target="http://www.sec.gov/Archives/edgar/data/1520006/000119312519167218/d760472dex991.htm" TargetMode="External"/><Relationship Id="rId69" Type="http://schemas.openxmlformats.org/officeDocument/2006/relationships/hyperlink" Target="http://www.sec.gov/Archives/edgar/data/1520006/000152000619000115/a20190630mtdr10q-exhibit102.htm" TargetMode="External"/><Relationship Id="rId70" Type="http://schemas.openxmlformats.org/officeDocument/2006/relationships/hyperlink" Target="http://www.sec.gov/Archives/edgar/data/1520006/000152000619000115/a20190630mtdr10q-exhibit103.htm" TargetMode="External"/><Relationship Id="rId71" Type="http://schemas.openxmlformats.org/officeDocument/2006/relationships/hyperlink" Target="http://www.sec.gov/Archives/edgar/data/1520006/000152000620000140/a20200331mtdr10q-exhibit101.htm" TargetMode="External"/><Relationship Id="rId72" Type="http://schemas.openxmlformats.org/officeDocument/2006/relationships/hyperlink" Target="http://www.sec.gov/Archives/edgar/data/1520006/000152000620000140/a20200331mtdr10q-exhbit102.htm" TargetMode="External"/><Relationship Id="rId73" Type="http://schemas.openxmlformats.org/officeDocument/2006/relationships/hyperlink" Target="https://www.sec.gov/Archives/edgar/data/1520006/000152000621000056/a20201231mtdr10-kex1056.htm" TargetMode="External"/><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120774</Words>
  <CharactersWithSpaces>780059</CharactersWithSpaces>
  <Paragraphs>6559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