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542925</wp:posOffset>
            </wp:positionV>
            <wp:extent cx="5854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508635</wp:posOffset>
            </wp:positionV>
            <wp:extent cx="5854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50"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5" w:lineRule="exact"/>
        <w:rPr>
          <w:sz w:val="24"/>
          <w:szCs w:val="24"/>
          <w:color w:val="auto"/>
        </w:rPr>
      </w:pPr>
    </w:p>
    <w:p>
      <w:pPr>
        <w:ind w:left="40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1620" w:type="dxa"/>
        <w:tblCellMar>
          <w:top w:w="0" w:type="dxa"/>
          <w:left w:w="0" w:type="dxa"/>
          <w:bottom w:w="0" w:type="dxa"/>
          <w:right w:w="0" w:type="dxa"/>
        </w:tblCellMar>
      </w:tblPr>
      <w:tr>
        <w:trPr>
          <w:trHeight w:val="227"/>
        </w:trPr>
        <w:tc>
          <w:tcPr>
            <w:tcW w:w="42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27-4662601</w:t>
            </w:r>
          </w:p>
        </w:tc>
      </w:tr>
      <w:tr>
        <w:trPr>
          <w:trHeight w:val="148"/>
        </w:trPr>
        <w:tc>
          <w:tcPr>
            <w:tcW w:w="426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0"/>
        </w:trPr>
        <w:tc>
          <w:tcPr>
            <w:tcW w:w="4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5400 LBJ Freeway, Suite 1500</w:t>
            </w:r>
          </w:p>
        </w:tc>
        <w:tc>
          <w:tcPr>
            <w:tcW w:w="3000" w:type="dxa"/>
            <w:vAlign w:val="bottom"/>
          </w:tcPr>
          <w:p>
            <w:pPr>
              <w:spacing w:after="0"/>
              <w:rPr>
                <w:sz w:val="24"/>
                <w:szCs w:val="24"/>
                <w:color w:val="auto"/>
              </w:rPr>
            </w:pPr>
          </w:p>
        </w:tc>
      </w:tr>
      <w:tr>
        <w:trPr>
          <w:trHeight w:val="245"/>
        </w:trPr>
        <w:tc>
          <w:tcPr>
            <w:tcW w:w="42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r>
      <w:tr>
        <w:trPr>
          <w:trHeight w:val="190"/>
        </w:trPr>
        <w:tc>
          <w:tcPr>
            <w:tcW w:w="42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(972) 371-5200</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1000" w:type="dxa"/>
        <w:tblCellMar>
          <w:top w:w="0" w:type="dxa"/>
          <w:left w:w="0" w:type="dxa"/>
          <w:bottom w:w="0" w:type="dxa"/>
          <w:right w:w="0" w:type="dxa"/>
        </w:tblCellMar>
      </w:tblPr>
      <w:tr>
        <w:trPr>
          <w:trHeight w:val="190"/>
        </w:trPr>
        <w:tc>
          <w:tcPr>
            <w:tcW w:w="4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8"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7" w:lineRule="exact"/>
        <w:rPr>
          <w:sz w:val="24"/>
          <w:szCs w:val="24"/>
          <w:color w:val="auto"/>
        </w:rPr>
      </w:pPr>
    </w:p>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20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16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8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2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225" w:right="499" w:bottom="0" w:gutter="0" w:footer="0" w:header="0"/>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79" w:lineRule="exact"/>
        <w:rPr>
          <w:sz w:val="20"/>
          <w:szCs w:val="20"/>
          <w:color w:val="auto"/>
        </w:rPr>
      </w:pPr>
    </w:p>
    <w:p>
      <w:pPr>
        <w:ind w:right="25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6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$5,764,468,069.</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20, 2024, there were 119,519,883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111760</wp:posOffset>
            </wp:positionV>
            <wp:extent cx="2700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of this Annual Report on Form 10-K, to the extent not set forth herein, is incorporated by reference to the registrant’s definitive proxy statement relating to the 2024 Annual Meeting of Shareholders, which will be filed with the Securities and Exchange Commission within 120 days after the end of the fiscal year to which this Annual Report on Form 10-K relates.</w:t>
      </w:r>
    </w:p>
    <w:p>
      <w:pPr>
        <w:spacing w:after="0" w:line="41" w:lineRule="exact"/>
        <w:rPr>
          <w:sz w:val="20"/>
          <w:szCs w:val="20"/>
          <w:color w:val="auto"/>
        </w:rPr>
      </w:pPr>
    </w:p>
    <w:p>
      <w:pPr>
        <w:ind w:left="20"/>
        <w:spacing w:after="0"/>
        <w:tabs>
          <w:tab w:leader="none" w:pos="4020" w:val="left"/>
          <w:tab w:leader="none" w:pos="8800" w:val="left"/>
        </w:tabs>
        <w:rPr>
          <w:sz w:val="20"/>
          <w:szCs w:val="20"/>
          <w:color w:val="auto"/>
        </w:rPr>
      </w:pPr>
      <w:r>
        <w:rPr>
          <w:rFonts w:ascii="Times New Roman" w:cs="Times New Roman" w:eastAsia="Times New Roman" w:hAnsi="Times New Roman"/>
          <w:sz w:val="18"/>
          <w:szCs w:val="18"/>
          <w:color w:val="auto"/>
        </w:rPr>
        <w:t>Auditor Name: KPMG LLP</w:t>
      </w:r>
      <w:r>
        <w:rPr>
          <w:sz w:val="20"/>
          <w:szCs w:val="20"/>
          <w:color w:val="auto"/>
        </w:rPr>
        <w:tab/>
      </w:r>
      <w:r>
        <w:rPr>
          <w:rFonts w:ascii="Times New Roman" w:cs="Times New Roman" w:eastAsia="Times New Roman" w:hAnsi="Times New Roman"/>
          <w:sz w:val="18"/>
          <w:szCs w:val="18"/>
          <w:color w:val="auto"/>
        </w:rPr>
        <w:t>Auditor Location: Dallas, TX</w:t>
      </w:r>
      <w:r>
        <w:rPr>
          <w:sz w:val="20"/>
          <w:szCs w:val="20"/>
          <w:color w:val="auto"/>
        </w:rPr>
        <w:tab/>
      </w:r>
      <w:r>
        <w:rPr>
          <w:rFonts w:ascii="Times New Roman" w:cs="Times New Roman" w:eastAsia="Times New Roman" w:hAnsi="Times New Roman"/>
          <w:sz w:val="17"/>
          <w:szCs w:val="17"/>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1367790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2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6"/>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40" w:type="dxa"/>
            <w:vAlign w:val="bottom"/>
            <w:gridSpan w:val="11"/>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2023</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6"/>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0"/>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Business</w:t>
            </w:r>
          </w:p>
        </w:tc>
        <w:tc>
          <w:tcPr>
            <w:tcW w:w="8400" w:type="dxa"/>
            <w:vAlign w:val="bottom"/>
            <w:gridSpan w:val="19"/>
          </w:tcPr>
          <w:p>
            <w:pPr>
              <w:spacing w:after="0"/>
              <w:rPr>
                <w:sz w:val="16"/>
                <w:szCs w:val="16"/>
                <w:color w:val="auto"/>
              </w:rPr>
            </w:pPr>
          </w:p>
        </w:tc>
        <w:tc>
          <w:tcPr>
            <w:tcW w:w="1060" w:type="dxa"/>
            <w:vAlign w:val="bottom"/>
            <w:gridSpan w:val="4"/>
          </w:tcPr>
          <w:p>
            <w:pPr>
              <w:jc w:val="right"/>
              <w:ind w:right="20"/>
              <w:spacing w:after="0" w:line="17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1A.</w:t>
            </w:r>
          </w:p>
        </w:tc>
        <w:tc>
          <w:tcPr>
            <w:tcW w:w="580" w:type="dxa"/>
            <w:vAlign w:val="bottom"/>
            <w:gridSpan w:val="2"/>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8180" w:type="dxa"/>
            <w:vAlign w:val="bottom"/>
            <w:gridSpan w:val="17"/>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1B.</w:t>
            </w:r>
          </w:p>
        </w:tc>
        <w:tc>
          <w:tcPr>
            <w:tcW w:w="580" w:type="dxa"/>
            <w:vAlign w:val="bottom"/>
            <w:gridSpan w:val="2"/>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3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680" w:type="dxa"/>
            <w:vAlign w:val="bottom"/>
            <w:gridSpan w:val="10"/>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1C.</w:t>
            </w:r>
          </w:p>
        </w:tc>
        <w:tc>
          <w:tcPr>
            <w:tcW w:w="580" w:type="dxa"/>
            <w:vAlign w:val="bottom"/>
            <w:gridSpan w:val="2"/>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1240" w:type="dxa"/>
            <w:vAlign w:val="bottom"/>
            <w:gridSpan w:val="6"/>
          </w:tcPr>
          <w:p>
            <w:pPr>
              <w:spacing w:after="0"/>
              <w:rPr>
                <w:sz w:val="18"/>
                <w:szCs w:val="18"/>
                <w:color w:val="auto"/>
              </w:rPr>
            </w:pPr>
          </w:p>
        </w:tc>
        <w:tc>
          <w:tcPr>
            <w:tcW w:w="6680" w:type="dxa"/>
            <w:vAlign w:val="bottom"/>
            <w:gridSpan w:val="10"/>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2.</w:t>
            </w:r>
          </w:p>
        </w:tc>
        <w:tc>
          <w:tcPr>
            <w:tcW w:w="580" w:type="dxa"/>
            <w:vAlign w:val="bottom"/>
            <w:gridSpan w:val="2"/>
            <w:shd w:val="clear" w:color="auto" w:fill="0000FF"/>
          </w:tcPr>
          <w:p>
            <w:pPr>
              <w:spacing w:after="0"/>
              <w:rPr>
                <w:sz w:val="2"/>
                <w:szCs w:val="2"/>
                <w:color w:val="auto"/>
              </w:rPr>
            </w:pPr>
          </w:p>
        </w:tc>
        <w:tc>
          <w:tcPr>
            <w:tcW w:w="480" w:type="dxa"/>
            <w:vAlign w:val="bottom"/>
            <w:gridSpan w:val="3"/>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7920" w:type="dxa"/>
            <w:vAlign w:val="bottom"/>
            <w:gridSpan w:val="16"/>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3.</w:t>
            </w:r>
          </w:p>
        </w:tc>
        <w:tc>
          <w:tcPr>
            <w:tcW w:w="1060" w:type="dxa"/>
            <w:vAlign w:val="bottom"/>
            <w:gridSpan w:val="5"/>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0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4.</w:t>
            </w:r>
          </w:p>
        </w:tc>
        <w:tc>
          <w:tcPr>
            <w:tcW w:w="1060" w:type="dxa"/>
            <w:vAlign w:val="bottom"/>
            <w:gridSpan w:val="5"/>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1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52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5.</w:t>
            </w:r>
          </w:p>
        </w:tc>
        <w:tc>
          <w:tcPr>
            <w:tcW w:w="64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6.</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gridSpan w:val="2"/>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160" w:type="dxa"/>
            <w:vAlign w:val="bottom"/>
            <w:gridSpan w:val="2"/>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Selected Financial Data</w:t>
            </w:r>
          </w:p>
        </w:tc>
        <w:tc>
          <w:tcPr>
            <w:tcW w:w="7540" w:type="dxa"/>
            <w:vAlign w:val="bottom"/>
            <w:gridSpan w:val="1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7.</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1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80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7A.</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820" w:type="dxa"/>
            <w:vAlign w:val="bottom"/>
            <w:gridSpan w:val="2"/>
          </w:tcPr>
          <w:p>
            <w:pPr>
              <w:spacing w:after="0"/>
              <w:rPr>
                <w:sz w:val="18"/>
                <w:szCs w:val="18"/>
                <w:color w:val="auto"/>
              </w:rPr>
            </w:pPr>
          </w:p>
        </w:tc>
        <w:tc>
          <w:tcPr>
            <w:tcW w:w="380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8.</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8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080" w:type="dxa"/>
            <w:vAlign w:val="bottom"/>
            <w:gridSpan w:val="2"/>
          </w:tcPr>
          <w:p>
            <w:pPr>
              <w:spacing w:after="0"/>
              <w:rPr>
                <w:sz w:val="18"/>
                <w:szCs w:val="18"/>
                <w:color w:val="auto"/>
              </w:rPr>
            </w:pPr>
          </w:p>
        </w:tc>
        <w:tc>
          <w:tcPr>
            <w:tcW w:w="4620" w:type="dxa"/>
            <w:vAlign w:val="bottom"/>
            <w:gridSpan w:val="5"/>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9.</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10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8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9A.</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1460" w:type="dxa"/>
            <w:vAlign w:val="bottom"/>
            <w:gridSpan w:val="3"/>
            <w:shd w:val="clear" w:color="auto" w:fill="0000FF"/>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4380" w:type="dxa"/>
            <w:vAlign w:val="bottom"/>
            <w:gridSpan w:val="10"/>
          </w:tcPr>
          <w:p>
            <w:pPr>
              <w:spacing w:after="0"/>
              <w:rPr>
                <w:sz w:val="18"/>
                <w:szCs w:val="18"/>
                <w:color w:val="auto"/>
              </w:rPr>
            </w:pP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9B.</w:t>
            </w:r>
          </w:p>
        </w:tc>
        <w:tc>
          <w:tcPr>
            <w:tcW w:w="106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46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540" w:type="dxa"/>
            <w:vAlign w:val="bottom"/>
            <w:gridSpan w:val="12"/>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52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10.</w:t>
            </w:r>
          </w:p>
        </w:tc>
        <w:tc>
          <w:tcPr>
            <w:tcW w:w="43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620" w:type="dxa"/>
            <w:vAlign w:val="bottom"/>
            <w:gridSpan w:val="5"/>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gridSpan w:val="3"/>
          </w:tcPr>
          <w:p>
            <w:pPr>
              <w:jc w:val="right"/>
              <w:ind w:right="20"/>
              <w:spacing w:after="0" w:line="174" w:lineRule="exact"/>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11.</w:t>
            </w:r>
          </w:p>
        </w:tc>
        <w:tc>
          <w:tcPr>
            <w:tcW w:w="1240" w:type="dxa"/>
            <w:vAlign w:val="bottom"/>
            <w:gridSpan w:val="6"/>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40" w:type="dxa"/>
            <w:vAlign w:val="bottom"/>
            <w:gridSpan w:val="4"/>
            <w:shd w:val="clear" w:color="auto" w:fill="0000FF"/>
          </w:tcPr>
          <w:p>
            <w:pPr>
              <w:spacing w:after="0"/>
              <w:rPr>
                <w:sz w:val="2"/>
                <w:szCs w:val="2"/>
                <w:color w:val="auto"/>
              </w:rPr>
            </w:pPr>
          </w:p>
        </w:tc>
        <w:tc>
          <w:tcPr>
            <w:tcW w:w="146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8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spacing w:after="0"/>
              <w:rPr>
                <w:sz w:val="18"/>
                <w:szCs w:val="18"/>
                <w:color w:val="auto"/>
              </w:rPr>
            </w:pPr>
          </w:p>
        </w:tc>
        <w:tc>
          <w:tcPr>
            <w:tcW w:w="1460" w:type="dxa"/>
            <w:vAlign w:val="bottom"/>
            <w:gridSpan w:val="3"/>
          </w:tcPr>
          <w:p>
            <w:pPr>
              <w:spacing w:after="0"/>
              <w:rPr>
                <w:sz w:val="18"/>
                <w:szCs w:val="18"/>
                <w:color w:val="auto"/>
              </w:rPr>
            </w:pP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12.</w:t>
            </w:r>
          </w:p>
        </w:tc>
        <w:tc>
          <w:tcPr>
            <w:tcW w:w="1240" w:type="dxa"/>
            <w:vAlign w:val="bottom"/>
            <w:gridSpan w:val="6"/>
            <w:shd w:val="clear" w:color="auto" w:fill="0000FF"/>
          </w:tcPr>
          <w:p>
            <w:pPr>
              <w:spacing w:after="0"/>
              <w:rPr>
                <w:sz w:val="2"/>
                <w:szCs w:val="2"/>
                <w:color w:val="auto"/>
              </w:rPr>
            </w:pPr>
          </w:p>
        </w:tc>
        <w:tc>
          <w:tcPr>
            <w:tcW w:w="1060" w:type="dxa"/>
            <w:vAlign w:val="bottom"/>
            <w:gridSpan w:val="5"/>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146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13.</w:t>
            </w:r>
          </w:p>
        </w:tc>
        <w:tc>
          <w:tcPr>
            <w:tcW w:w="1240" w:type="dxa"/>
            <w:vAlign w:val="bottom"/>
            <w:gridSpan w:val="6"/>
            <w:shd w:val="clear" w:color="auto" w:fill="0000FF"/>
          </w:tcPr>
          <w:p>
            <w:pPr>
              <w:spacing w:after="0"/>
              <w:rPr>
                <w:sz w:val="2"/>
                <w:szCs w:val="2"/>
                <w:color w:val="auto"/>
              </w:rPr>
            </w:pPr>
          </w:p>
        </w:tc>
        <w:tc>
          <w:tcPr>
            <w:tcW w:w="1060" w:type="dxa"/>
            <w:vAlign w:val="bottom"/>
            <w:gridSpan w:val="5"/>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40" w:type="dxa"/>
            <w:vAlign w:val="bottom"/>
            <w:gridSpan w:val="4"/>
            <w:shd w:val="clear" w:color="auto" w:fill="0000FF"/>
          </w:tcPr>
          <w:p>
            <w:pPr>
              <w:spacing w:after="0"/>
              <w:rPr>
                <w:sz w:val="2"/>
                <w:szCs w:val="2"/>
                <w:color w:val="auto"/>
              </w:rPr>
            </w:pPr>
          </w:p>
        </w:tc>
        <w:tc>
          <w:tcPr>
            <w:tcW w:w="4620" w:type="dxa"/>
            <w:vAlign w:val="bottom"/>
            <w:gridSpan w:val="5"/>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14.</w:t>
            </w:r>
          </w:p>
        </w:tc>
        <w:tc>
          <w:tcPr>
            <w:tcW w:w="1240" w:type="dxa"/>
            <w:vAlign w:val="bottom"/>
            <w:gridSpan w:val="6"/>
            <w:shd w:val="clear" w:color="auto" w:fill="0000FF"/>
          </w:tcPr>
          <w:p>
            <w:pPr>
              <w:spacing w:after="0"/>
              <w:rPr>
                <w:sz w:val="2"/>
                <w:szCs w:val="2"/>
                <w:color w:val="auto"/>
              </w:rPr>
            </w:pPr>
          </w:p>
        </w:tc>
        <w:tc>
          <w:tcPr>
            <w:tcW w:w="1060" w:type="dxa"/>
            <w:vAlign w:val="bottom"/>
            <w:gridSpan w:val="5"/>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60" w:type="dxa"/>
            <w:vAlign w:val="bottom"/>
            <w:gridSpan w:val="9"/>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860" w:type="dxa"/>
            <w:vAlign w:val="bottom"/>
          </w:tcPr>
          <w:p>
            <w:pPr>
              <w:spacing w:after="0"/>
              <w:rPr>
                <w:sz w:val="19"/>
                <w:szCs w:val="19"/>
                <w:color w:val="auto"/>
              </w:rPr>
            </w:pP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52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TEM</w:t>
            </w:r>
            <w:r>
              <w:rPr>
                <w:rFonts w:ascii="Times New Roman" w:cs="Times New Roman" w:eastAsia="Times New Roman" w:hAnsi="Times New Roman"/>
                <w:sz w:val="18"/>
                <w:szCs w:val="18"/>
                <w:color w:val="auto"/>
              </w:rPr>
              <w:t xml:space="preserve"> 15.</w:t>
            </w:r>
          </w:p>
        </w:tc>
        <w:tc>
          <w:tcPr>
            <w:tcW w:w="89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860" w:type="dxa"/>
            <w:vAlign w:val="bottom"/>
          </w:tcPr>
          <w:p>
            <w:pPr>
              <w:spacing w:after="0"/>
              <w:rPr>
                <w:sz w:val="16"/>
                <w:szCs w:val="16"/>
                <w:color w:val="auto"/>
              </w:rPr>
            </w:pPr>
          </w:p>
        </w:tc>
        <w:tc>
          <w:tcPr>
            <w:tcW w:w="200" w:type="dxa"/>
            <w:vAlign w:val="bottom"/>
            <w:gridSpan w:val="3"/>
          </w:tcPr>
          <w:p>
            <w:pPr>
              <w:jc w:val="right"/>
              <w:ind w:right="20"/>
              <w:spacing w:after="0" w:line="174" w:lineRule="exact"/>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240" w:type="dxa"/>
            <w:vAlign w:val="bottom"/>
            <w:gridSpan w:val="6"/>
            <w:shd w:val="clear" w:color="auto" w:fill="0000FF"/>
          </w:tcPr>
          <w:p>
            <w:pPr>
              <w:spacing w:after="0"/>
              <w:rPr>
                <w:sz w:val="2"/>
                <w:szCs w:val="2"/>
                <w:color w:val="auto"/>
              </w:rPr>
            </w:pPr>
          </w:p>
        </w:tc>
        <w:tc>
          <w:tcPr>
            <w:tcW w:w="7740" w:type="dxa"/>
            <w:vAlign w:val="bottom"/>
            <w:gridSpan w:val="15"/>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12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774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11"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7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and environmental conditions; disruption from our acquisitions making it more difficult to maintain business and operational relationships; significant transaction costs associated with our acquisitions; the risk of litigation and/or regulatory actions related to our acquisitions; and the other factors discussed below and elsewhere in this Annual Report and in other documents that we file with or furnish to the United States Securities and Exchange Commission (the “SEC”), all of which are difficult to predict. Forward-looking statements may include statements about:</w:t>
      </w:r>
    </w:p>
    <w:p>
      <w:pPr>
        <w:spacing w:after="0" w:line="8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 including whether or not a full-cost ceiling impairment could be realized;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payment of dividends,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of oil, natural gas and NGLs;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prices, including our realized prices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storage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field labor;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with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construct, maintain and operate midstream pipelines and facilities, including the operation of cryogenic natural gas processing plants and the drilling of additional salt water disposal wells;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attract third-party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initiatives and efforts relating to environmental, social and governance matters;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Inflation Reduction Act of 2022;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Annual Report or in our other filings with the SEC that are not historical.</w:t>
      </w:r>
    </w:p>
    <w:p>
      <w:pPr>
        <w:spacing w:after="0" w:line="99"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In this Annual Report, (i) references to “we,” “our” or the “Company” refer to Matador Resources Company and its subsidiaries as a whole (unless the context indicates otherwise), (ii) references to “Matador” refer solely to Matador Resources Company, (iii) references to “Advance” refer to Advance Energy Partners Holdings, LLC, (iv) references to the “Initial Advance Acquisition” refer to the acquisition of Advance from affiliates of EnCap Investments L.P., including certain oil and natural gas producing properties, undeveloped acreage and midstream assets located primarily in Lea County, New Mexico and Ward County, Texas, that was completed by a subsidiary of the Company on April 12, 2023, (v) references to the “Advance Royalty Acquisition” refer to the acquisition of additional interests from affiliates of EnCap Investments L.P., including overriding royalty interests and royalty interests in certain oil and natural gas properties located primarily in Lea County, New Mexico, most of which were included in the Initial Advance Acquisition, (vi) references to the “Advance Acquisition” refer, collectively, to the Initial Advance Acquisition and the Advance Royalty Acquisition, (vii) references to “San Mateo” refer to San Mateo Midstream, LLC, collectively with its subsidiaries, (viii) references to “Pronto” refer to Pronto Midstream, LLC, together with its subsidiary, and (ix) references to the “Pronto Acquisition” refer to the acquisition of Pronto by a subsidiary of the Company on June 30, 2022. For certain oil and natural gas terms used in this Annual Report, see the “Glossary of Oil and Natural Gas Terms” included in this Annual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7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are a Texas corporation founded in July 2003 by Joseph Wm. Foran, Chairman and Chief Executive Officer. Mr. Foran began his career as an oil and natural gas independent in 1983 when he founded Foran Oil Company with $270,000 in contributed capital from 17 friends and family members. Foran Oil Company was later contributed to Matador Petroleum Corporation upon its formation by Mr. Foran in 1988. Mr. Foran served as Chairman and Chief Executive Officer of that company from its inception until it was sold in June 2003 to Tom Brown, Inc., in an all-cash transaction for an enterprise value of approximately $388.5 million.</w:t>
      </w:r>
    </w:p>
    <w:p>
      <w:pPr>
        <w:spacing w:after="0" w:line="7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On February 2, 2012, our common stock began trading on the New York Stock Exchange (the “NYSE”) under the symbol “MTDR.” Prior to trading on the NYSE, there was no established public trading market for our common stock.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Our goal is to increase shareholder value by building oil and natural gas reserves, production and cash flows and providing midstream services at an attractive rate of return on invested capital. We plan to achieve our goal by, among other items, executing the following business strategies:</w:t>
      </w:r>
    </w:p>
    <w:p>
      <w:pPr>
        <w:spacing w:after="0" w:line="54" w:lineRule="exact"/>
        <w:rPr>
          <w:sz w:val="20"/>
          <w:szCs w:val="20"/>
          <w:color w:val="auto"/>
        </w:rPr>
      </w:pPr>
    </w:p>
    <w:p>
      <w:pPr>
        <w:ind w:left="660" w:right="6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our exploration and development activities primarily on unconventional plays, including the Wolfcamp and Bone Spring plays in the Delaware Basin;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develop additional oil and natural gas plays as necessary to maintain a balanced portfolio of oil and natural gas properties;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operational and cost efficiencies;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midstream opportunities that support and enhance our exploration and development activities and that generate value for San Mateo and Pronto;</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financial discipline;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capital to shareholders through our dividend policy;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opportunistic acquisitions, divestitures and joint ventures;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energy that society needs in a manner that is safe, protects the environment and is consistent with the oil and natural gas industry’s best practices.</w:t>
      </w:r>
    </w:p>
    <w:p>
      <w:pPr>
        <w:spacing w:after="0" w:line="54" w:lineRule="exact"/>
        <w:rPr>
          <w:sz w:val="20"/>
          <w:szCs w:val="20"/>
          <w:color w:val="auto"/>
        </w:rPr>
      </w:pPr>
    </w:p>
    <w:p>
      <w:pPr>
        <w:ind w:right="160" w:firstLine="405"/>
        <w:spacing w:after="0" w:line="253" w:lineRule="auto"/>
        <w:rPr>
          <w:sz w:val="20"/>
          <w:szCs w:val="20"/>
          <w:color w:val="auto"/>
        </w:rPr>
      </w:pPr>
      <w:r>
        <w:rPr>
          <w:rFonts w:ascii="Times New Roman" w:cs="Times New Roman" w:eastAsia="Times New Roman" w:hAnsi="Times New Roman"/>
          <w:sz w:val="18"/>
          <w:szCs w:val="18"/>
          <w:color w:val="auto"/>
        </w:rPr>
        <w:t>The successful execution of our business strategies, including the Advance Acquisition, led to increases in our oil and natural gas production and proved oil and natural gas reserves in 2023. We also improved the capital efficiency of our drilling and completion operations and achieved several key operational milestones throughout the year (as further described below in “—Exploration and Production Segment—Southeast New Mexico and West Texas—Delaware Basin”). In addition, we achieved several key capital resources objectives during the year, including generating free cash flow, paying down some of the borrowings that funded the Advance Acquisition, increasing our quarterly cash dividend and earning performance incentives from Five Point Energy, LLC (“Five Point”), our joint venture partner in San Mateo. Further, we completed several important financing transactions in 2023, including the issuance of the 2028 Notes (as defined below), increasing the elected borrowing commitment and the borrowing base under our Credit Agreement (as defined below) and increasing the lender commitments under the San Mateo Credit Facility (as defined below). San Mateo also achieved important milestones in 2023, including the addition of produced water disposal capacity and being awarded new customer contracts. These actions increased our operational flexibility and opportunities while preserving the strength of our balance sheet and our liquidity position.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Highlights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Acquisition</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April 12, 2023, we completed the Initial Advance Acquisition, pursuant to which our wholly-owned subsidiary acquired Advance from affiliates of EnCap Investments L.P., including certain oil and natural gas producing properties, undeveloped acreage and midstream assets located primarily in Lea County, New Mexico and Ward County, Texas. The Initial Advance Acquisition had an effective date of January 1, 2023 and an aggregate purchase price consisting of (i) an amount in cash equal to approximately $1.60 billion (which amount was subject to certain customary post-closing adjustments) (the “Cash Consideration”) and (ii) potential additional cash consideration of $7.5 million for each month of 2023 in which the average oil price (as defined in the securities purchase agreement) exceeded $85 per barrel (all such payments for the 12 months in 2023, the “Contingent Consideration”). The Cash Consideration was paid upon the closing of the Initial Advance Acquisition and was funded by a combination of cash on hand and borrowings under the Credit Agreement. We made no payments related to the Contingent Consideration during the first, second or third quarters of 2023. In the fourth quarter of 2023, we paid Contingent Consideration of $15.0 million, as the average oil price for the months of September and October 2023 exceeded $85 per barrel.</w:t>
      </w:r>
    </w:p>
    <w:p>
      <w:pPr>
        <w:spacing w:after="0" w:line="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December 1, 2023, we completed the Advance Royalty Acquisition, pursuant to which we acquired additional interests from affiliates of EnCap Investments L.P., including overriding royalty interests and royalty interests in certain oil and natural gas properties located primarily in Lea County, New Mexico, most of which were included in the Initial Advance Acquisition. The Advance Royalty Acquisition had an effective date of October 1, 2023 with an aggregate purchase price of approximately $81.0 million (which amount is subject to certain customary post-closing adjustments) and was funded by cash on hand.</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Initial Advance Acquisition and the Advance Royalty Acquisition since the respective closing dates have been included in our consolidated financial statements for the year ended December 31, 2023. The oil and natural gas production from the Advance Acquisition increased our revenues and net income for the period from April 12, 2023 through December 31, 2023 by $398.9 million and $166.9 million, respectively. See Note 5 to the consolidated financial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780"/>
        <w:spacing w:after="0" w:line="375" w:lineRule="auto"/>
        <w:rPr>
          <w:sz w:val="20"/>
          <w:szCs w:val="20"/>
          <w:color w:val="auto"/>
        </w:rPr>
      </w:pPr>
      <w:r>
        <w:rPr>
          <w:rFonts w:ascii="Times New Roman" w:cs="Times New Roman" w:eastAsia="Times New Roman" w:hAnsi="Times New Roman"/>
          <w:sz w:val="18"/>
          <w:szCs w:val="18"/>
          <w:color w:val="auto"/>
        </w:rPr>
        <w:t xml:space="preserve">statements in this Annual Report for more information regarding the Advance Acquisition. Such information is incorporated herein by reference. </w:t>
      </w:r>
      <w:r>
        <w:rPr>
          <w:rFonts w:ascii="Times New Roman" w:cs="Times New Roman" w:eastAsia="Times New Roman" w:hAnsi="Times New Roman"/>
          <w:sz w:val="18"/>
          <w:szCs w:val="18"/>
          <w:i w:val="1"/>
          <w:iCs w:val="1"/>
          <w:color w:val="auto"/>
        </w:rPr>
        <w:t>Increased Oil, Natural Gas and Oil Equivalent Production</w:t>
      </w:r>
    </w:p>
    <w:p>
      <w:pPr>
        <w:spacing w:after="0" w:line="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we achieved record oil, natural gas and average daily oil equivalent production. In 2023, we produced 27.5 million Bbl of oil, an increase of 26%, as compared to 21.9 million Bbl of oil produced in 2022. We also produced 123.4 Bcf of natural gas, an increase of 24% from 99.3 Bcf of natural gas produced in 2022. Our average daily oil equivalent production for the year ended December 31, 2023 was 131,813 BOE per day, including 75,457 Bbl of oil per day and 338.1 MMcf of natural gas per day, an increase of 25%, as compared to 105,465 BOE per day, including 60,119 Bbl of oil per day and 272.1 MMcf of natural gas per day, for the year ended December 31, 2022. The increase in oil and natural gas production was primarily attributable to the Advance Acquisition and our ongoing delineation and development drilling activities in the Delaware Basin throughout 2023, which offset declining production in the Eagle Ford shale. Oil production comprised 57% of our total production (using a conversion ratio of one Bbl of oil per six Mcf of natural gas) for each of the years ended December 31, 2023 and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Oil, Natural Gas and Oil Equivalent Reserves</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At December 31, 2023, our estimated total proved oil and natural gas reserves were 460.1 million BOE, including 272.3 million Bbl of oil and 1.13 Tcf of natural gas, an increase of 29% from 356.7 million BOE, including 196.3 million Bbl of oil and 962.6 Bcf of natural gas, at December 31, 2022. The Standardized Measure of our total proved oil and natural gas reserves decreased 12% from $6.98 billion at December 31, 2022 to $6.11 billion at December 31, 2023. The PV-10 of our total proved oil and natural gas reserves decreased 16% from $9.13 billion at December 31, 2022 to $7.70 billion at December 31, 2023. The decreases in our Standardized Measure and PV-10 were primarily a result of the lower unweighted arithmetic average oil and natural gas prices used to estimate proved reserves at December 31, 2023, as compared to December 31, 2022, partially offset by a 29% increase in our total proved oil and natural gas reserves at December 31, 2023, as compared to December 31, 2022. PV-10 is a non-GAAP financial measure. For a reconciliation of PV-10 to Standardized Measure, see “—Estimated Proved Reserves.”</w:t>
      </w:r>
    </w:p>
    <w:p>
      <w:pPr>
        <w:spacing w:after="0" w:line="8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At December 31, 2023, estimated proved developed reserves included 161.6 million Bbl of oil and 782.7 Bcf of natural gas, and estimated proved undeveloped reserves included 110.6 million Bbl of oil and 344.0 Bcf of natural gas. Proved developed reserves and proved oil reserves comprised 63% and 59%, respectively, of our total proved oil and natural gas reserves at December 31, 2023. Proved developed reserves and proved oil reserves comprised 62% and 55%, respectively, of our total proved oil and natural gas reserves at December 31,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Highlights</w:t>
      </w:r>
    </w:p>
    <w:p>
      <w:pPr>
        <w:spacing w:after="0" w:line="11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 completing and producing Delaware Basin wells. We expect the Delaware Basin will continue to be our primary area of focus in 2024.</w:t>
      </w:r>
    </w:p>
    <w:p>
      <w:pPr>
        <w:spacing w:after="0" w:line="79"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7"/>
          <w:szCs w:val="17"/>
          <w:color w:val="auto"/>
        </w:rPr>
        <w:t>We completed and began producing oil and natural gas from 222 gross (99.6 net) horizontal wells in the Delaware Basin in 2023, including 119 gross (94.0 net) operated and 103 gross (5.6 net) non-operated wells. At December 31, 2023, our total acreage position in the Delaware Basin was approximately 265,600 gross (152,200 net) acres, primarily in Lea and Eddy Counties, New Mexico and Loving and Ward Counties, Texas. We have focused our Delaware Basin operations on the following asset areas: the Stateline, Rustler Breaks and Arrowhead asset areas in Eddy County, New Mexico, the Antelope Ridge, Ranger and Twin Lakes asset areas in Lea County, New Mexico and the West Texas asset area in Loving and Ward Counties, Texas. Our Delaware Basin properties are the most significant component of our asset portfolio. Our average daily oil equivalent production from the Delaware Basin increased approximately 27% to 126,720 BOE per day (96% of total oil equivalent production), including 74,697 Bbl of oil per day (99% of total oil production) and 312.1 MMcf of natural gas per day (92% of total natural gas production), in 2023, as compared to 100,135 BOE per day (95% of total oil equivalent production), including 59,139 Bbl of oil per day (98% of total oil production) and 246.0 MMcf of natural gas per day (90% of total natural gas production), in 2022. We expect our Delaware Basin production to increase in 2024 as we continue the delineation and development of these asset areas.</w:t>
      </w:r>
    </w:p>
    <w:p>
      <w:pPr>
        <w:spacing w:after="0" w:line="69"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During 2023, we achieved all five significant and important operational milestones in the Delaware Basin we set at the beginning of the year. These five operational milestones (as further described below in “—Exploration and Production Segment—Southeast New Mexico and West Texas—Delaware Basin”) were each achieved when we turned to sales: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Rodney Robinson wells in the first half of 2023;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Stateline wells in the first half of 2023;</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Ranger wells on properties acquired in the Advance Acquisition in the second half of 2023, which was the largest single batch development project in our history;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Stebbins wells in the second half of 2023;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Wolf wells in the second half of 2023, including our first two “U-Turn” two-mile lateral wells.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achieving these five key operational milestones, other operational highlights in the Delaware Basin (as further described below in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Exploration and Production Segment—Southeast New Mexico and West Texas—Delaware Basin”) in 2023 included:</w:t>
      </w:r>
    </w:p>
    <w:p>
      <w:pPr>
        <w:spacing w:after="0" w:line="99" w:lineRule="exact"/>
        <w:rPr>
          <w:sz w:val="20"/>
          <w:szCs w:val="20"/>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drilling of longer laterals, with average completed lateral length for operated wells turned to sales in 2023 of approximately 9,800 feet; and</w:t>
      </w:r>
    </w:p>
    <w:p>
      <w:pPr>
        <w:spacing w:after="0" w:line="5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drilling, completing and equipping wells (“D/C/E capital expenditures”) for 2023 of $1.16 billion, which was below our estimated range for 2023 D/C/E capital expenditures of $1.18 to $1.32 billion as provided on February 21, 2023, and was in the middle of the revised estimated range of $1.10 to $1.22 billion, as provided on July 25,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and Financing Highlights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2023, we achieved several significant and important capital resources objectives, which included:</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of free cash flow in all four quarters of 2023;</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dividend policy in the fourth quarter of 2023, pursuant to which we increased the quarterly cash dividend from $0.15 per share of common stock to $0.20 per share of common stock;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$38.2 million in performance incentives directly from Five Point.</w:t>
      </w:r>
    </w:p>
    <w:p>
      <w:pPr>
        <w:spacing w:after="0" w:line="11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 addition, we completed several important financing transactions in 2023 that increased our operational flexibility, while preserving the strength of our balance sheet and improving our liquidity position. These transactions included:</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$500.0 million in aggregate principal amount of 6.875% senior notes due 2028 (the “2028 Notes”);</w:t>
      </w:r>
    </w:p>
    <w:p>
      <w:pPr>
        <w:spacing w:after="0" w:line="11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spring and fall redetermination under our Fourth Amended and Restated Credit Agreement (the “Credit Agreement”) to collectively (i) increase the borrowing base to $2.50 billion, as compared to $2.25 billion at December 31, 2022, (ii) increase the elected borrowing commitment to $1.325 billion, as compared to $775.0 million at December 31, 2022, (iii) increase the maximum facility amount to $2.00 billion, as compared to $1.50 billion at December 31, 2022 and (iv) add two new banks to our lending group; and</w:t>
      </w:r>
    </w:p>
    <w:p>
      <w:pPr>
        <w:spacing w:after="0" w:line="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San Mateo’s revolving credit facility (the “San Mateo Credit Facility”) in October 2023 to (i) increase the lender commitments from $485.0 million to $535.0 million and (ii) add a new bank to San Mateo’s lending group.</w:t>
      </w:r>
    </w:p>
    <w:p>
      <w:pPr>
        <w:spacing w:after="0" w:line="54"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Operations—Liquidity and Capital Resources” for additional information regarding these financing transactions.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Midstream Highlights</w:t>
      </w:r>
    </w:p>
    <w:p>
      <w:pPr>
        <w:spacing w:after="0" w:line="119"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Matador conducts its midstream operations primarily through San Mateo, which is owned 51% by us and 49% by our joint venture partner, Five Point, and through Pronto, which is our wholly-owned subsidiary.</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San Mateo achieved strong operating results in 2023, highlighted by (i) free cash flow generation, (ii) increased midstream services revenues and (iii) increased natural gas gathering and processing volumes, produced water handling volumes and oil gathering and transportation volumes. Volumes for the years ended December 31, 2023 and 2022 do not include the full quantity of volumes that would have otherwise been delivered by certain San Mateo customers subject to minimum volume commitments (although partial deliveries were made in both years), but for which San Mateo recognized revenues during the years ended December 31, 2023 and 2022.</w:t>
      </w:r>
    </w:p>
    <w:p>
      <w:pPr>
        <w:spacing w:after="0" w:line="10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During 2023, San Mateo closed new midstream transactions with oil and natural gas producers and other counterparties in Eddy County, New Mexico, which are expected to generate additional natural gas gathering and processing and water handling volumes in future periods. A majority of these new opportunities reflect additional business awarded to San Mateo by existing customers, which we believe is indicative of the quality of service San Mateo provides to all of its customers in the Delaware Basin.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2023, San Mateo’s midstream system included:</w:t>
      </w:r>
    </w:p>
    <w:p>
      <w:pPr>
        <w:spacing w:after="0" w:line="158" w:lineRule="exact"/>
        <w:rPr>
          <w:sz w:val="20"/>
          <w:szCs w:val="20"/>
          <w:color w:val="auto"/>
        </w:rPr>
      </w:pPr>
    </w:p>
    <w:p>
      <w:pPr>
        <w:ind w:left="420" w:right="40" w:hanging="331"/>
        <w:spacing w:after="0" w:line="266"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Natural Gas Assets</w:t>
      </w:r>
      <w:r>
        <w:rPr>
          <w:rFonts w:ascii="Times New Roman" w:cs="Times New Roman" w:eastAsia="Times New Roman" w:hAnsi="Times New Roman"/>
          <w:sz w:val="18"/>
          <w:szCs w:val="18"/>
          <w:color w:val="auto"/>
        </w:rPr>
        <w:t>: 460 MMcf per day of designed natural gas cryogenic processing capacity and approximately 160 miles of natural gas gathering pipelines in Eddy County, New Mexico and Loving County, Texas, including 43 miles of large diameter natural gas gathering lines spanning from the Stateline asset area to the southern portion of the Arrowhead asset area (the “Greater Stebbins Area”);</w:t>
      </w:r>
    </w:p>
    <w:p>
      <w:pPr>
        <w:spacing w:after="0" w:line="94" w:lineRule="exact"/>
        <w:rPr>
          <w:rFonts w:ascii="Times New Roman" w:cs="Times New Roman" w:eastAsia="Times New Roman" w:hAnsi="Times New Roman"/>
          <w:sz w:val="18"/>
          <w:szCs w:val="18"/>
          <w:color w:val="auto"/>
        </w:rPr>
      </w:pPr>
    </w:p>
    <w:p>
      <w:pPr>
        <w:ind w:left="420" w:hanging="331"/>
        <w:spacing w:after="0" w:line="266"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Oil Assets</w:t>
      </w:r>
      <w:r>
        <w:rPr>
          <w:rFonts w:ascii="Times New Roman" w:cs="Times New Roman" w:eastAsia="Times New Roman" w:hAnsi="Times New Roman"/>
          <w:sz w:val="18"/>
          <w:szCs w:val="18"/>
          <w:color w:val="auto"/>
        </w:rPr>
        <w:t>: three oil central delivery points (“CDP”) with over 100,000 Bbl of designed oil throughput capacity and approximately 100 miles of oil gathering and transportation pipelines in Eddy County, New Mexico and Loving County, Texas, as well as a 400,000-acre joint development area with Plains Marketing, L.P. (“Plains”) to gather our and other producers’ oil production in Eddy County, New Mexico; and</w:t>
      </w:r>
    </w:p>
    <w:p>
      <w:pPr>
        <w:spacing w:after="0" w:line="67" w:lineRule="exact"/>
        <w:rPr>
          <w:rFonts w:ascii="Times New Roman" w:cs="Times New Roman" w:eastAsia="Times New Roman" w:hAnsi="Times New Roman"/>
          <w:sz w:val="18"/>
          <w:szCs w:val="18"/>
          <w:color w:val="auto"/>
        </w:rPr>
      </w:pPr>
    </w:p>
    <w:p>
      <w:pPr>
        <w:ind w:left="420" w:right="140" w:hanging="331"/>
        <w:spacing w:after="0" w:line="282"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Produced Water Assets</w:t>
      </w:r>
      <w:r>
        <w:rPr>
          <w:rFonts w:ascii="Times New Roman" w:cs="Times New Roman" w:eastAsia="Times New Roman" w:hAnsi="Times New Roman"/>
          <w:sz w:val="18"/>
          <w:szCs w:val="18"/>
          <w:color w:val="auto"/>
        </w:rPr>
        <w:t>: 16 commercial salt water disposal wells and associated facilities with designed produced water disposal capacity of 475,000 Bbl per day and approximately 175 miles of produced water gathering pipelines in Eddy County, New Mexico and Loving County, Texas.</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During 2023, Pronto closed new natural gas gathering and processing transactions with counterparties in Eddy and Lea Counties, New Mexico, which are expected to generate additional natural gas gathering and processing volumes in future periods. At December 31, 2023, Pronto’s midstream system included a cryogenic natural gas processing plant with a designed inlet processing capacity of 60 MMcf per day (the “Marlan Processing Plant”), three compressor stations and approximately 70 miles of natural gas gathering pipelines in Eddy and Lea Counties, New Mexico, spanning from the northeastern portion of the Arrowhead asset area into the Ranger asset area. Pronto has also contracted to construct an additional natural gas processing plant with a designed inlet processing capacity of 200 MMcf per day, including a nitrogen rejection unit and additional related facilities to be located near the Marlan Processing Plant.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Social and Governance (“ESG”) Initiatives</w:t>
      </w:r>
    </w:p>
    <w:p>
      <w:pPr>
        <w:spacing w:after="0" w:line="119"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We are committed to creating long-term value in a responsible manner. Our aim is to reliably and profitably provide the energy that society needs in a manner that is safe, protects the environment and is consistent with the industry’s best practices and highest applicable regulatory and legal standards. More recently, we have begun formally reporting on our stewardship efforts in our annual Sustainability Report using quantitative metrics aligned with standards developed by an industry leader, the Sustainability Accounting Standards Board (SASB).</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Highlights from our ESG initiatives, which generally relate to our operations in 2022 except as otherwise noted, include:</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direct greenhouse gas emissions intensity by 44% in 2022, as compared to 2019;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methane emissions intensity by 61% in 2022, as compared to 2019;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flaring intensity by 84% in 2022, as compared to 2019;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of non-fresh water to 99% of total water consumption in 2022;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number of wells utilizing recycled produced water to 72% of total wells completed in 2022, as compared to 16% in 2019;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transported 98% of operated produced water and 94% of operated produced oil by pipeline in 2023;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approximately 22,000 hours of employee continuing education, equating to approximately 59 hours per employee in 2023.</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These sustainability metrics have been calculated using the best information available to us. The data utilized in calculating such metrics is subject to certain reporting rules, regulatory reviews, definitions, calculation methodologies, estimates, adjustments and other factors. We expect to complete the review of fiscal year 2023 data from our ESG initiatives in the second half of 2024 in connection with the preparation of our 2023 Sustainability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and Production Segment</w:t>
      </w:r>
    </w:p>
    <w:p>
      <w:pPr>
        <w:spacing w:after="0" w:line="121"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During 2023, we devoted most of our efforts and most of our capital expenditures to our drilling and completion operations and midstream operations in the Wolfcamp and Bone Spring plays in the Delaware Basin. Since our inception, our exploration and development efforts have concentrated primarily on known hydrocarbon-producing basins with well-established production histories offering the potential for multiple-zone completions.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certain summary data for each of our operating areas as of and for the year ended December 31,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Producing</w:t>
            </w:r>
          </w:p>
        </w:tc>
        <w:tc>
          <w:tcPr>
            <w:tcW w:w="18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Identified</w:t>
            </w:r>
          </w:p>
        </w:tc>
        <w:tc>
          <w:tcPr>
            <w:tcW w:w="20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Net Proved</w:t>
            </w:r>
          </w:p>
        </w:tc>
        <w:tc>
          <w:tcPr>
            <w:tcW w:w="1020" w:type="dxa"/>
            <w:vAlign w:val="bottom"/>
          </w:tcPr>
          <w:p>
            <w:pPr>
              <w:spacing w:after="0"/>
              <w:rPr>
                <w:sz w:val="16"/>
                <w:szCs w:val="16"/>
                <w:color w:val="auto"/>
              </w:rPr>
            </w:pPr>
          </w:p>
        </w:tc>
      </w:tr>
      <w:tr>
        <w:trPr>
          <w:trHeight w:val="239"/>
        </w:trPr>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Wells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Drilling Locations</w:t>
            </w:r>
            <w:r>
              <w:rPr>
                <w:rFonts w:ascii="Times New Roman" w:cs="Times New Roman" w:eastAsia="Times New Roman" w:hAnsi="Times New Roman"/>
                <w:sz w:val="18"/>
                <w:szCs w:val="18"/>
                <w:b w:val="1"/>
                <w:bCs w:val="1"/>
                <w:color w:val="auto"/>
                <w:w w:val="99"/>
                <w:vertAlign w:val="superscript"/>
              </w:rPr>
              <w:t>(1)</w:t>
            </w:r>
          </w:p>
        </w:tc>
        <w:tc>
          <w:tcPr>
            <w:tcW w:w="20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Reserves</w:t>
            </w:r>
            <w:r>
              <w:rPr>
                <w:rFonts w:ascii="Times New Roman" w:cs="Times New Roman" w:eastAsia="Times New Roman" w:hAnsi="Times New Roman"/>
                <w:sz w:val="18"/>
                <w:szCs w:val="18"/>
                <w:b w:val="1"/>
                <w:bCs w:val="1"/>
                <w:color w:val="auto"/>
                <w:w w:val="98"/>
                <w:vertAlign w:val="superscript"/>
              </w:rPr>
              <w:t>(2)</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Avg. Daily</w:t>
            </w:r>
          </w:p>
        </w:tc>
      </w:tr>
      <w:tr>
        <w:trPr>
          <w:trHeight w:val="184"/>
        </w:trPr>
        <w:tc>
          <w:tcPr>
            <w:tcW w:w="326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Production</w:t>
            </w:r>
          </w:p>
        </w:tc>
      </w:tr>
      <w:tr>
        <w:trPr>
          <w:trHeight w:val="228"/>
        </w:trPr>
        <w:tc>
          <w:tcPr>
            <w:tcW w:w="326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Acreage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Acreage</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MBOE</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19"/>
                <w:szCs w:val="1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(BOE/d)</w:t>
            </w:r>
            <w:r>
              <w:rPr>
                <w:rFonts w:ascii="Times New Roman" w:cs="Times New Roman" w:eastAsia="Times New Roman" w:hAnsi="Times New Roman"/>
                <w:sz w:val="18"/>
                <w:szCs w:val="18"/>
                <w:b w:val="1"/>
                <w:bCs w:val="1"/>
                <w:color w:val="auto"/>
                <w:w w:val="95"/>
                <w:vertAlign w:val="superscript"/>
              </w:rPr>
              <w:t>(3)</w:t>
            </w:r>
          </w:p>
        </w:tc>
      </w:tr>
      <w:tr>
        <w:trPr>
          <w:trHeight w:val="183"/>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 New Mexico/West Texas:</w:t>
            </w: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203"/>
        </w:trPr>
        <w:tc>
          <w:tcPr>
            <w:tcW w:w="3260" w:type="dxa"/>
            <w:vAlign w:val="bottom"/>
          </w:tcPr>
          <w:p>
            <w:pPr>
              <w:ind w:left="480"/>
              <w:spacing w:after="0" w:line="202" w:lineRule="exact"/>
              <w:rPr>
                <w:sz w:val="20"/>
                <w:szCs w:val="20"/>
                <w:color w:val="auto"/>
              </w:rPr>
            </w:pPr>
            <w:r>
              <w:rPr>
                <w:rFonts w:ascii="Times New Roman" w:cs="Times New Roman" w:eastAsia="Times New Roman" w:hAnsi="Times New Roman"/>
                <w:sz w:val="14"/>
                <w:szCs w:val="14"/>
                <w:color w:val="auto"/>
              </w:rPr>
              <w:t>Delaware Basin</w:t>
            </w:r>
            <w:r>
              <w:rPr>
                <w:rFonts w:ascii="Times New Roman" w:cs="Times New Roman" w:eastAsia="Times New Roman" w:hAnsi="Times New Roman"/>
                <w:sz w:val="18"/>
                <w:szCs w:val="18"/>
                <w:color w:val="auto"/>
                <w:vertAlign w:val="superscript"/>
              </w:rPr>
              <w:t>(4)</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265,600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152,200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756.2</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126,720</w:t>
            </w:r>
          </w:p>
        </w:tc>
      </w:tr>
      <w:tr>
        <w:trPr>
          <w:trHeight w:val="20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3260" w:type="dxa"/>
            <w:vAlign w:val="bottom"/>
          </w:tcPr>
          <w:p>
            <w:pPr>
              <w:ind w:left="480"/>
              <w:spacing w:after="0" w:line="202" w:lineRule="exact"/>
              <w:rPr>
                <w:sz w:val="20"/>
                <w:szCs w:val="20"/>
                <w:color w:val="auto"/>
              </w:rPr>
            </w:pPr>
            <w:r>
              <w:rPr>
                <w:rFonts w:ascii="Times New Roman" w:cs="Times New Roman" w:eastAsia="Times New Roman" w:hAnsi="Times New Roman"/>
                <w:sz w:val="14"/>
                <w:szCs w:val="14"/>
                <w:color w:val="auto"/>
              </w:rPr>
              <w:t>Eagle Ford</w:t>
            </w:r>
            <w:r>
              <w:rPr>
                <w:rFonts w:ascii="Times New Roman" w:cs="Times New Roman" w:eastAsia="Times New Roman" w:hAnsi="Times New Roman"/>
                <w:sz w:val="18"/>
                <w:szCs w:val="18"/>
                <w:color w:val="auto"/>
                <w:vertAlign w:val="superscript"/>
              </w:rPr>
              <w:t>(5)</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r>
      <w:tr>
        <w:trPr>
          <w:trHeight w:val="20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32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Haynesville</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16,200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w:t>
            </w:r>
          </w:p>
        </w:tc>
      </w:tr>
      <w:tr>
        <w:trPr>
          <w:trHeight w:val="210"/>
        </w:trPr>
        <w:tc>
          <w:tcPr>
            <w:tcW w:w="3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Cotton Valley</w:t>
            </w:r>
            <w:r>
              <w:rPr>
                <w:rFonts w:ascii="Times New Roman" w:cs="Times New Roman" w:eastAsia="Times New Roman" w:hAnsi="Times New Roman"/>
                <w:sz w:val="18"/>
                <w:szCs w:val="18"/>
                <w:color w:val="auto"/>
                <w:vertAlign w:val="superscript"/>
              </w:rPr>
              <w:t>(6)</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15,700</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96"/>
        </w:trPr>
        <w:tc>
          <w:tcPr>
            <w:tcW w:w="3260" w:type="dxa"/>
            <w:vAlign w:val="bottom"/>
          </w:tcPr>
          <w:p>
            <w:pPr>
              <w:ind w:left="800"/>
              <w:spacing w:after="0" w:line="196" w:lineRule="exact"/>
              <w:rPr>
                <w:sz w:val="20"/>
                <w:szCs w:val="20"/>
                <w:color w:val="auto"/>
              </w:rPr>
            </w:pPr>
            <w:r>
              <w:rPr>
                <w:rFonts w:ascii="Times New Roman" w:cs="Times New Roman" w:eastAsia="Times New Roman" w:hAnsi="Times New Roman"/>
                <w:sz w:val="14"/>
                <w:szCs w:val="14"/>
                <w:color w:val="auto"/>
              </w:rPr>
              <w:t>Area Total</w:t>
            </w:r>
            <w:r>
              <w:rPr>
                <w:rFonts w:ascii="Times New Roman" w:cs="Times New Roman" w:eastAsia="Times New Roman" w:hAnsi="Times New Roman"/>
                <w:sz w:val="18"/>
                <w:szCs w:val="18"/>
                <w:color w:val="auto"/>
                <w:vertAlign w:val="superscript"/>
              </w:rPr>
              <w:t>(7)</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w:t>
            </w:r>
          </w:p>
        </w:tc>
      </w:tr>
      <w:tr>
        <w:trPr>
          <w:trHeight w:val="228"/>
        </w:trPr>
        <w:tc>
          <w:tcPr>
            <w:tcW w:w="32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298,500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181,600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460,070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200" w:hanging="331"/>
        <w:spacing w:after="0" w:line="261" w:lineRule="auto"/>
        <w:tabs>
          <w:tab w:leader="none" w:pos="4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and engineered drilling locations. These locations have been identified for potential future drilling and were not producing at December 31, 2023. The total net engineered drilling locations are calculated by multiplying the gross engineered drilling locations in an operating area by our working interest participation in such locations. Individual horizontal drilling locations generally represent a variety of lateral lengths, from one mile to greater than two miles, based upon our current assumptions for a well that could be drilled at that location given our current acreage position. At December 31, 2023, approximately two-thirds of these identified drilling locations in the Delaware Basin were expected to be horizontal laterals with lateral lengths of approximately two miles or greater, and approximately 83% are expected to have lateral lengths of approximately 1.5 miles or greater. At December 31, 2023, these engineered drilling locations included 470 gross (206 net) operated and non-operated locations to which we have assigned proved undeveloped reserves, primarily in the Wolfcamp or Bone Spring plays, but also in the Brushy Canyon, Yeso and Avalon formations, in the Delaware Basin. At December 31, 2023, we had assigned no proved undeveloped reserves to our leasehold in the Eagle Ford shale or in Northwest Louisiana.</w:t>
      </w:r>
    </w:p>
    <w:p>
      <w:pPr>
        <w:spacing w:after="0" w:line="84" w:lineRule="exact"/>
        <w:rPr>
          <w:rFonts w:ascii="Times New Roman" w:cs="Times New Roman" w:eastAsia="Times New Roman" w:hAnsi="Times New Roman"/>
          <w:sz w:val="14"/>
          <w:szCs w:val="14"/>
          <w:color w:val="auto"/>
        </w:rPr>
      </w:pPr>
    </w:p>
    <w:p>
      <w:pPr>
        <w:jc w:val="both"/>
        <w:ind w:left="460" w:right="180" w:hanging="331"/>
        <w:spacing w:after="0" w:line="281" w:lineRule="auto"/>
        <w:tabs>
          <w:tab w:leader="none" w:pos="4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spacing w:after="0" w:line="55" w:lineRule="exact"/>
        <w:rPr>
          <w:rFonts w:ascii="Times New Roman" w:cs="Times New Roman" w:eastAsia="Times New Roman" w:hAnsi="Times New Roman"/>
          <w:sz w:val="14"/>
          <w:szCs w:val="14"/>
          <w:color w:val="auto"/>
        </w:rPr>
      </w:pPr>
    </w:p>
    <w:p>
      <w:pPr>
        <w:ind w:left="460" w:right="140" w:hanging="331"/>
        <w:spacing w:after="0" w:line="302" w:lineRule="auto"/>
        <w:tabs>
          <w:tab w:leader="none" w:pos="4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volumes and proved reserves reported in two streams: oil and natural gas, including both dry and liquids-rich natural gas. Estimated using a conversion ratio of one Bbl of oil per six Mcf of natural gas.</w:t>
      </w:r>
    </w:p>
    <w:p>
      <w:pPr>
        <w:spacing w:after="0" w:line="53"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potential future engineered drilling locations in the Wolfcamp, Bone Spring, Brushy Canyon and Avalon plays on our acreage in the Delaware Basin at December 31, 2023.</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well producing oil from the Austin Chalk formation in La Salle County, Texas.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w:t>
      </w:r>
    </w:p>
    <w:p>
      <w:pPr>
        <w:spacing w:after="0" w:line="109" w:lineRule="exact"/>
        <w:rPr>
          <w:rFonts w:ascii="Times New Roman" w:cs="Times New Roman" w:eastAsia="Times New Roman" w:hAnsi="Times New Roman"/>
          <w:sz w:val="14"/>
          <w:szCs w:val="14"/>
          <w:color w:val="auto"/>
        </w:rPr>
      </w:pPr>
    </w:p>
    <w:p>
      <w:pPr>
        <w:ind w:left="460" w:right="160" w:hanging="331"/>
        <w:spacing w:after="0" w:line="302" w:lineRule="auto"/>
        <w:tabs>
          <w:tab w:leader="none" w:pos="4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the same leases cover the net acres shown for both the Haynesville formation and the shallower Cotton Valley formation. Therefore, the sum of the net acreage for both formations is not equal to the total net acreage for Northwest Louisiana. This total includes acreage that we are producing from or that we believe to be prospective for these formations.</w:t>
      </w:r>
    </w:p>
    <w:p>
      <w:pPr>
        <w:spacing w:after="0" w:line="58"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We are active both as an operator and as a non-operating, co-working interest owner with various industry participants. At December 31, 2023, we operated a significant majority of our acreage in the Delaware Basin in Southeast New Mexico and West Texas. In those wells where we are not the operator, our working interests are often relatively small. At December 31, 2023, we also operated approximately 90% of our Eagle Ford acreage and approximately 51% of our Haynesville acreage.</w:t>
      </w:r>
    </w:p>
    <w:p>
      <w:pPr>
        <w:spacing w:after="0" w:line="72"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While we do not always have direct access to our operating partners’ drilling plans with respect to future well locations on non-operated properties, we do attempt to maintain ongoing communications with the technical staff of these operators in an effort to understand their drilling plans for purposes of our capital expenditure budget and our booking of related proved undeveloped well locations and reserves. We review these locations with Netherland, Sewell &amp; Associates, Inc., independent reservoir engineers, on a periodic basis to ensure their concurrence with our estimates of these drilling plans and our approach to booking these reserves.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Southeast New Mexico and West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Delaware Basin</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greater Permian Basin in Southeast New Mexico and West Texas is a mature exploration and production region with extensive developments in a wide variety of petroleum systems resulting in stacked target horizons in many areas. Historically, the majority of development in this basin had focused on relatively conventional reservoir targets, but the combination of advanced formation evaluation, 3-D seismic technology, horizontal drilling and hydraulic fracturing technology has enhanced the development potential of this basin, particularly in the organic rich shales, or source rocks, of the Wolfcamp formation and in the low permeability sand and carbonate reservoirs of the Bone Spring, Brushy Canyon and Avalon formations.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In the western part of the Permian Basin, also known as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and Bone Spring (First, Second and Third Sand and Carbonate) and several intervals within the Wolfcamp shale, often identified as Wolfcamp A through D.</w:t>
      </w:r>
    </w:p>
    <w:p>
      <w:pPr>
        <w:spacing w:after="0" w:line="72" w:lineRule="exact"/>
        <w:rPr>
          <w:sz w:val="20"/>
          <w:szCs w:val="20"/>
          <w:color w:val="auto"/>
        </w:rPr>
      </w:pPr>
    </w:p>
    <w:p>
      <w:pPr>
        <w:ind w:right="220" w:firstLine="445"/>
        <w:spacing w:after="0" w:line="272" w:lineRule="auto"/>
        <w:rPr>
          <w:sz w:val="20"/>
          <w:szCs w:val="20"/>
          <w:color w:val="auto"/>
        </w:rPr>
      </w:pPr>
      <w:r>
        <w:rPr>
          <w:rFonts w:ascii="Times New Roman" w:cs="Times New Roman" w:eastAsia="Times New Roman" w:hAnsi="Times New Roman"/>
          <w:sz w:val="17"/>
          <w:szCs w:val="17"/>
          <w:color w:val="auto"/>
        </w:rPr>
        <w:t>At December 31, 2023, our total acreage position in Southeast New Mexico and West Texas was approximately 265,600 gross (152,200 net) acres, primarily in Lea and Eddy Counties, New Mexico and Loving and Ward Counties, Texas. These acreage totals included approximately 62,500 gross (36,200 net) acres in our Ranger asset area in Lea County, 58,000 gross (23,300 net) acres in our Arrowhead asset area in Eddy County, 45,700 gross</w:t>
      </w:r>
    </w:p>
    <w:p>
      <w:pPr>
        <w:spacing w:after="0" w:line="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(26,100 net) acres in our Rustler Breaks asset area in Eddy County, 31,900 gross (21,100 net) acres in our Antelope Ridge asset area in Lea County, 2,900 gross (2,900 net) acres in our Stateline asset area in Eddy County, 42,900 gross (27,100 net) acres in our Twin Lakes asset area in Lea County and 21,200 gross (15,000 net) acres in our Wolf, Jackson Trust and Quito asset areas in Loving and Ward County (collectively “West Texas”) at December 31, 2023. We consider the vast majority of our Delaware Basin acreage position to be prospective for oil and liquids-rich targets in the Bone Spring and Wolfcamp formations. Other potential targets on certain portions of our acreage include the Brushy Canyon and Avalon formations, as well as the Abo, Strawn, Devonian, Penn Shale, Atoka, Yeso and Morrow formations. At December 31, 2023, our acreage position in the Delaware Basin was approximately 78% held by existing production. Excluding the undeveloped acreage acquired in the Bureau of Land Management New Mexico Oil and Gas Lease Sale on September 5 and 6, 2018 (the “BLM Acquisition”), which has 10-year leases with favorable lease-holding provisions, and the Twin Lakes asset area, our acreage position in the Delaware Basin was approximately 96% held by existing production at December 31, 2023.</w:t>
      </w:r>
    </w:p>
    <w:p>
      <w:pPr>
        <w:spacing w:after="0" w:line="8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we continued the delineation and development of our Delaware Basin acreage. We completed and began producing oil and natural gas from 222 gross (99.6 net) horizontal wells in the Delaware Basin, including 119 gross (94.0 net) operated horizontal wells and 103 gross (5.6 net) non-operated horizontal wells, throughout our various asset areas. At December 31, 2023, we had tested a number of different producing horizons at various locations across our acreage position, including the Brushy Canyon, two benches of the Avalon, two benches of the First Bone Spring, the Second Bone Spring Carbonate, three benches of the Second Bone Spring Sand, three benches of the Third Bone Spring Carbonate, two benches of the Third Bone Spring Sand, four benches of the Wolfcamp A, including the X, Y and Z sands and the more organic, lower section of the Wolfcamp A, three benches of the Wolfcamp B, the Wolfcamp D, the Strawn and the Morrow.</w:t>
      </w:r>
    </w:p>
    <w:p>
      <w:pPr>
        <w:spacing w:after="0" w:line="8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a result of our ongoing drilling and completion operations in these asset areas and the Advance Acquisition, our Delaware Basin production increased significantly in 2023. Our average daily oil equivalent production from the Delaware Basin increased approximately 27% to 126,720 BOE per day (96% of total oil equivalent production), including 74,697 Bbl of oil per day (99% of total oil production) and 312.1 MMcf of natural gas per day (92% of total natural gas production), in 2023, as compared to 100,135 BOE per day (95% of total oil equivalent production), including 59,139 Bbl of oil per day (98% of total oil production) and 246.0 MMcf of natural gas per day (90% of total natural gas production), in 2022.</w:t>
      </w:r>
    </w:p>
    <w:p>
      <w:pPr>
        <w:spacing w:after="0" w:line="7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At December 31, 2023, approximately 98% of our estimated total proved oil and natural gas reserves, or 452.6 million BOE, was attributable to the Delaware Basin, including approximately 270.1 million Bbl of oil and 1.09 Tcf of natural gas, a 31% increase, as compared to 346.8 million BOE for the year ended December 31, 2022. Our Delaware Basin proved reserves at December 31, 2023 comprised approximately 99% of our proved oil reserves and 97% of our proved natural gas reserves, as compared to approximately 99% of our proved oil reserves and 96% of our proved natural gas reserves at December 31, 2022.</w:t>
      </w:r>
    </w:p>
    <w:p>
      <w:pPr>
        <w:spacing w:after="0" w:line="75" w:lineRule="exact"/>
        <w:rPr>
          <w:sz w:val="20"/>
          <w:szCs w:val="20"/>
          <w:color w:val="auto"/>
        </w:rPr>
      </w:pPr>
    </w:p>
    <w:p>
      <w:pPr>
        <w:ind w:right="100" w:firstLine="445"/>
        <w:spacing w:after="0" w:line="252" w:lineRule="auto"/>
        <w:rPr>
          <w:sz w:val="20"/>
          <w:szCs w:val="20"/>
          <w:color w:val="auto"/>
        </w:rPr>
      </w:pPr>
      <w:r>
        <w:rPr>
          <w:rFonts w:ascii="Times New Roman" w:cs="Times New Roman" w:eastAsia="Times New Roman" w:hAnsi="Times New Roman"/>
          <w:sz w:val="18"/>
          <w:szCs w:val="18"/>
          <w:color w:val="auto"/>
        </w:rPr>
        <w:t>At December 31, 2023, we had identified 4,640 gross (1,627 net) engineered locations for potential future drilling on our Delaware Basin acreage, primarily in the Wolfcamp and Bone Spring plays, but also including the shallower Brushy Canyon and Avalon formations. These locations include 2,287 gross (1,437 net) locations that we anticipate operating as we hold a working interest of at least 25% in each of these locations. Individual horizontal drilling locations represent a variety of lateral lengths, from one mile to greater than two miles based upon our current assumptions for a well that could be drilled at specified locations given our current acreage position. At December 31, 2023, approximately two-thirds of these identified drilling locations are expected to have horizontal lateral lengths of approximately two miles or greater and approximately 83% are expected to have horizontal lateral lengths of approximately 1.5 miles or greater.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 available public data, drilling densities anticipated on our properties and properties of other operators, estimated drilling and completion costs, spacing and other rules established by regulatory authorities and surface considerations, among other criteria. Our engineered well locations, at December 31, 2023, do not yet include all portions of our acreage position. Our identified well locations presume that multiple intervals may be prospective at any one surface location. Although we believe that denser well spacing may be possible in certain asset areas or in certain formations, at December 31, 2023, the majority of our estimated locations were based on the assumption of 160-acre well spacing. As we explore and develop our Delaware Basin acreage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further, we anticipate that we may identify additional locations for future drilling. At December 31, 2023, these potential future drilling locations included 470 gross (206 net) operated and non-operated locations in the Delaware Basin, primarily in the Wolfcamp and Bone Spring plays, but also in the Brushy Canyon, Yeso and Avalon, to which we have assigned proved undeveloped reserves.</w:t>
      </w:r>
    </w:p>
    <w:p>
      <w:pPr>
        <w:spacing w:after="0" w:line="6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began 2023 operating seven drilling rigs in the Delaware Basin. Following the closing of the Initial Advance Acquisition on April 12, 2023, we continued operating the drilling rig that Advance had been operating. Near the end of June 2023, we released this eighth operated drilling rig and continued operating seven drilling rigs in the Delaware Basin for the remainder of 2023. We added back an eighth operated drilling rig in the first quarter of 2024. We have built significant optionality into our drilling program, which should generally allow us to decrease or increase the number of rigs we operate as necessary based on changing commodity prices and other factors.</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Antelope Ridge Asset Area - Lea County, New Mexico</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Antelope Ridge asset area, we turned to sales 20 gross (16.8 net) operated wells and 18 gross (0.9 net) non-operated wells during 2023.</w:t>
      </w:r>
    </w:p>
    <w:p>
      <w:pPr>
        <w:spacing w:after="0" w:line="117"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1,300 gross and net acre Rodney Robinson leasehold is one of the key tracts we acquired in the BLM Acquisition. The federal leases provide an 87.5% net revenue interest (“NRI”) as compared to an approximately 75% NRI on most fee leases today. At the end of the first quarter of 2023, we achieved one of our five operational milestones we set for Matador in 2023 when we turned to sales eight gross (7.7 net) wells on the Rodney Robinson leasehold. These wells were the fourth group of wells drilled on the Rodney Robinson leasehold. The eight Rodney Robinson wells, which included four Second Bone Spring Carbonate, two Third Bone Spring Carbonate, and two Wolfcamp B completions, have produced in aggregate approximately 1.7 million BOE in approximately 10 months of production.</w:t>
      </w:r>
    </w:p>
    <w:p>
      <w:pPr>
        <w:spacing w:after="0" w:line="66" w:lineRule="exact"/>
        <w:rPr>
          <w:sz w:val="20"/>
          <w:szCs w:val="20"/>
          <w:color w:val="auto"/>
        </w:rPr>
      </w:pPr>
    </w:p>
    <w:p>
      <w:pPr>
        <w:ind w:right="260" w:firstLine="405"/>
        <w:spacing w:after="0" w:line="272" w:lineRule="auto"/>
        <w:rPr>
          <w:sz w:val="20"/>
          <w:szCs w:val="20"/>
          <w:color w:val="auto"/>
        </w:rPr>
      </w:pPr>
      <w:r>
        <w:rPr>
          <w:rFonts w:ascii="Times New Roman" w:cs="Times New Roman" w:eastAsia="Times New Roman" w:hAnsi="Times New Roman"/>
          <w:sz w:val="17"/>
          <w:szCs w:val="17"/>
          <w:color w:val="auto"/>
        </w:rPr>
        <w:t>We turned to sales an additional 12 gross (9.1 net) operated wells in the Antelope Ridge asset area at various times during 2023. In total, these 12 Antelope Ridge wells, which included one First Bone Spring Sand, five Second Bone Spring Sand, two Third Bone Spring Sand, three Wolfcamp A and one Wolfcamp B completions, have produced in aggregate approximately 1.4 million BOE in an average of approximately six months of production.</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Stateline Asset Area - Eddy County, New Mexico</w:t>
      </w:r>
    </w:p>
    <w:p>
      <w:pPr>
        <w:spacing w:after="0" w:line="106" w:lineRule="exact"/>
        <w:rPr>
          <w:sz w:val="20"/>
          <w:szCs w:val="20"/>
          <w:color w:val="auto"/>
        </w:rPr>
      </w:pPr>
    </w:p>
    <w:p>
      <w:pPr>
        <w:ind w:right="180" w:firstLine="405"/>
        <w:spacing w:after="0"/>
        <w:rPr>
          <w:sz w:val="20"/>
          <w:szCs w:val="20"/>
          <w:color w:val="auto"/>
        </w:rPr>
      </w:pPr>
      <w:r>
        <w:rPr>
          <w:rFonts w:ascii="Times New Roman" w:cs="Times New Roman" w:eastAsia="Times New Roman" w:hAnsi="Times New Roman"/>
          <w:sz w:val="18"/>
          <w:szCs w:val="18"/>
          <w:color w:val="auto"/>
        </w:rPr>
        <w:t>During the second quarter of 2023, we achieved another of our five operational milestones when we turned to sales eight gross (8.0 net) wells in the Stateline asset area. These wells, which included four Wolfcamp B, two Upper Avalon and two Lower Avalon completions, have produced in aggregate approximately 1.8 million BOE in approximately six months of production. These eight wells had average completed lateral lengths of approximately 11,100 feet.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Ranger and Twin Lakes Asset Areas - Lea County, New Mexico</w:t>
      </w:r>
    </w:p>
    <w:p>
      <w:pPr>
        <w:spacing w:after="0" w:line="119"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In the Ranger asset area, we turned to sales 40 gross (33.1 net) operated wells and 11 gross (0.7 net) non-operated wells during 2023. In the Twin Lakes asset area, we did not turn to sales or participate in any horizontal operated or non-operated wells during 2023.</w:t>
      </w:r>
    </w:p>
    <w:p>
      <w:pPr>
        <w:spacing w:after="0" w:line="54"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In the third quarter of 2023, we achieved another of our five operational milestones when we turned to sales 21 gross (20.4 net) wells in the Ranger asset area that were acquired as part of the Advance Acquisition. Each of these wells had a lateral length of 2.25 miles, resulting in approximately 240,000 completed lateral feet, which was the largest single batch development project in Matador’s history. These wells included three Second Bone Spring Carbonate, six Second Bone Spring Sand, six Third Bone Spring Carbonate, three Third Bone Spring Sand and three Wolfcamp A completions, which averaged 24-hour initial production tests of 1,600 BOE per day with oil cuts averaging 84% and have in aggregate produced 2.4 million BOE in approximately four months of production.</w:t>
      </w:r>
    </w:p>
    <w:p>
      <w:pPr>
        <w:spacing w:after="0" w:line="66"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We turned to sales an additional 19 gross (12.7 net) wells in the Ranger asset area at various times during 2023, which included three First Bone Spring Sand, seven Second Bone Spring Sand, one Third Bone Spring Carbonate, seven Third Bone Spring Sand and one Wolfcamp A completions. These wells have in aggregate produced 2.1 million BOE in an average of approximately six months of production.</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Arrowhead Asset Area - Eddy County, New Mexico</w:t>
      </w:r>
    </w:p>
    <w:p>
      <w:pPr>
        <w:spacing w:after="0" w:line="106"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During the fourth quarter of 2023, we achieved another of our five operational milestones when we turned to sales 17 gross (10.6 net) Stebbins wells in the Arrowhead asset area. These wells, which included eight Wolfcamp A, seven Second Bone Spring and two First Bone Spring completions, have produced in aggregate approximately 1.2 million BOE in approximately two months of production. These 17 wells had average completed lateral lengths of approximately 8,800 feet.</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also turned to sales 30 gross (1.8 net) non-operated wells in the Arrowhead asset area during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West Texas Asset Area - Loving and Ward Counties, Texas</w:t>
      </w:r>
    </w:p>
    <w:p>
      <w:pPr>
        <w:spacing w:after="0" w:line="106" w:lineRule="exact"/>
        <w:rPr>
          <w:sz w:val="20"/>
          <w:szCs w:val="20"/>
          <w:color w:val="auto"/>
        </w:rPr>
      </w:pPr>
    </w:p>
    <w:p>
      <w:pPr>
        <w:ind w:right="320" w:firstLine="405"/>
        <w:spacing w:after="0" w:line="245" w:lineRule="auto"/>
        <w:rPr>
          <w:sz w:val="20"/>
          <w:szCs w:val="20"/>
          <w:color w:val="auto"/>
        </w:rPr>
      </w:pPr>
      <w:r>
        <w:rPr>
          <w:rFonts w:ascii="Times New Roman" w:cs="Times New Roman" w:eastAsia="Times New Roman" w:hAnsi="Times New Roman"/>
          <w:sz w:val="18"/>
          <w:szCs w:val="18"/>
          <w:color w:val="auto"/>
        </w:rPr>
        <w:t>During the fourth quarter of 2023, we achieved another of our five operational milestones when we turned to sales 13 gross (11.2 net) wells in the Wolf portion of the West Texas asset area. These wells, which included seven Wolfcamp B, five Wolfcamp A and one Third Bone Spring Carbonate completions, have produced in aggregate approximately 0.6 million BOE in approximately two months of production. These 13 wells had average completed lateral lengths of approximately 10,600 feet.</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also turned to sales 17 gross (0.2 net) non-operated wells in the West Texas asset area during 2023.</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Rustler Breaks Asset Area - Eddy County, New Mexico</w:t>
      </w:r>
    </w:p>
    <w:p>
      <w:pPr>
        <w:spacing w:after="0" w:line="106"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We turned to sales 21 gross (14.3 net) operated wells in the Rustler Breaks asset area at various times in the first, second and third quarters of 2023. In total, these 21 Rustler Breaks wells, which included two First Bone Spring Sand, eight Second Bone Spring Sand, six Wolfcamp A and five Wolfcamp B completions, have produced in aggregate approximately 3.9 million BOE in an average of approximately eight months of production.</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also turned to sales 23 gross (1.8 net) non-operated wells in the Rustler Breaks asset area during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South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Eagle Ford Shale and Other Formations</w:t>
      </w:r>
    </w:p>
    <w:p>
      <w:pPr>
        <w:spacing w:after="0" w:line="119" w:lineRule="exact"/>
        <w:rPr>
          <w:sz w:val="20"/>
          <w:szCs w:val="20"/>
          <w:color w:val="auto"/>
        </w:rPr>
      </w:pPr>
    </w:p>
    <w:p>
      <w:pPr>
        <w:ind w:right="480" w:firstLine="445"/>
        <w:spacing w:after="0" w:line="289" w:lineRule="auto"/>
        <w:rPr>
          <w:sz w:val="20"/>
          <w:szCs w:val="20"/>
          <w:color w:val="auto"/>
        </w:rPr>
      </w:pPr>
      <w:r>
        <w:rPr>
          <w:rFonts w:ascii="Times New Roman" w:cs="Times New Roman" w:eastAsia="Times New Roman" w:hAnsi="Times New Roman"/>
          <w:sz w:val="17"/>
          <w:szCs w:val="17"/>
          <w:color w:val="auto"/>
        </w:rPr>
        <w:t>At December 31, 2023, our properties included approximately 14,400 gross (12,100 net) acres in the Eagle Ford shale play in South Texas. We believe that approximately 76% of our Eagle Ford acreage is prospective predominantly for oil or liquids-rich natural gas with condensate, with the remainder being prospective for less liquids-rich natural gas. All of our Eagle Ford leasehold was held by existing production at December 31, 2023.</w:t>
      </w:r>
    </w:p>
    <w:p>
      <w:pPr>
        <w:spacing w:after="0" w:line="50" w:lineRule="exact"/>
        <w:rPr>
          <w:sz w:val="20"/>
          <w:szCs w:val="20"/>
          <w:color w:val="auto"/>
        </w:rPr>
      </w:pPr>
    </w:p>
    <w:p>
      <w:pPr>
        <w:ind w:right="200" w:firstLine="445"/>
        <w:spacing w:after="0" w:line="255" w:lineRule="auto"/>
        <w:rPr>
          <w:sz w:val="20"/>
          <w:szCs w:val="20"/>
          <w:color w:val="auto"/>
        </w:rPr>
      </w:pPr>
      <w:r>
        <w:rPr>
          <w:rFonts w:ascii="Times New Roman" w:cs="Times New Roman" w:eastAsia="Times New Roman" w:hAnsi="Times New Roman"/>
          <w:sz w:val="18"/>
          <w:szCs w:val="18"/>
          <w:color w:val="auto"/>
        </w:rPr>
        <w:t>We did not conduct any operated drilling and completion activities on our leasehold properties in South Texas during the year ended December 31, 2023, although we did participate in one gross (0.4 net) non-operated well that turned to sales in 2023. In fact, as of December 31, 2023, we had not completed any new operated wells in the Eagle Ford shale since the second quarter of 2019. As a result of not completing any new operated wells since 2019 and our asset sales during the year, our average daily oil equivalent production from the Eagle Ford shale decreased 22% to 1,068 BOE per day, including 755 Bbl of oil per day and 1.9 MMcf of natural gas per day, during 2023, as compared to 1,373 BOE per day, including 971 Bbl of oil per day and 2.4 MMcf of natural gas per day, during 2022. For each of the years ended December 31, 2023 and 2022, 1% of our total daily oil equivalent production was attributable to the Eagle Ford shale.</w:t>
      </w:r>
    </w:p>
    <w:p>
      <w:pPr>
        <w:spacing w:after="0" w:line="8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At December 31, 2023, approximately 1% of our estimated total proved oil and natural gas reserves, or 3.0 million BOE, was attributable to the Eagle Ford shale, including approximately 2.1 million Bbl of oil and 5.5 Bcf of natural gas. Our Eagle Ford total proved reserves comprised approximately 1% of our proved oil reserves and less than 1% of our proved natural gas reserves at December 31, 2023, essentially unchanged from December 31,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Northwest Louisiana — Haynesville Shale, Cotton Valley and Other Formations</w:t>
      </w:r>
    </w:p>
    <w:p>
      <w:pPr>
        <w:spacing w:after="0" w:line="11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We did not conduct any operated drilling and completion activities on our leasehold properties in Northwest Louisiana during 2023, although we did participate in the drilling and completion of 22 gross (0.4 net) non-operated Haynesville shale wells that were turned to sales in 2023.</w:t>
      </w:r>
    </w:p>
    <w:p>
      <w:pPr>
        <w:spacing w:after="0" w:line="5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At December 31, 2023, we held approximately 18,500 gross (17,300 net) acres in Northwest Louisiana, including 16,200 gross (8,900 net) acres in the Haynesville shale play and 15,700 gross (14,800 net) acres in the Cotton Valley play. We operate substantially all of our Cotton Valley and shallower production on our leasehold interests in Northwest Louisiana, as well as all of our Haynesville production on the acreage outside of what we believe to be the core area of the Haynesville shale play. We operate approximately 8% of the 11,600 gross (4,700 net) acres that we consider to be in the core area of the Haynesville shale play. All of our leasehold in the Haynesville and Cotton Valley plays in Northwest Louisiana was held by existing production at December 31, 2023.</w:t>
      </w:r>
    </w:p>
    <w:p>
      <w:pPr>
        <w:spacing w:after="0" w:line="7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approximately 3% of our average daily oil equivalent production, or 4,025 BOE per day, including five Bbl of oil per day and 24.1 MMcf of natural gas per day, was attributable to our leasehold interests in Northwest Louisiana, while for the year ended December 31, 2022, approximately 4% of our average daily oil equivalent production, or 3,957 BOE per day, including nine Bbl of oil per day and 23.7 MMcf of natural gas per day, was attributable to our properties in Northwest Louisiana. For the year ended December 31, 2023, approximately 7% of our daily natural gas production, or 24.1 MMcf of natural gas per day, was attributable to our leasehold interests in Northwest Louisiana, while for the year ended December 31, 2022, approximately 9% of our daily natural gas production, or 23.7 MMcf of natural gas per day, was attributable to these properties. At December 31, 2023, approximately 1% of our estimated total proved reserves, or 4.4 million BOE, was attributable to our properties in Northwest Louisiana.</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Midstream Segment</w:t>
      </w:r>
    </w:p>
    <w:p>
      <w:pPr>
        <w:spacing w:after="0" w:line="121"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Our midstream segment conducts midstream operations in support of our exploration, development and production operations and provides natural gas processing, oil transportation services, oil, natural gas and produced water gathering services and produced water disposal services to third parties.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Southeast New Mexico and West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Delaware Basin</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February 17, 2017, we announced the formation of San Mateo, a strategic joint venture with Five Point. The midstream assets that were contributed to San Mateo included (i) San Mateo’s Black River cryogenic natural gas processing plant in Eddy County, New Mexico (the “Black River Processing Plant”) (before its expansions); (ii) one salt water disposal well and a related commercial salt water disposal facility in the Rustler Breaks asset area; (iii) three salt water disposal wells and related commercial salt water disposal facilities in the West Texas asset area and (iv) substantially all related oil, natural gas and produced water gathering systems and pipelines in both the Rustler Breaks asset area and in Loving County, Texas (collectively, the “Delaware Midstream Assets”). We received $171.5 million in connection with the formation of San Mateo and had the potential to earn up to $73.5 million in performance incentives over a five-year period, which in October 2020 was extended by an additional year to January 31, 2023. Through January 31, 2023, we had earned all of the potential $73.5 million in performance incentives. In connection with the formation of San Mateo, we dedicated to San Mateo current and certain future leasehold interests in the Rustler Breaks asset area and the Wolf portion of the West Texas asset area pursuant to 15-year, fixed fee oil, natural gas and produced water gathering and produced water disposal agreements. In addition, we dedicated current and certain future leasehold interests in the Rustler Breaks asset area to San Mateo pursuant to a 15-year, fixed fee natural gas processing agreement.</w:t>
      </w:r>
    </w:p>
    <w:p>
      <w:pPr>
        <w:spacing w:after="0" w:line="84"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On February 25, 2019, we announced the formation of San Mateo Midstream II, LLC (“San Mateo II”), a strategic joint venture with Five Point designed to expand our midstream operations in the Delaware Basin, specifically in Eddy County, New Mexico. In addition, Five Point committed to pay $125.0 million of the first $150.0 million of capital expenditures incurred by San Mateo II to develop facilities in the Greater Stebbins Area and the Stateline asset area. The $150.0 million threshold for capital expenditures was reached during 2020 and additional capital expenditures are the responsibility of the Company and Five Point based on each company’s proportionate interest in San Mateo. In addition, we have the ability to earn up to $150.0 million in performance incentives through mid-2024</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plus additional performance incentives for securing volumes from third-party customers. Through February 20, 2024, we had received $85.7 million of the potential $150.0 million in performance incentives. In connection with the formation of San Mateo II, we dedicated to San Mateo II acreage in the Greater Stebbins Area and the Stateline asset area pursuant to 15-year, fixed-fee oil transportation, oil, natural gas and produced water gathering, natural gas processing and produced water disposal agreements.</w:t>
      </w:r>
    </w:p>
    <w:p>
      <w:pPr>
        <w:spacing w:after="0" w:line="8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Effective October 1, 2020, San Mateo II merged with and into San Mateo. The Company and Five Point own 51% and 49% of San Mateo, respectively. San Mateo provides firm service to us, while also being a midstream service provider to other customers in and around our Stateline, West Texas and Rustler Breaks asset areas and the Greater Stebbins Area. We retain operational control of San Mateo and continue to operate the Delaware Midstream Assets, the expanded Black River Processing Plant and the other midstream facilities that have been developed in the Greater Stebbins Area and the Stateline asset area.</w:t>
      </w:r>
    </w:p>
    <w:p>
      <w:pPr>
        <w:spacing w:after="0" w:line="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On June 30, 2022, we acquired the Marlan Processing Plant, three compressor stations and approximately 45 miles of natural gas gathering pipelines in Lea and Eddy Counties, New Mexico as part of the Pronto Acquisition.</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Natural Gas Gathering and Processing Assets</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Black River Processing Plant and associated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w:t>
      </w:r>
    </w:p>
    <w:p>
      <w:pPr>
        <w:spacing w:after="0" w:line="7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2020, San Mateo completed the construction and successful start-up of the expansion of the Black River Processing Plant to add an incremental designed inlet capacity of 200 MMcf of natural gas per day to the existing designed inlet capacity of 260 MMcf of natural gas per day, bringing the total designed inlet capacity to 460 MMcf of natural gas per day. The expanded Black River Processing Plant supports our exploration and development activities in the Delaware Basin and, at December 31, 2023, was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w:t>
      </w:r>
    </w:p>
    <w:p>
      <w:pPr>
        <w:spacing w:after="0" w:line="7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2023, San Mateo had approximately 43 miles of large diameter natural gas gathering pipelines between the Black River Processing Plant and the Stateline asset area (approximately 24 miles) and the Greater Stebbins Area (approximately 19 miles). At December 31, 2023, San Mateo was gathering or transporting almost all our operated natural gas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production via pipeline in the Stateline asset area, the Greater Stebbins Area, the Rustler Breaks asset area and the Wolf portion of our West Texas asset area.</w:t>
      </w:r>
    </w:p>
    <w:p>
      <w:pPr>
        <w:spacing w:after="0" w:line="5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addition, at December 31, 2023, San Mateo had an NGL pipeline connection at the Black River Processing Plant to the NGL pipelines owned by EPIC Y-Grade Pipeline LP and Enterprise Products Partners LP. These NGL connections provide several significant benefits to us and other San Mateo customers compared to transporting NGLs by truck. San Mateo’s customers receive (i) firm NGL takeaway out of the Delaware Basin, (ii) increased NGL recoveries, (iii) improved pricing realizations through lower transportation and fractionation costs, (iv) increased optionality through San Mateo’s ability to operate the Black River Processing Plant in ethane recovery mode, if desired, and (v) a reliable alternative to pipe rather than to truck NGLs during severe weather events and otherwise.</w:t>
      </w:r>
    </w:p>
    <w:p>
      <w:pPr>
        <w:spacing w:after="0" w:line="7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 the Wolf portion of the West Texas asset area in Loving County, Texas, San Mateo gathers our natural gas production with the natural gas gathering system we retained following the sale of our wholly-owned subsidiary that owned certain natural gas gathering and processing assets in the West Texas asset area, including a cryogenic natural gas processing plant and approximately six miles of high-pressure gathering pipelines.</w:t>
      </w:r>
    </w:p>
    <w:p>
      <w:pPr>
        <w:spacing w:after="0" w:line="6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At December 31, 2023, San Mateo’s natural gas gathering systems included natural gas gathering pipelines and related compression and treating systems. During the year ended December 31, 2023, San Mateo gathered an average of approximately 358 MMcf of natural gas per day, an increase of 25% as compared to 287 MMcf of natural gas per day gathered during the year ended December 31, 2022. In addition, during the year ended December 31, 2023, San Mateo processed approximately 381 MMcf of natural gas per day at the Black River Processing Plant, an increase of 32%, as compared to 289 MMcf of natural gas per day processed during the year ended December 31, 2022. Natural gas gathering and processing volumes for the years ended December 31, 2023 and 2022 do not include the full quantity of volumes that would have otherwise been delivered by certain San Mateo customers subject to minimum volume commitments (although partial deliveries were made in both years), but for which San Mateo recognized revenues.</w:t>
      </w:r>
    </w:p>
    <w:p>
      <w:pPr>
        <w:spacing w:after="0" w:line="8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2023, Pronto owned (i) the Marlan Processing Plant, (ii) three compressor stations and (iii) approximately 70 miles of natural gas gathering pipelines in Lea and Eddy Counties, New Mexico. During the year ended December 31, 2023, Pronto processed an average of approximately 41 MMcf of natural gas per day.</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Crude Oil Gathering and Transportation Assets</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San Mateo and Plains have entered into a strategic relationship to gather and transport crude oil for upstream producers in Eddy County, New Mexico and have agreed to work together through a joint tariff arrangement and related transactions to offer producers located within a joint development area crude oil transportation services from the wellhead to Midland, Texas with access to other end markets.</w:t>
      </w:r>
    </w:p>
    <w:p>
      <w:pPr>
        <w:spacing w:after="0" w:line="6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At December 31, 2023, San Mateo had (i) a crude oil gathering and transportation system in the Greater Stebbins Area that was connected to the existing interconnect in the Rustler Breaks asset area totaling approximately 80 miles of various diameter crude oil pipelines and (ii) a crude oil gathering system in the Stateline asset area. With these oil gathering and transportation systems (collectively with the crude oil gathering and transportation system in the Rustler Breaks asset area and the crude oil gathering system in the West Texas asset area, the “San Mateo Oil Pipeline Systems”) in service, at December 31, 2023, we estimated almost all of our oil production from the Stateline, West Texas and Rustler Breaks asset areas and the Greater Stebbins Area was transported by pipeline.</w:t>
      </w:r>
    </w:p>
    <w:p>
      <w:pPr>
        <w:spacing w:after="0" w:line="7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At December 31, 2023, the San Mateo Oil Pipeline Systems included crude oil gathering and transportation pipelines from points of origin in Eddy County, New Mexico and Loving County, Texas to interconnects with Plains and two trucking facilities. During the year ended December 31, 2023, the San Mateo Oil Pipeline Systems had throughput of approximately 43,600 Bbl of oil per day, a decrease of 10%, as compared to throughput of approximately 48,300 Bbl of oil per day during the year ended December 31, 2022.</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Produced Water Gathering and Disposal Assets</w:t>
      </w:r>
    </w:p>
    <w:p>
      <w:pPr>
        <w:spacing w:after="0" w:line="11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During 2023, San Mateo placed into service one commercial salt water disposal well in the Greater Stebbins Area, bringing San Mateo’s commercial salt water disposal well count in the Greater Stebbins Area to four. In addition to its four commercial salt water disposal wells and associated facilities in the Greater Stebbins Area, at February 20, 2024, San Mateo had nine commercial salt water disposal wells and associated facilities in the Rustler Breaks asset area, three commercial salt water disposal wells and associated facilities in the West Texas asset area and produced water gathering systems in the Stateline, Rustler Breaks and West Texas asset areas and the Greater Stebbins Area. At February 20, 2024, San Mateo had designed disposal capacity of approximately 475,000 Bbl of produced water per day.</w:t>
      </w:r>
    </w:p>
    <w:p>
      <w:pPr>
        <w:spacing w:after="0" w:line="79"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San Mateo handled approximately 376,000 Bbl of produced water per day, an increase of 4%, as compared to approximately 361,000 Bbl of produced water per day handled during the year ended December 31, 2022.</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Texas / Northwest Louisiana</w:t>
      </w:r>
    </w:p>
    <w:p>
      <w:pPr>
        <w:spacing w:after="0" w:line="119" w:lineRule="exact"/>
        <w:rPr>
          <w:sz w:val="20"/>
          <w:szCs w:val="20"/>
          <w:color w:val="auto"/>
        </w:rPr>
      </w:pPr>
    </w:p>
    <w:p>
      <w:pPr>
        <w:jc w:val="both"/>
        <w:ind w:right="680" w:firstLine="445"/>
        <w:spacing w:after="0" w:line="266" w:lineRule="auto"/>
        <w:rPr>
          <w:sz w:val="20"/>
          <w:szCs w:val="20"/>
          <w:color w:val="auto"/>
        </w:rPr>
      </w:pPr>
      <w:r>
        <w:rPr>
          <w:rFonts w:ascii="Times New Roman" w:cs="Times New Roman" w:eastAsia="Times New Roman" w:hAnsi="Times New Roman"/>
          <w:sz w:val="18"/>
          <w:szCs w:val="18"/>
          <w:color w:val="auto"/>
        </w:rPr>
        <w:t>In South Texas, we own a natural gas gathering system that gathers natural gas production from certain of our operated Eagle Ford leases. In Northwest Louisiana, we have midstream assets that gather natural gas from most of our operated leases. Our midstream assets in South Texas and Northwest Louisiana are not part of San Mateo or Pronto.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Summary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certain unaudited production and operating data for the years ended December 31, 2023, 2022 and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Production Data:</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Production Volumes: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Oil (MBbl)</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17,840</w:t>
            </w: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Natural gas (Bcf)</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210"/>
        </w:trPr>
        <w:tc>
          <w:tcPr>
            <w:tcW w:w="7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31,454</w:t>
            </w:r>
          </w:p>
        </w:tc>
      </w:tr>
      <w:tr>
        <w:trPr>
          <w:trHeight w:val="203"/>
        </w:trPr>
        <w:tc>
          <w:tcPr>
            <w:tcW w:w="7700" w:type="dxa"/>
            <w:vAlign w:val="bottom"/>
          </w:tcPr>
          <w:p>
            <w:pPr>
              <w:ind w:left="1000"/>
              <w:spacing w:after="0" w:line="202" w:lineRule="exact"/>
              <w:rPr>
                <w:sz w:val="20"/>
                <w:szCs w:val="20"/>
                <w:color w:val="auto"/>
              </w:rPr>
            </w:pPr>
            <w:r>
              <w:rPr>
                <w:rFonts w:ascii="Times New Roman" w:cs="Times New Roman" w:eastAsia="Times New Roman" w:hAnsi="Times New Roman"/>
                <w:sz w:val="14"/>
                <w:szCs w:val="14"/>
                <w:color w:val="auto"/>
              </w:rPr>
              <w:t>Average daily production (BOE/d)</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86,176</w:t>
            </w:r>
          </w:p>
        </w:tc>
      </w:tr>
      <w:tr>
        <w:trPr>
          <w:trHeight w:val="203"/>
        </w:trPr>
        <w:tc>
          <w:tcPr>
            <w:tcW w:w="7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Average Sales Prices: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Oil, without realized derivatives (per Bbl)</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96.32</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67.58</w:t>
            </w: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Oil, with realized derivatives (per Bbl)</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56.70</w:t>
            </w: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Natural gas, without realized derivatives (per Mcf)</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Natural gas, with realized derivatives (per Mcf)</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r>
      <w:tr>
        <w:trPr>
          <w:trHeight w:val="195"/>
        </w:trPr>
        <w:tc>
          <w:tcPr>
            <w:tcW w:w="77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Operating Expenses (per BOE):</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Production taxes, transportation and processing</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Lease operating</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Plant and other midstream services operating</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95"/>
        </w:trPr>
        <w:tc>
          <w:tcPr>
            <w:tcW w:w="7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210"/>
        </w:trPr>
        <w:tc>
          <w:tcPr>
            <w:tcW w:w="7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using a conversion ratio of one Bbl of oil per six Mcf of natural gas.</w:t>
      </w:r>
    </w:p>
    <w:p>
      <w:pPr>
        <w:spacing w:after="0" w:line="113"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production volumes, sales prices and production costs for the year ended December 31, 2023 from our operating areas, which we consider to be distinct fields for purposes of accounting for production.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New Mexico/West</w:t>
            </w:r>
          </w:p>
        </w:tc>
        <w:tc>
          <w:tcPr>
            <w:tcW w:w="20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240" w:type="dxa"/>
            <w:vAlign w:val="bottom"/>
          </w:tcPr>
          <w:p>
            <w:pPr>
              <w:spacing w:after="0"/>
              <w:rPr>
                <w:sz w:val="12"/>
                <w:szCs w:val="12"/>
                <w:color w:val="auto"/>
              </w:rPr>
            </w:pPr>
          </w:p>
        </w:tc>
        <w:tc>
          <w:tcPr>
            <w:tcW w:w="286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Texas</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Delaware Basin</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Eagle Ford</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Haynesville</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Cotton Valley</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Annual Net Production Volumes</w:t>
            </w:r>
          </w:p>
        </w:tc>
        <w:tc>
          <w:tcPr>
            <w:tcW w:w="1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(MBbl)</w:t>
            </w:r>
          </w:p>
        </w:tc>
        <w:tc>
          <w:tcPr>
            <w:tcW w:w="14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27,264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27,542</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(Bcf)</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123.4</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9"/>
                <w:szCs w:val="9"/>
                <w:color w:val="auto"/>
              </w:rPr>
              <w:t>(3)</w:t>
            </w:r>
          </w:p>
        </w:tc>
        <w:tc>
          <w:tcPr>
            <w:tcW w:w="14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46,253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48,112</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Percentage of total annual net production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Net Daily Production Volumes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(Bbl/d)</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74,697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75,457</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gas (MMcf/d)</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312.1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338.1</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(BOE/d)</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126,720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131,813</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Sales Prices</w:t>
            </w:r>
            <w:r>
              <w:rPr>
                <w:rFonts w:ascii="Times New Roman" w:cs="Times New Roman" w:eastAsia="Times New Roman" w:hAnsi="Times New Roman"/>
                <w:sz w:val="9"/>
                <w:szCs w:val="9"/>
                <w:b w:val="1"/>
                <w:bCs w:val="1"/>
                <w:color w:val="auto"/>
              </w:rPr>
              <w:t>(4)</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(per Bbl)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76.10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77.88</w:t>
            </w:r>
          </w:p>
        </w:tc>
        <w:tc>
          <w:tcPr>
            <w:tcW w:w="0" w:type="dxa"/>
            <w:vAlign w:val="bottom"/>
          </w:tcPr>
          <w:p>
            <w:pPr>
              <w:spacing w:after="0"/>
              <w:rPr>
                <w:sz w:val="1"/>
                <w:szCs w:val="1"/>
                <w:color w:val="auto"/>
              </w:rPr>
            </w:pP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(per Mcf)</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(per BOE)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52.91</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Production Costs</w:t>
            </w:r>
            <w:r>
              <w:rPr>
                <w:rFonts w:ascii="Times New Roman" w:cs="Times New Roman" w:eastAsia="Times New Roman" w:hAnsi="Times New Roman"/>
                <w:sz w:val="9"/>
                <w:szCs w:val="9"/>
                <w:b w:val="1"/>
                <w:bCs w:val="1"/>
                <w:color w:val="auto"/>
              </w:rPr>
              <w:t>(5)</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Lease operating, transportation and processing (per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32.78</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BOE)</w:t>
            </w:r>
          </w:p>
        </w:tc>
        <w:tc>
          <w:tcPr>
            <w:tcW w:w="14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well producing oil from the Austin Chalk formation in La Salle County, Texas.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hanging="311"/>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 and also includes one well producing from the Frio formation in Orange County, Texas that was divested in September 2023.</w:t>
      </w:r>
    </w:p>
    <w:p>
      <w:pPr>
        <w:spacing w:after="0" w:line="122" w:lineRule="exact"/>
        <w:rPr>
          <w:rFonts w:ascii="Times New Roman" w:cs="Times New Roman" w:eastAsia="Times New Roman" w:hAnsi="Times New Roman"/>
          <w:sz w:val="14"/>
          <w:szCs w:val="14"/>
          <w:color w:val="auto"/>
        </w:rPr>
      </w:pPr>
    </w:p>
    <w:p>
      <w:pPr>
        <w:ind w:left="460" w:hanging="331"/>
        <w:spacing w:after="0" w:line="271" w:lineRule="auto"/>
        <w:tabs>
          <w:tab w:leader="none" w:pos="4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volumes reported in two streams: oil and natural gas, including both dry and liquids-rich natural gas. Estimated using a conversion ratio of one Bbl of oil per six Mcf of natural gas.</w:t>
      </w:r>
    </w:p>
    <w:p>
      <w:pPr>
        <w:spacing w:after="0" w:line="263"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impact of derivative settlements.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plant and other midstream services operating expenses, ad valorem taxes and oil and natural gas production taxes.</w:t>
      </w:r>
    </w:p>
    <w:p>
      <w:pPr>
        <w:spacing w:after="0" w:line="12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production volumes, sales prices and production costs for the year ended December 31, 2022 from our operating areas, which we consider to be distinct fields for purposes of accounting for production.</w:t>
      </w:r>
    </w:p>
    <w:tbl>
      <w:tblPr>
        <w:tblLayout w:type="fixed"/>
        <w:tblInd w:w="0" w:type="dxa"/>
        <w:tblCellMar>
          <w:top w:w="0" w:type="dxa"/>
          <w:left w:w="0" w:type="dxa"/>
          <w:bottom w:w="0" w:type="dxa"/>
          <w:right w:w="0" w:type="dxa"/>
        </w:tblCellMar>
      </w:tblPr>
      <w:tr>
        <w:trPr>
          <w:trHeight w:val="155"/>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Southeast</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New Mexico/West</w:t>
            </w:r>
          </w:p>
        </w:tc>
        <w:tc>
          <w:tcPr>
            <w:tcW w:w="20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240" w:type="dxa"/>
            <w:vAlign w:val="bottom"/>
          </w:tcPr>
          <w:p>
            <w:pPr>
              <w:spacing w:after="0"/>
              <w:rPr>
                <w:sz w:val="12"/>
                <w:szCs w:val="12"/>
                <w:color w:val="auto"/>
              </w:rPr>
            </w:pPr>
          </w:p>
        </w:tc>
        <w:tc>
          <w:tcPr>
            <w:tcW w:w="286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Delaware Basin</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48"/>
              <w:spacing w:after="0" w:line="202" w:lineRule="exact"/>
              <w:rPr>
                <w:sz w:val="20"/>
                <w:szCs w:val="20"/>
                <w:color w:val="auto"/>
              </w:rPr>
            </w:pPr>
            <w:r>
              <w:rPr>
                <w:rFonts w:ascii="Times New Roman" w:cs="Times New Roman" w:eastAsia="Times New Roman" w:hAnsi="Times New Roman"/>
                <w:sz w:val="14"/>
                <w:szCs w:val="14"/>
                <w:b w:val="1"/>
                <w:bCs w:val="1"/>
                <w:color w:val="auto"/>
              </w:rPr>
              <w:t>Eagle Ford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Haynesville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68"/>
              <w:spacing w:after="0" w:line="202" w:lineRule="exact"/>
              <w:rPr>
                <w:sz w:val="20"/>
                <w:szCs w:val="20"/>
                <w:color w:val="auto"/>
              </w:rPr>
            </w:pPr>
            <w:r>
              <w:rPr>
                <w:rFonts w:ascii="Times New Roman" w:cs="Times New Roman" w:eastAsia="Times New Roman" w:hAnsi="Times New Roman"/>
                <w:sz w:val="14"/>
                <w:szCs w:val="14"/>
                <w:b w:val="1"/>
                <w:bCs w:val="1"/>
                <w:color w:val="auto"/>
              </w:rPr>
              <w:t>Cotton Valley</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Annual Net Production Volumes</w:t>
            </w: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(MBbl)</w:t>
            </w:r>
          </w:p>
        </w:tc>
        <w:tc>
          <w:tcPr>
            <w:tcW w:w="16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21,585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21,943</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(Bcf)</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36,550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38,495</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Percentage of total annual net production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Net Daily Production Volumes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(Bbl/d)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60,119</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gas (MMcf/d)</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246.0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272.1</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(BOE/d)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100,135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105,465</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Average Sales Prices</w:t>
            </w:r>
            <w:r>
              <w:rPr>
                <w:rFonts w:ascii="Times New Roman" w:cs="Times New Roman" w:eastAsia="Times New Roman" w:hAnsi="Times New Roman"/>
                <w:sz w:val="18"/>
                <w:szCs w:val="18"/>
                <w:b w:val="1"/>
                <w:bCs w:val="1"/>
                <w:color w:val="auto"/>
                <w:vertAlign w:val="superscript"/>
              </w:rPr>
              <w:t>(4)</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91.53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96.32</w:t>
            </w:r>
          </w:p>
        </w:tc>
        <w:tc>
          <w:tcPr>
            <w:tcW w:w="0" w:type="dxa"/>
            <w:vAlign w:val="bottom"/>
          </w:tcPr>
          <w:p>
            <w:pPr>
              <w:spacing w:after="0"/>
              <w:rPr>
                <w:sz w:val="1"/>
                <w:szCs w:val="1"/>
                <w:color w:val="auto"/>
              </w:rPr>
            </w:pPr>
          </w:p>
        </w:tc>
      </w:tr>
      <w:tr>
        <w:trPr>
          <w:trHeight w:val="19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(per Mcf)</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(per BOE)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83.24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75.48</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Production Costs</w:t>
            </w:r>
            <w:r>
              <w:rPr>
                <w:rFonts w:ascii="Times New Roman" w:cs="Times New Roman" w:eastAsia="Times New Roman" w:hAnsi="Times New Roman"/>
                <w:sz w:val="18"/>
                <w:szCs w:val="18"/>
                <w:b w:val="1"/>
                <w:bCs w:val="1"/>
                <w:color w:val="auto"/>
                <w:vertAlign w:val="superscript"/>
              </w:rPr>
              <w:t>(5)</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Lease operating, transportation and processing (per</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BOE)</w:t>
            </w:r>
          </w:p>
        </w:tc>
        <w:tc>
          <w:tcPr>
            <w:tcW w:w="16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440" w:hanging="311"/>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well producing oil from the Austin Chalk formation in La Salle County, Texas.</w:t>
      </w:r>
    </w:p>
    <w:p>
      <w:pPr>
        <w:spacing w:after="0" w:line="109"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 and also includes one well producing from the Frio formation in Orange County, Texas.</w:t>
      </w:r>
    </w:p>
    <w:p>
      <w:pPr>
        <w:spacing w:after="0" w:line="122" w:lineRule="exact"/>
        <w:rPr>
          <w:rFonts w:ascii="Times New Roman" w:cs="Times New Roman" w:eastAsia="Times New Roman" w:hAnsi="Times New Roman"/>
          <w:sz w:val="14"/>
          <w:szCs w:val="14"/>
          <w:color w:val="auto"/>
        </w:rPr>
      </w:pPr>
    </w:p>
    <w:p>
      <w:pPr>
        <w:ind w:left="460" w:hanging="331"/>
        <w:spacing w:after="0" w:line="271" w:lineRule="auto"/>
        <w:tabs>
          <w:tab w:leader="none" w:pos="4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volumes reported in two streams: oil and natural gas, including both dry and liquids-rich natural gas. Estimated using a conversion ratio of one Bbl of oil per six Mcf of natural gas.</w:t>
      </w:r>
    </w:p>
    <w:p>
      <w:pPr>
        <w:spacing w:after="0" w:line="277"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impact of derivative settlements.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plant and other midstream services operating expenses, ad valorem taxes and oil and natural gas production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production volumes, sales prices and production costs for the year ended December 31, 2021 from our operating areas, which we consider to be distinct fields for purposes of accounting for production.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New Mexico/West</w:t>
            </w:r>
          </w:p>
        </w:tc>
        <w:tc>
          <w:tcPr>
            <w:tcW w:w="20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240" w:type="dxa"/>
            <w:vAlign w:val="bottom"/>
          </w:tcPr>
          <w:p>
            <w:pPr>
              <w:spacing w:after="0"/>
              <w:rPr>
                <w:sz w:val="12"/>
                <w:szCs w:val="12"/>
                <w:color w:val="auto"/>
              </w:rPr>
            </w:pPr>
          </w:p>
        </w:tc>
        <w:tc>
          <w:tcPr>
            <w:tcW w:w="288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Delaware Basin</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48"/>
              <w:spacing w:after="0" w:line="202" w:lineRule="exact"/>
              <w:rPr>
                <w:sz w:val="20"/>
                <w:szCs w:val="20"/>
                <w:color w:val="auto"/>
              </w:rPr>
            </w:pPr>
            <w:r>
              <w:rPr>
                <w:rFonts w:ascii="Times New Roman" w:cs="Times New Roman" w:eastAsia="Times New Roman" w:hAnsi="Times New Roman"/>
                <w:sz w:val="14"/>
                <w:szCs w:val="14"/>
                <w:b w:val="1"/>
                <w:bCs w:val="1"/>
                <w:color w:val="auto"/>
              </w:rPr>
              <w:t>Eagle Ford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Haynesville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68"/>
              <w:spacing w:after="0" w:line="202" w:lineRule="exact"/>
              <w:rPr>
                <w:sz w:val="20"/>
                <w:szCs w:val="20"/>
                <w:color w:val="auto"/>
              </w:rPr>
            </w:pPr>
            <w:r>
              <w:rPr>
                <w:rFonts w:ascii="Times New Roman" w:cs="Times New Roman" w:eastAsia="Times New Roman" w:hAnsi="Times New Roman"/>
                <w:sz w:val="14"/>
                <w:szCs w:val="14"/>
                <w:b w:val="1"/>
                <w:bCs w:val="1"/>
                <w:color w:val="auto"/>
              </w:rPr>
              <w:t>Cotton Valley</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Annual Net Production Volumes</w:t>
            </w: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(MBbl)</w:t>
            </w:r>
          </w:p>
        </w:tc>
        <w:tc>
          <w:tcPr>
            <w:tcW w:w="16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17,279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17,840</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(Bcf)</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29,395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31,454</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Percentage of total annual net production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Net Daily Production Volumes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(Bbl/d)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47,339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48,876</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gas (MMcf/d)</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223.8</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(BOE/d)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80,534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86,176</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Average Sales Prices</w:t>
            </w:r>
            <w:r>
              <w:rPr>
                <w:rFonts w:ascii="Times New Roman" w:cs="Times New Roman" w:eastAsia="Times New Roman" w:hAnsi="Times New Roman"/>
                <w:sz w:val="18"/>
                <w:szCs w:val="18"/>
                <w:b w:val="1"/>
                <w:bCs w:val="1"/>
                <w:color w:val="auto"/>
                <w:vertAlign w:val="superscript"/>
              </w:rPr>
              <w:t>(4)</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67.58</w:t>
            </w:r>
          </w:p>
        </w:tc>
        <w:tc>
          <w:tcPr>
            <w:tcW w:w="0" w:type="dxa"/>
            <w:vAlign w:val="bottom"/>
          </w:tcPr>
          <w:p>
            <w:pPr>
              <w:spacing w:after="0"/>
              <w:rPr>
                <w:sz w:val="1"/>
                <w:szCs w:val="1"/>
                <w:color w:val="auto"/>
              </w:rPr>
            </w:pPr>
          </w:p>
        </w:tc>
      </w:tr>
      <w:tr>
        <w:trPr>
          <w:trHeight w:val="19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(per Mcf)</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oil equivalent (per BOE)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54.06</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Production Costs</w:t>
            </w:r>
            <w:r>
              <w:rPr>
                <w:rFonts w:ascii="Times New Roman" w:cs="Times New Roman" w:eastAsia="Times New Roman" w:hAnsi="Times New Roman"/>
                <w:sz w:val="18"/>
                <w:szCs w:val="18"/>
                <w:b w:val="1"/>
                <w:bCs w:val="1"/>
                <w:color w:val="auto"/>
                <w:vertAlign w:val="superscript"/>
              </w:rPr>
              <w:t>(5)</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Lease operating, transportation and processing (per</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25.69</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BOE)</w:t>
            </w:r>
          </w:p>
        </w:tc>
        <w:tc>
          <w:tcPr>
            <w:tcW w:w="16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460" w:right="320" w:hanging="331"/>
        <w:spacing w:after="0" w:line="282" w:lineRule="auto"/>
        <w:tabs>
          <w:tab w:leader="none" w:pos="4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well producing oil from the Austin Chalk formation in La Salle County, Texas and two wells producing small quantities of natural gas from the San Miguel formation in Zavala County, Texas. The two wells in Zavala County, Texas were divested in January 2022.</w:t>
      </w:r>
    </w:p>
    <w:p>
      <w:pPr>
        <w:spacing w:after="0" w:line="67"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 and also includes one well producing from the Frio formation in Orange County, Texas.</w:t>
      </w:r>
    </w:p>
    <w:p>
      <w:pPr>
        <w:spacing w:after="0" w:line="122" w:lineRule="exact"/>
        <w:rPr>
          <w:rFonts w:ascii="Times New Roman" w:cs="Times New Roman" w:eastAsia="Times New Roman" w:hAnsi="Times New Roman"/>
          <w:sz w:val="14"/>
          <w:szCs w:val="14"/>
          <w:color w:val="auto"/>
        </w:rPr>
      </w:pPr>
    </w:p>
    <w:p>
      <w:pPr>
        <w:ind w:left="460" w:right="40" w:hanging="331"/>
        <w:spacing w:after="0" w:line="271" w:lineRule="auto"/>
        <w:tabs>
          <w:tab w:leader="none" w:pos="4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volumes reported in two streams: oil and natural gas, including both dry and liquids-rich natural gas. Estimated using a conversion ratio of one Bbl of oil per six Mcf of natural gas.</w:t>
      </w:r>
    </w:p>
    <w:p>
      <w:pPr>
        <w:spacing w:after="0" w:line="277"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impact of derivative settlements.</w:t>
      </w:r>
    </w:p>
    <w:p>
      <w:pPr>
        <w:spacing w:after="0" w:line="109"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plant and other midstream services operating expenses, ad valorem taxes and oil and natural gas production taxes.</w:t>
      </w:r>
    </w:p>
    <w:p>
      <w:pPr>
        <w:spacing w:after="0" w:line="127"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Our total oil equivalent production of approximately 48.1 million BOE for the year ended December 31, 2023 increased 25% from our total oil equivalent production of approximately 38.5 million BOE for the year ended December 31, 2022. This increased production was primarily attributable to the Advance Acquisition and to our delineation and development operations in the Delaware Basin throughout 2023, which offset declining production in the Eagle Ford shale. Our average daily oil equivalent production for the year ended December 31, 2023 was 131,813 BOE per day, as compared to</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105,465 BOE per day for the year ended December 31, 2022. Our average daily oil production for the year ended December 31, 2023 was 75,457 Bbl of oil per day, an increase of 26% from 60,119 Bbl of oil per day for the year ended December 31, 2022. Our average daily natural gas production for the year ended December 31, 2023 was 338.1 MMcf of natural gas per day, an increase of 24% from 272.1 MMcf of natural gas per day for the year ended December 31, 2022.</w:t>
      </w:r>
    </w:p>
    <w:p>
      <w:pPr>
        <w:spacing w:after="0" w:line="8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Our total oil equivalent production of approximately 38.5 million BOE for the year ended December 31, 2022 increased 22% from our total oil equivalent production of approximately 31.5 million BOE for the year ended December 31, 2021. This increased production was primarily due to our delineation and development operations in the Delaware Basin throughout 2022, which offset declining production in the Eagle Ford shale. Our average daily oil equivalent production for the year ended December 31, 2022 was 105,465 BOE per day, as compared to 86,176 BOE per day for the year ended December 31, 2021. Our average daily oil production for the year ended December 31, 2022 was 60,119 Bbl of oil per day, an increase of 23% from 48,876 Bbl of oil per day for the year ended December 31, 2021. Our average daily natural gas production for the year ended December 31, 2022 was 272.1 MMcf of natural gas per day, an increase of 22% from 223.8 MMcf of natural gas per day for the year ended December 31, 2021.</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Producing Wells</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relating to producing wells at December 31, 2023. Wells are classified as oil wells or natural gas wells according to their predominant production stream. We had an approximate average working interest of 84% in all wells that we operated at December 31, 2023. For wells where we are not the operator, our working interests range from less than 1% to approximately 52% and average approximately 10%. In the table below, gross wells are the total number of producing wells in which we own a working interest and net wells represent the total of our fractional working interests owned in the gross wells.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Oil Wells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Natural Gas Wells</w:t>
            </w:r>
          </w:p>
        </w:tc>
        <w:tc>
          <w:tcPr>
            <w:tcW w:w="156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 Wells</w:t>
            </w:r>
          </w:p>
        </w:tc>
      </w:tr>
      <w:tr>
        <w:trPr>
          <w:trHeight w:val="23"/>
        </w:trPr>
        <w:tc>
          <w:tcPr>
            <w:tcW w:w="62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6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r>
      <w:tr>
        <w:trPr>
          <w:trHeight w:val="190"/>
        </w:trPr>
        <w:tc>
          <w:tcPr>
            <w:tcW w:w="6280" w:type="dxa"/>
            <w:vAlign w:val="bottom"/>
          </w:tcPr>
          <w:p>
            <w:pPr>
              <w:spacing w:after="0"/>
              <w:rPr>
                <w:sz w:val="16"/>
                <w:szCs w:val="16"/>
                <w:color w:val="auto"/>
              </w:rPr>
            </w:pPr>
          </w:p>
        </w:tc>
        <w:tc>
          <w:tcPr>
            <w:tcW w:w="10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 New Mexico/West Texas:</w:t>
            </w: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r>
      <w:tr>
        <w:trPr>
          <w:trHeight w:val="203"/>
        </w:trPr>
        <w:tc>
          <w:tcPr>
            <w:tcW w:w="6280" w:type="dxa"/>
            <w:vAlign w:val="bottom"/>
          </w:tcPr>
          <w:p>
            <w:pPr>
              <w:ind w:left="480"/>
              <w:spacing w:after="0" w:line="202" w:lineRule="exact"/>
              <w:rPr>
                <w:sz w:val="20"/>
                <w:szCs w:val="20"/>
                <w:color w:val="auto"/>
              </w:rPr>
            </w:pPr>
            <w:r>
              <w:rPr>
                <w:rFonts w:ascii="Times New Roman" w:cs="Times New Roman" w:eastAsia="Times New Roman" w:hAnsi="Times New Roman"/>
                <w:sz w:val="14"/>
                <w:szCs w:val="14"/>
                <w:color w:val="auto"/>
              </w:rPr>
              <w:t>Delaware Basin</w:t>
            </w:r>
            <w:r>
              <w:rPr>
                <w:rFonts w:ascii="Times New Roman" w:cs="Times New Roman" w:eastAsia="Times New Roman" w:hAnsi="Times New Roman"/>
                <w:sz w:val="18"/>
                <w:szCs w:val="18"/>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666.8</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756.2</w:t>
            </w:r>
          </w:p>
        </w:tc>
      </w:tr>
      <w:tr>
        <w:trPr>
          <w:trHeight w:val="20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ind w:left="480"/>
              <w:spacing w:after="0" w:line="202" w:lineRule="exact"/>
              <w:rPr>
                <w:sz w:val="20"/>
                <w:szCs w:val="20"/>
                <w:color w:val="auto"/>
              </w:rPr>
            </w:pPr>
            <w:r>
              <w:rPr>
                <w:rFonts w:ascii="Times New Roman" w:cs="Times New Roman" w:eastAsia="Times New Roman" w:hAnsi="Times New Roman"/>
                <w:sz w:val="14"/>
                <w:szCs w:val="14"/>
                <w:color w:val="auto"/>
              </w:rPr>
              <w:t>Eagle Ford</w:t>
            </w:r>
            <w:r>
              <w:rPr>
                <w:rFonts w:ascii="Times New Roman" w:cs="Times New Roman" w:eastAsia="Times New Roman" w:hAnsi="Times New Roman"/>
                <w:sz w:val="18"/>
                <w:szCs w:val="18"/>
                <w:color w:val="auto"/>
                <w:vertAlign w:val="superscript"/>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r>
      <w:tr>
        <w:trPr>
          <w:trHeight w:val="20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5"/>
        </w:trPr>
        <w:tc>
          <w:tcPr>
            <w:tcW w:w="6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Haynesville</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10"/>
        </w:trPr>
        <w:tc>
          <w:tcPr>
            <w:tcW w:w="6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Cotton Valley</w:t>
            </w:r>
            <w:r>
              <w:rPr>
                <w:rFonts w:ascii="Times New Roman" w:cs="Times New Roman" w:eastAsia="Times New Roman" w:hAnsi="Times New Roman"/>
                <w:sz w:val="18"/>
                <w:szCs w:val="18"/>
                <w:color w:val="auto"/>
                <w:vertAlign w:val="superscript"/>
              </w:rPr>
              <w:t>(3)</w:t>
            </w:r>
          </w:p>
        </w:tc>
        <w:tc>
          <w:tcPr>
            <w:tcW w:w="1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9"/>
        </w:trPr>
        <w:tc>
          <w:tcPr>
            <w:tcW w:w="6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Area 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2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r>
      <w:tr>
        <w:trPr>
          <w:trHeight w:val="228"/>
        </w:trPr>
        <w:tc>
          <w:tcPr>
            <w:tcW w:w="62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738.9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9" w:lineRule="exact"/>
        <w:rPr>
          <w:sz w:val="20"/>
          <w:szCs w:val="20"/>
          <w:color w:val="auto"/>
        </w:rPr>
      </w:pPr>
    </w:p>
    <w:p>
      <w:pPr>
        <w:ind w:left="440" w:hanging="311"/>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223 gross (89.9 net) vertical wells that were primarily acquired in multiple transactions.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well producing oil from the Austin Chalk formation in La Salle County, Texas.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Proved Reserves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following table sets forth our estimated proved oil and natural gas reserves at December 31, 2023, 2022 and 2021. Our production and proved reserves are reported in two streams: oil and natural gas, including both dry and liquids-rich natural gas. Where we produce liquids-rich natural gas, such as in the Delaware Basin and the Eagle Ford shale,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SEC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At December 31,</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b w:val="1"/>
                <w:bCs w:val="1"/>
                <w:color w:val="auto"/>
              </w:rPr>
              <w:t>Estimated Proved Reserves Data:</w:t>
            </w:r>
            <w:r>
              <w:rPr>
                <w:rFonts w:ascii="Times New Roman" w:cs="Times New Roman" w:eastAsia="Times New Roman" w:hAnsi="Times New Roman"/>
                <w:sz w:val="18"/>
                <w:szCs w:val="18"/>
                <w:b w:val="1"/>
                <w:bCs w:val="1"/>
                <w:color w:val="auto"/>
                <w:vertAlign w:val="superscript"/>
              </w:rPr>
              <w:t>(2)</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proved reserves: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Oil (MBbl)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272,277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196,289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181,306</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Natural Gas (Bcf)</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1,126.8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962.6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852.5</w:t>
            </w:r>
          </w:p>
        </w:tc>
        <w:tc>
          <w:tcPr>
            <w:tcW w:w="0" w:type="dxa"/>
            <w:vAlign w:val="bottom"/>
          </w:tcPr>
          <w:p>
            <w:pPr>
              <w:spacing w:after="0"/>
              <w:rPr>
                <w:sz w:val="1"/>
                <w:szCs w:val="1"/>
                <w:color w:val="auto"/>
              </w:rPr>
            </w:pPr>
          </w:p>
        </w:tc>
      </w:tr>
      <w:tr>
        <w:trPr>
          <w:trHeight w:val="228"/>
        </w:trPr>
        <w:tc>
          <w:tcPr>
            <w:tcW w:w="7780" w:type="dxa"/>
            <w:vAlign w:val="bottom"/>
            <w:tcBorders>
              <w:bottom w:val="single" w:sz="8" w:color="CCEEFF"/>
            </w:tcBorders>
            <w:shd w:val="clear" w:color="auto" w:fill="CCEEFF"/>
          </w:tcPr>
          <w:p>
            <w:pPr>
              <w:ind w:left="1120"/>
              <w:spacing w:after="0" w:line="202" w:lineRule="exact"/>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460,070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356,722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323,397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Estimated proved developed reserves: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Oil (MBbl)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161,642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116,030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102,233</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Natural Gas (Bcf)</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782.7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632.9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546.2</w:t>
            </w:r>
          </w:p>
        </w:tc>
        <w:tc>
          <w:tcPr>
            <w:tcW w:w="0" w:type="dxa"/>
            <w:vAlign w:val="bottom"/>
          </w:tcPr>
          <w:p>
            <w:pPr>
              <w:spacing w:after="0"/>
              <w:rPr>
                <w:sz w:val="1"/>
                <w:szCs w:val="1"/>
                <w:color w:val="auto"/>
              </w:rPr>
            </w:pPr>
          </w:p>
        </w:tc>
      </w:tr>
      <w:tr>
        <w:trPr>
          <w:trHeight w:val="228"/>
        </w:trPr>
        <w:tc>
          <w:tcPr>
            <w:tcW w:w="7780" w:type="dxa"/>
            <w:vAlign w:val="bottom"/>
            <w:tcBorders>
              <w:bottom w:val="single" w:sz="8" w:color="CCEEFF"/>
            </w:tcBorders>
            <w:shd w:val="clear" w:color="auto" w:fill="CCEEFF"/>
          </w:tcPr>
          <w:p>
            <w:pPr>
              <w:ind w:left="1120"/>
              <w:spacing w:after="0" w:line="202" w:lineRule="exact"/>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292,097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221,507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193,262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120"/>
              <w:spacing w:after="0"/>
              <w:rPr>
                <w:sz w:val="20"/>
                <w:szCs w:val="20"/>
                <w:color w:val="auto"/>
              </w:rPr>
            </w:pPr>
            <w:r>
              <w:rPr>
                <w:rFonts w:ascii="Times New Roman" w:cs="Times New Roman" w:eastAsia="Times New Roman" w:hAnsi="Times New Roman"/>
                <w:sz w:val="14"/>
                <w:szCs w:val="14"/>
                <w:color w:val="auto"/>
              </w:rPr>
              <w:t>Percent developed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59.8 %</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proved undeveloped reserves: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Oil (MBbl)</w:t>
            </w:r>
          </w:p>
        </w:tc>
        <w:tc>
          <w:tcPr>
            <w:tcW w:w="2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110,635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80,259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79,073</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Natural gas (Bcf)</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344.0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329.7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306.4</w:t>
            </w:r>
          </w:p>
        </w:tc>
        <w:tc>
          <w:tcPr>
            <w:tcW w:w="0" w:type="dxa"/>
            <w:vAlign w:val="bottom"/>
          </w:tcPr>
          <w:p>
            <w:pPr>
              <w:spacing w:after="0"/>
              <w:rPr>
                <w:sz w:val="1"/>
                <w:szCs w:val="1"/>
                <w:color w:val="auto"/>
              </w:rPr>
            </w:pPr>
          </w:p>
        </w:tc>
      </w:tr>
      <w:tr>
        <w:trPr>
          <w:trHeight w:val="203"/>
        </w:trPr>
        <w:tc>
          <w:tcPr>
            <w:tcW w:w="7780" w:type="dxa"/>
            <w:vAlign w:val="bottom"/>
          </w:tcPr>
          <w:p>
            <w:pPr>
              <w:ind w:left="1120"/>
              <w:spacing w:after="0" w:line="202" w:lineRule="exact"/>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167,973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135,215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130,135</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Standardized Measure</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(in millions)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6,113.5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6,983.2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4,375.4</w:t>
            </w:r>
          </w:p>
        </w:tc>
        <w:tc>
          <w:tcPr>
            <w:tcW w:w="0" w:type="dxa"/>
            <w:vAlign w:val="bottom"/>
          </w:tcPr>
          <w:p>
            <w:pPr>
              <w:spacing w:after="0"/>
              <w:rPr>
                <w:sz w:val="1"/>
                <w:szCs w:val="1"/>
                <w:color w:val="auto"/>
              </w:rPr>
            </w:pPr>
          </w:p>
        </w:tc>
      </w:tr>
      <w:tr>
        <w:trPr>
          <w:trHeight w:val="24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PV-10</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(in millions)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7,704.1</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9,132.2</w:t>
            </w:r>
          </w:p>
        </w:tc>
        <w:tc>
          <w:tcPr>
            <w:tcW w:w="100" w:type="dxa"/>
            <w:vAlign w:val="bottom"/>
          </w:tcPr>
          <w:p>
            <w:pPr>
              <w:spacing w:after="0"/>
              <w:rPr>
                <w:sz w:val="21"/>
                <w:szCs w:val="21"/>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5,347.6</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Numbers in table may not total due to rounding.</w:t>
      </w:r>
    </w:p>
    <w:p>
      <w:pPr>
        <w:spacing w:after="0" w:line="109" w:lineRule="exact"/>
        <w:rPr>
          <w:rFonts w:ascii="Times New Roman" w:cs="Times New Roman" w:eastAsia="Times New Roman" w:hAnsi="Times New Roman"/>
          <w:sz w:val="14"/>
          <w:szCs w:val="14"/>
          <w:color w:val="auto"/>
        </w:rPr>
      </w:pPr>
    </w:p>
    <w:p>
      <w:pPr>
        <w:ind w:left="460" w:right="20" w:hanging="331"/>
        <w:spacing w:after="0" w:line="271" w:lineRule="auto"/>
        <w:tabs>
          <w:tab w:leader="none" w:pos="4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12 months ended December 31, 2023 were $74.70 per Bbl for oil and $2.64 per MMBtu for natural gas, for the 12 months ended December 31, 2022 were $90.15 per Bbl for oil and $6.36 per MMBtu for natural gas and for the 12 months ended December 31, 2021 were $63.04 per Bbl for oil and $3.60 per MMBtu for natural gas. These prices were adjusted by property for quality, energy content, regional price differentials, transportation fees, marketing deductions and other factors affecting the price received at the wellhead.</w:t>
      </w:r>
    </w:p>
    <w:p>
      <w:pPr>
        <w:spacing w:after="0" w:line="63"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using a conversion ratio of one Bbl of oil per six Mcf of natural gas.</w:t>
      </w:r>
    </w:p>
    <w:p>
      <w:pPr>
        <w:spacing w:after="0" w:line="122" w:lineRule="exact"/>
        <w:rPr>
          <w:rFonts w:ascii="Times New Roman" w:cs="Times New Roman" w:eastAsia="Times New Roman" w:hAnsi="Times New Roman"/>
          <w:sz w:val="14"/>
          <w:szCs w:val="14"/>
          <w:color w:val="auto"/>
        </w:rPr>
      </w:pPr>
    </w:p>
    <w:p>
      <w:pPr>
        <w:ind w:left="460" w:right="40" w:hanging="331"/>
        <w:spacing w:after="0" w:line="302" w:lineRule="auto"/>
        <w:tabs>
          <w:tab w:leader="none" w:pos="4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Standardized Measure represents the present value of estimated future net cash flows from proved reserves, less estimated future development, production, plugging and abandonment and income tax expenses, discounted at 10% to reflect the timing of future cash flows. Standardized Measure is not an estimate of the fair market value of our properties.</w:t>
      </w:r>
    </w:p>
    <w:p>
      <w:pPr>
        <w:spacing w:after="0" w:line="53" w:lineRule="exact"/>
        <w:rPr>
          <w:rFonts w:ascii="Times New Roman" w:cs="Times New Roman" w:eastAsia="Times New Roman" w:hAnsi="Times New Roman"/>
          <w:sz w:val="14"/>
          <w:szCs w:val="14"/>
          <w:color w:val="auto"/>
        </w:rPr>
      </w:pPr>
    </w:p>
    <w:p>
      <w:pPr>
        <w:ind w:left="460" w:right="40" w:hanging="331"/>
        <w:spacing w:after="0" w:line="265" w:lineRule="auto"/>
        <w:tabs>
          <w:tab w:leader="none" w:pos="4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2023, 2022 and 2021 may be reconciled to our Standardized Measure of discounted future net cash flows at such dates by adding the discounted future income taxes associated with such reserves to the Standardized Measure. The discounted future income taxes at December 31, 2023, 2022 and 2021 were $1.59 billion, $2.15 billion and $972.2 million, respectively.</w:t>
      </w:r>
    </w:p>
    <w:p>
      <w:pPr>
        <w:spacing w:after="0" w:line="85"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Our estimated total proved oil and natural gas reserves increased 29% from 356.7 million BOE at December 31, 2022 to 460.1 million BOE at December 31, 2023. This increase in proved oil and natural gas reserves was primarily attributable to the Advance Acquisition and our delineation and development operations in the Delaware Basin during 2023. We increased our total proved oil and natural gas reserves by 109.1 million BOE as a result of acquisitions and trades during 2023. We also added 88.3 million BOE in proved oil and natural gas reserves through extensions and discoveries during 2023, of which 27.6 million BOE resulted from new well locations turned to sales during 2023 to establish proved developed reserves and 60.7 million BOE resulted primarily from new proved undeveloped locations identified as a result of drilling activities on our existing acreage in the Delaware Basin during 2023. These increases were partially offset by the removal of 17.4 million BOE resulting from the 17% decrease in oil prices and the 58% decrease in natural gas prices used to estimate total proved reserves at December 31, 2023, as compared to December 31, 2022, and the removal of 31.5 million BOE in proved undeveloped reserves that were not developed or were no longer expected to be developed within five years of their initial booking resulting primarily from changes in development plans for certain of our properties in the Delaware Basin. As we continue to develop our Delaware Basin assets, we may reclassify some or all of this 31.5 million BOE to proved reserves at a future date.</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proved oil reserves grew 39% from approximately 196.3 million Bbl at December 31, 2022 to approximately 272.3 million Bbl at December 31,</w:t>
      </w:r>
    </w:p>
    <w:p>
      <w:pPr>
        <w:spacing w:after="0" w:line="2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2023. Our proved natural gas reserves increased 17% from 962.6 Bcf at December 31, 2022 to 1.13 Tcf at December 31, 2023. Our proved reserves to production ratio at December 31, 2023 was 9.6, an increase of 3% from 9.3 at December 31, 2022.</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Standardized Measure of our total proved oil and natural gas reserves decreased 12% from $6.98 billion at December 31, 2022 to $6.11 billion at December 31, 2023. The PV-10 of our total proved oil and natural gas reserves decreased 16% from $9.13 billion at December 31, 2022 to $7.70 billion at December 31, 2023. The decreases in our Standardized Measure and PV-10 are primarily a result of the lower unweighted arithmetic average oil and natural gas prices used to estimate proved reserves at December 31, 2023, as compared to December 31, 2022, partially offset by the 29% increase in our total proved oil and natural gas reserves at December 31, 2023, as compared to December 31, 2022. The unweighted arithmetic averages of first-day-of-the-month oil and natural gas prices used to estimate proved reserves at December 31, 2023 were $74.70 per Bbl and $2.64 per MMBtu, a decrease of 17% and 58%, respectively, as compared to average oil and natural gas prices of $90.15 per Bbl and $6.36 per MMBtu used to estimate proved reserves at December 31, 2022. Our total proved reserves were made up of 59% oil and 41% natural gas at December 31, 2023 and 55% oil and 45% natural gas at December 31, 2022. PV-10 is a non-GAAP financial measure. For a reconciliation of PV-10 to Standardized Measure, see the preceding table.</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changes in our estimated proved developed reserves at December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Proved</w:t>
            </w:r>
          </w:p>
        </w:tc>
      </w:tr>
      <w:tr>
        <w:trPr>
          <w:trHeight w:val="146"/>
        </w:trPr>
        <w:tc>
          <w:tcPr>
            <w:tcW w:w="1006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Developed</w:t>
            </w:r>
          </w:p>
        </w:tc>
      </w:tr>
      <w:tr>
        <w:trPr>
          <w:trHeight w:val="196"/>
        </w:trPr>
        <w:tc>
          <w:tcPr>
            <w:tcW w:w="1006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r>
      <w:tr>
        <w:trPr>
          <w:trHeight w:val="202"/>
        </w:trPr>
        <w:tc>
          <w:tcPr>
            <w:tcW w:w="1006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(MBOE)</w:t>
            </w:r>
            <w:r>
              <w:rPr>
                <w:rFonts w:ascii="Times New Roman" w:cs="Times New Roman" w:eastAsia="Times New Roman" w:hAnsi="Times New Roman"/>
                <w:sz w:val="18"/>
                <w:szCs w:val="18"/>
                <w:b w:val="1"/>
                <w:bCs w:val="1"/>
                <w:color w:val="auto"/>
                <w:w w:val="96"/>
                <w:vertAlign w:val="superscript"/>
              </w:rPr>
              <w:t>(1)</w:t>
            </w:r>
          </w:p>
        </w:tc>
      </w:tr>
      <w:tr>
        <w:trPr>
          <w:trHeight w:val="203"/>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221,507</w:t>
            </w:r>
          </w:p>
        </w:tc>
      </w:tr>
      <w:tr>
        <w:trPr>
          <w:trHeight w:val="195"/>
        </w:trPr>
        <w:tc>
          <w:tcPr>
            <w:tcW w:w="10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27,615</w:t>
            </w:r>
          </w:p>
        </w:tc>
      </w:tr>
      <w:tr>
        <w:trPr>
          <w:trHeight w:val="210"/>
        </w:trPr>
        <w:tc>
          <w:tcPr>
            <w:tcW w:w="10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acquisitions of minerals-in-place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70,230</w:t>
            </w:r>
          </w:p>
        </w:tc>
      </w:tr>
      <w:tr>
        <w:trPr>
          <w:trHeight w:val="195"/>
        </w:trPr>
        <w:tc>
          <w:tcPr>
            <w:tcW w:w="10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Revisions of prior estimates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(14,071)</w:t>
            </w:r>
          </w:p>
        </w:tc>
      </w:tr>
      <w:tr>
        <w:trPr>
          <w:trHeight w:val="210"/>
        </w:trPr>
        <w:tc>
          <w:tcPr>
            <w:tcW w:w="10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Production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(48,112)</w:t>
            </w:r>
          </w:p>
        </w:tc>
      </w:tr>
      <w:tr>
        <w:trPr>
          <w:trHeight w:val="196"/>
        </w:trPr>
        <w:tc>
          <w:tcPr>
            <w:tcW w:w="10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Conversion of proved undeveloped to proved developed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34,928</w:t>
            </w:r>
          </w:p>
        </w:tc>
      </w:tr>
      <w:tr>
        <w:trPr>
          <w:trHeight w:val="228"/>
        </w:trPr>
        <w:tc>
          <w:tcPr>
            <w:tcW w:w="10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292,097</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9"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4"/>
          <w:szCs w:val="14"/>
          <w:color w:val="auto"/>
        </w:rPr>
        <w:t>(1)</w:t>
        <w:tab/>
        <w:t>Estimated using a conversion ratio of one Bbl of oil per six Mcf of natural gas.</w:t>
      </w:r>
    </w:p>
    <w:p>
      <w:pPr>
        <w:spacing w:after="0" w:line="37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proved developed oil and natural gas reserves increased 32% from 221.5 million BOE at December 31, 2022 to 292.1 million BOE at December 31, 2023. We added 27.6 million BOE in proved developed reserves through extensions and discoveries during 2023, which resulted from new well locations drilled during 2023 to establish proved reserves. In addition, during 2023, we converted 34.9 million BOE of our proved undeveloped reserves to proved developed reserves primarily through our development activities in the Delaware Basin. We also increased our proved developed reserves by 70.2 million BOE at December 31, 2023 as a result of property acquisitions, including the Advance Acquisition, and trades completed during 2023. Additionally, we realized approximately 14.1 million BOE in net downward revisions of prior estimates, most of which were attributable to the lower commodity prices used to estimate proved reserves at December 31, 2023, which resulted in shorter estimated economic lives for certain of our producing properties. These cumulative net increases of 118.7 million BOE to our proved developed reserves exceeded by 2.5 times our total oil and natural gas production of 48.1 million BOE in 2023.</w:t>
      </w:r>
    </w:p>
    <w:p>
      <w:pPr>
        <w:spacing w:after="0" w:line="8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Our proved developed oil reserves increased 39% from 116.0 million Bbl at December 31, 2022 to 161.6 million Bbl at December 31, 2023. Our proved developed natural gas reserves increased 24% from 632.9 Bcf at December 31, 2022 to 782.7 Bcf at December 31, 2023. Proved developed reserves constituted 63% of our total proved oil and natural gas reserves at December 31, 2023, as compared to 62% at December 31, 2022.</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changes in our estimated proved undeveloped reserves at December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Proved</w:t>
            </w:r>
          </w:p>
        </w:tc>
      </w:tr>
      <w:tr>
        <w:trPr>
          <w:trHeight w:val="148"/>
        </w:trPr>
        <w:tc>
          <w:tcPr>
            <w:tcW w:w="10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Undeveloped</w:t>
            </w:r>
          </w:p>
        </w:tc>
      </w:tr>
      <w:tr>
        <w:trPr>
          <w:trHeight w:val="195"/>
        </w:trPr>
        <w:tc>
          <w:tcPr>
            <w:tcW w:w="100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r>
      <w:tr>
        <w:trPr>
          <w:trHeight w:val="195"/>
        </w:trPr>
        <w:tc>
          <w:tcPr>
            <w:tcW w:w="100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(MBOE)</w:t>
            </w:r>
            <w:r>
              <w:rPr>
                <w:rFonts w:ascii="Times New Roman" w:cs="Times New Roman" w:eastAsia="Times New Roman" w:hAnsi="Times New Roman"/>
                <w:sz w:val="9"/>
                <w:szCs w:val="9"/>
                <w:b w:val="1"/>
                <w:bCs w:val="1"/>
                <w:color w:val="auto"/>
              </w:rPr>
              <w:t>(1)</w:t>
            </w:r>
          </w:p>
        </w:tc>
      </w:tr>
      <w:tr>
        <w:trPr>
          <w:trHeight w:val="209"/>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135,215</w:t>
            </w:r>
          </w:p>
        </w:tc>
      </w:tr>
      <w:tr>
        <w:trPr>
          <w:trHeight w:val="195"/>
        </w:trPr>
        <w:tc>
          <w:tcPr>
            <w:tcW w:w="10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60,724</w:t>
            </w:r>
          </w:p>
        </w:tc>
      </w:tr>
      <w:tr>
        <w:trPr>
          <w:trHeight w:val="210"/>
        </w:trPr>
        <w:tc>
          <w:tcPr>
            <w:tcW w:w="10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acquisitions of minerals-in-place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38,872</w:t>
            </w:r>
          </w:p>
        </w:tc>
      </w:tr>
      <w:tr>
        <w:trPr>
          <w:trHeight w:val="195"/>
        </w:trPr>
        <w:tc>
          <w:tcPr>
            <w:tcW w:w="10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Revisions of prior estimates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(31,910)</w:t>
            </w:r>
          </w:p>
        </w:tc>
      </w:tr>
      <w:tr>
        <w:trPr>
          <w:trHeight w:val="203"/>
        </w:trPr>
        <w:tc>
          <w:tcPr>
            <w:tcW w:w="10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Conversion of proved undeveloped to proved developed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(34,928)</w:t>
            </w:r>
          </w:p>
        </w:tc>
      </w:tr>
      <w:tr>
        <w:trPr>
          <w:trHeight w:val="203"/>
        </w:trPr>
        <w:tc>
          <w:tcPr>
            <w:tcW w:w="10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167,973</w:t>
            </w:r>
          </w:p>
        </w:tc>
      </w:tr>
      <w:tr>
        <w:trPr>
          <w:trHeight w:val="20"/>
        </w:trPr>
        <w:tc>
          <w:tcPr>
            <w:tcW w:w="10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4"/>
          <w:szCs w:val="14"/>
          <w:color w:val="auto"/>
        </w:rPr>
        <w:t>(1)</w:t>
        <w:tab/>
        <w:t>Estimated using a conversion ratio of one Bbl of oil per six Mcf of natural gas.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proved undeveloped oil and natural gas reserves increased 24% from 135.2 million BOE at December 31, 2022 to 168.0 million at December 31, 2023. We added 60.7 million BOE in proved undeveloped reserves through extensions and discoveries during 2023, which resulted primarily from new proved undeveloped locations identified as a result of drilling activities on our existing acreage in the Delaware Basin during 2023. In addition, we increased our proved undeveloped reserves by 38.9 million BOE at December 31, 2023 as a result of property acquisitions, including the Advance Acquisition, and trades completed during 2023. These increases were partially offset by approximately 31.9 million BOE in net downward revisions of prior estimates of proved undeveloped reserves, most of which were attributable to proved undeveloped reserves that were not developed or were no longer expected to be developed within five years of their initial booking resulting from changes in development plans for certain of the properties in the Delaware Basin. During 2023, we also converted 34.9 million BOE of our proved undeveloped reserves to proved developed reserves primarily through our development activities in the Delaware Basin.</w:t>
      </w:r>
    </w:p>
    <w:p>
      <w:pPr>
        <w:spacing w:after="0" w:line="80"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2023, we had no proved undeveloped reserves in our estimates that remained undeveloped for five years or more following their initial booking, and we currently have plans to use anticipated capital resources to develop the proved undeveloped reserves remaining as of December 31, 2023 within five years of booking these reserves. The following table sets forth, since 2020, proved undeveloped reserves converted to proved developed reserves during each year and the investments associated with these conversions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31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31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Proved Developed Reserves</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in Conversion</w:t>
            </w:r>
          </w:p>
        </w:tc>
        <w:tc>
          <w:tcPr>
            <w:tcW w:w="0" w:type="dxa"/>
            <w:vAlign w:val="bottom"/>
          </w:tcPr>
          <w:p>
            <w:pPr>
              <w:spacing w:after="0"/>
              <w:rPr>
                <w:sz w:val="1"/>
                <w:szCs w:val="1"/>
                <w:color w:val="auto"/>
              </w:rPr>
            </w:pPr>
          </w:p>
        </w:tc>
      </w:tr>
      <w:tr>
        <w:trPr>
          <w:trHeight w:val="83"/>
        </w:trPr>
        <w:tc>
          <w:tcPr>
            <w:tcW w:w="64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6420" w:type="dxa"/>
            <w:vAlign w:val="bottom"/>
          </w:tcPr>
          <w:p>
            <w:pPr>
              <w:spacing w:after="0"/>
              <w:rPr>
                <w:sz w:val="12"/>
                <w:szCs w:val="12"/>
                <w:color w:val="auto"/>
              </w:rPr>
            </w:pPr>
          </w:p>
        </w:tc>
        <w:tc>
          <w:tcPr>
            <w:tcW w:w="10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Oil</w:t>
            </w: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54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of Proved Undeveloped</w:t>
            </w:r>
          </w:p>
        </w:tc>
        <w:tc>
          <w:tcPr>
            <w:tcW w:w="0" w:type="dxa"/>
            <w:vAlign w:val="bottom"/>
          </w:tcPr>
          <w:p>
            <w:pPr>
              <w:spacing w:after="0"/>
              <w:rPr>
                <w:sz w:val="1"/>
                <w:szCs w:val="1"/>
                <w:color w:val="auto"/>
              </w:rPr>
            </w:pPr>
          </w:p>
        </w:tc>
      </w:tr>
      <w:tr>
        <w:trPr>
          <w:trHeight w:val="112"/>
        </w:trPr>
        <w:tc>
          <w:tcPr>
            <w:tcW w:w="64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vMerge w:val="restart"/>
          </w:tcPr>
          <w:p>
            <w:pPr>
              <w:jc w:val="center"/>
              <w:ind w:right="29"/>
              <w:spacing w:after="0" w:line="115" w:lineRule="exact"/>
              <w:rPr>
                <w:sz w:val="20"/>
                <w:szCs w:val="20"/>
                <w:color w:val="auto"/>
              </w:rPr>
            </w:pPr>
            <w:r>
              <w:rPr>
                <w:rFonts w:ascii="Times New Roman" w:cs="Times New Roman" w:eastAsia="Times New Roman" w:hAnsi="Times New Roman"/>
                <w:sz w:val="13"/>
                <w:szCs w:val="13"/>
                <w:b w:val="1"/>
                <w:bCs w:val="1"/>
                <w:color w:val="auto"/>
              </w:rPr>
              <w:t>Reserves to Proved</w:t>
            </w: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(MBbl)</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(Bcf)</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08"/>
              <w:spacing w:after="0" w:line="196" w:lineRule="exact"/>
              <w:rPr>
                <w:sz w:val="20"/>
                <w:szCs w:val="20"/>
                <w:color w:val="auto"/>
              </w:rPr>
            </w:pPr>
            <w:r>
              <w:rPr>
                <w:rFonts w:ascii="Times New Roman" w:cs="Times New Roman" w:eastAsia="Times New Roman" w:hAnsi="Times New Roman"/>
                <w:sz w:val="14"/>
                <w:szCs w:val="14"/>
                <w:b w:val="1"/>
                <w:bCs w:val="1"/>
                <w:color w:val="auto"/>
              </w:rPr>
              <w:t>(MBOE)</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Developed Reserves</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jc w:val="right"/>
              <w:ind w:right="6028"/>
              <w:spacing w:after="0"/>
              <w:rPr>
                <w:sz w:val="20"/>
                <w:szCs w:val="20"/>
                <w:color w:val="auto"/>
              </w:rPr>
            </w:pPr>
            <w:r>
              <w:rPr>
                <w:rFonts w:ascii="Times New Roman" w:cs="Times New Roman" w:eastAsia="Times New Roman" w:hAnsi="Times New Roman"/>
                <w:sz w:val="14"/>
                <w:szCs w:val="14"/>
                <w:color w:val="auto"/>
              </w:rPr>
              <w:t>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257,590</w:t>
            </w:r>
          </w:p>
        </w:tc>
        <w:tc>
          <w:tcPr>
            <w:tcW w:w="0" w:type="dxa"/>
            <w:vAlign w:val="bottom"/>
          </w:tcPr>
          <w:p>
            <w:pPr>
              <w:spacing w:after="0"/>
              <w:rPr>
                <w:sz w:val="1"/>
                <w:szCs w:val="1"/>
                <w:color w:val="auto"/>
              </w:rPr>
            </w:pPr>
          </w:p>
        </w:tc>
      </w:tr>
      <w:tr>
        <w:trPr>
          <w:trHeight w:val="195"/>
        </w:trPr>
        <w:tc>
          <w:tcPr>
            <w:tcW w:w="6420" w:type="dxa"/>
            <w:vAlign w:val="bottom"/>
          </w:tcPr>
          <w:p>
            <w:pPr>
              <w:jc w:val="right"/>
              <w:ind w:right="6028"/>
              <w:spacing w:after="0"/>
              <w:rPr>
                <w:sz w:val="20"/>
                <w:szCs w:val="20"/>
                <w:color w:val="auto"/>
              </w:rPr>
            </w:pPr>
            <w:r>
              <w:rPr>
                <w:rFonts w:ascii="Times New Roman" w:cs="Times New Roman" w:eastAsia="Times New Roman" w:hAnsi="Times New Roman"/>
                <w:sz w:val="14"/>
                <w:szCs w:val="14"/>
                <w:color w:val="auto"/>
              </w:rPr>
              <w:t>2021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240,664</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jc w:val="right"/>
              <w:ind w:right="6028"/>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434,336</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jc w:val="right"/>
              <w:ind w:right="6028"/>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34,928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441,671</w:t>
            </w:r>
          </w:p>
        </w:tc>
        <w:tc>
          <w:tcPr>
            <w:tcW w:w="0" w:type="dxa"/>
            <w:vAlign w:val="bottom"/>
          </w:tcPr>
          <w:p>
            <w:pPr>
              <w:spacing w:after="0"/>
              <w:rPr>
                <w:sz w:val="1"/>
                <w:szCs w:val="1"/>
                <w:color w:val="auto"/>
              </w:rPr>
            </w:pPr>
          </w:p>
        </w:tc>
      </w:tr>
      <w:tr>
        <w:trPr>
          <w:trHeight w:val="228"/>
        </w:trPr>
        <w:tc>
          <w:tcPr>
            <w:tcW w:w="6420" w:type="dxa"/>
            <w:vAlign w:val="bottom"/>
            <w:tcBorders>
              <w:bottom w:val="single" w:sz="8" w:color="CCEEFF"/>
            </w:tcBorders>
            <w:shd w:val="clear" w:color="auto" w:fill="CCEEFF"/>
          </w:tcPr>
          <w:p>
            <w:pPr>
              <w:jc w:val="right"/>
              <w:ind w:right="5828"/>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81,228</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142,346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1,374,261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 Estimated using a conversion ratio of one Bbl of oil per six Mcf of natural gas.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0" w:firstLine="648"/>
        <w:spacing w:after="0" w:line="268" w:lineRule="auto"/>
        <w:rPr>
          <w:sz w:val="20"/>
          <w:szCs w:val="20"/>
          <w:color w:val="auto"/>
        </w:rPr>
      </w:pPr>
      <w:r>
        <w:rPr>
          <w:rFonts w:ascii="Times New Roman" w:cs="Times New Roman" w:eastAsia="Times New Roman" w:hAnsi="Times New Roman"/>
          <w:sz w:val="18"/>
          <w:szCs w:val="18"/>
          <w:color w:val="auto"/>
        </w:rPr>
        <w:t>The following table sets forth additional summary information by operating area with respect to our estimated net proved reserves at December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 Proved Reserves</w:t>
            </w:r>
            <w:r>
              <w:rPr>
                <w:rFonts w:ascii="Times New Roman" w:cs="Times New Roman" w:eastAsia="Times New Roman" w:hAnsi="Times New Roman"/>
                <w:sz w:val="18"/>
                <w:szCs w:val="18"/>
                <w:b w:val="1"/>
                <w:bCs w:val="1"/>
                <w:color w:val="auto"/>
                <w:w w:val="98"/>
                <w:vertAlign w:val="superscript"/>
              </w:rPr>
              <w:t>(1)</w:t>
            </w: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360" w:type="dxa"/>
            <w:vAlign w:val="bottom"/>
          </w:tcPr>
          <w:p>
            <w:pPr>
              <w:spacing w:after="0"/>
              <w:rPr>
                <w:sz w:val="10"/>
                <w:szCs w:val="10"/>
                <w:color w:val="auto"/>
              </w:rPr>
            </w:pPr>
          </w:p>
        </w:tc>
        <w:tc>
          <w:tcPr>
            <w:tcW w:w="128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Oil</w:t>
            </w:r>
          </w:p>
        </w:tc>
        <w:tc>
          <w:tcPr>
            <w:tcW w:w="100" w:type="dxa"/>
            <w:vAlign w:val="bottom"/>
          </w:tcPr>
          <w:p>
            <w:pPr>
              <w:spacing w:after="0"/>
              <w:rPr>
                <w:sz w:val="10"/>
                <w:szCs w:val="10"/>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Oil Equivalent</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Standardized</w:t>
            </w:r>
          </w:p>
        </w:tc>
        <w:tc>
          <w:tcPr>
            <w:tcW w:w="200" w:type="dxa"/>
            <w:vAlign w:val="bottom"/>
          </w:tcPr>
          <w:p>
            <w:pPr>
              <w:spacing w:after="0"/>
              <w:rPr>
                <w:sz w:val="10"/>
                <w:szCs w:val="10"/>
                <w:color w:val="auto"/>
              </w:rPr>
            </w:pPr>
          </w:p>
        </w:tc>
        <w:tc>
          <w:tcPr>
            <w:tcW w:w="11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PV-10</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6"/>
              </w:rPr>
              <w:t>Measure</w:t>
            </w:r>
            <w:r>
              <w:rPr>
                <w:rFonts w:ascii="Times New Roman" w:cs="Times New Roman" w:eastAsia="Times New Roman" w:hAnsi="Times New Roman"/>
                <w:sz w:val="18"/>
                <w:szCs w:val="18"/>
                <w:b w:val="1"/>
                <w:bCs w:val="1"/>
                <w:color w:val="auto"/>
                <w:w w:val="96"/>
                <w:vertAlign w:val="superscript"/>
              </w:rPr>
              <w:t>(2)</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8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(MBbl)</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(Bcf)</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ind w:right="228"/>
              <w:spacing w:after="0" w:line="196" w:lineRule="exact"/>
              <w:rPr>
                <w:sz w:val="20"/>
                <w:szCs w:val="20"/>
                <w:color w:val="auto"/>
              </w:rPr>
            </w:pPr>
            <w:r>
              <w:rPr>
                <w:rFonts w:ascii="Times New Roman" w:cs="Times New Roman" w:eastAsia="Times New Roman" w:hAnsi="Times New Roman"/>
                <w:sz w:val="14"/>
                <w:szCs w:val="14"/>
                <w:b w:val="1"/>
                <w:bCs w:val="1"/>
                <w:color w:val="auto"/>
              </w:rPr>
              <w:t>(MBOE)</w:t>
            </w:r>
            <w:r>
              <w:rPr>
                <w:rFonts w:ascii="Times New Roman" w:cs="Times New Roman" w:eastAsia="Times New Roman" w:hAnsi="Times New Roman"/>
                <w:sz w:val="18"/>
                <w:szCs w:val="18"/>
                <w:b w:val="1"/>
                <w:bCs w:val="1"/>
                <w:color w:val="auto"/>
                <w:vertAlign w:val="superscript"/>
              </w:rPr>
              <w:t>(4)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 New Mexico/West Texas: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Delaware Basin</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1,094.9</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452,616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6,070.5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7,649.9</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Eagle Ford</w:t>
            </w:r>
            <w:r>
              <w:rPr>
                <w:rFonts w:ascii="Times New Roman" w:cs="Times New Roman" w:eastAsia="Times New Roman" w:hAnsi="Times New Roman"/>
                <w:sz w:val="18"/>
                <w:szCs w:val="18"/>
                <w:color w:val="auto"/>
                <w:vertAlign w:val="superscript"/>
              </w:rPr>
              <w:t>(5)</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Haynesville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Cotton Valley</w:t>
            </w:r>
            <w:r>
              <w:rPr>
                <w:rFonts w:ascii="Times New Roman" w:cs="Times New Roman" w:eastAsia="Times New Roman" w:hAnsi="Times New Roman"/>
                <w:sz w:val="18"/>
                <w:szCs w:val="18"/>
                <w:color w:val="auto"/>
                <w:vertAlign w:val="superscript"/>
              </w:rPr>
              <w:t>(6)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Area Total</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272,277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7,704.1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Numbers in table may not total due to rounding.</w:t>
      </w:r>
    </w:p>
    <w:p>
      <w:pPr>
        <w:spacing w:after="0" w:line="109" w:lineRule="exact"/>
        <w:rPr>
          <w:rFonts w:ascii="Times New Roman" w:cs="Times New Roman" w:eastAsia="Times New Roman" w:hAnsi="Times New Roman"/>
          <w:sz w:val="14"/>
          <w:szCs w:val="14"/>
          <w:color w:val="auto"/>
        </w:rPr>
      </w:pPr>
    </w:p>
    <w:p>
      <w:pPr>
        <w:ind w:left="460" w:right="240" w:hanging="331"/>
        <w:spacing w:after="0" w:line="302" w:lineRule="auto"/>
        <w:tabs>
          <w:tab w:leader="none" w:pos="45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w:t>
      </w:r>
    </w:p>
    <w:p>
      <w:pPr>
        <w:spacing w:after="0" w:line="53" w:lineRule="exact"/>
        <w:rPr>
          <w:rFonts w:ascii="Times New Roman" w:cs="Times New Roman" w:eastAsia="Times New Roman" w:hAnsi="Times New Roman"/>
          <w:sz w:val="14"/>
          <w:szCs w:val="14"/>
          <w:color w:val="auto"/>
        </w:rPr>
      </w:pPr>
    </w:p>
    <w:p>
      <w:pPr>
        <w:ind w:left="460" w:hanging="331"/>
        <w:spacing w:after="0" w:line="266" w:lineRule="auto"/>
        <w:tabs>
          <w:tab w:leader="none" w:pos="45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2023 may be reconciled to our Standardized Measure of discounted future net cash flows at such date by adding the discounted future income taxes associated with such reserves to the Standardized Measure. The discounted future income taxes at December 31, 2023 were approximately $1.59 billion.</w:t>
      </w:r>
    </w:p>
    <w:p>
      <w:pPr>
        <w:spacing w:after="0" w:line="79"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using a conversion ratio of one Bbl of oil per six Mcf of natural gas.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well producing oil from the Austin Chalk formation in La Salle County, Texas.</w:t>
      </w:r>
    </w:p>
    <w:p>
      <w:pPr>
        <w:spacing w:after="0" w:line="122"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Cotton Valley formation and shallower zones.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Used to Establish Reserves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term “reasonable certainty” means a high degree of confidence that the quantities of oil and/or natural gas will be recovered. Reasonable certainty can be established using techniques that have been proven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spacing w:after="0" w:line="80"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but are not limited to, electric logs, radioactivity logs, core analyses, geologic maps and available pressure and production data, seismic data and well test data. Reserves for proved developed producing wells were estimated using production performance methods. Certain new producing properties with little production history were forecasted using a combination of production performance and analogy to offset production. Non-producing reserves estimates for both developed and undeveloped properties were forecasted using either analogy and/or volumetric methods.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Reserves Estimation Process</w:t>
      </w:r>
    </w:p>
    <w:p>
      <w:pPr>
        <w:spacing w:after="0" w:line="1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maintain an internal staff of petroleum engineers and geoscience professionals to ensure the integrity, accuracy and timeliness of the data used in our reserves estimation process. Individual asset teams are responsible for the day-to-day management of the oil and natural gas activities for each team’s asset area. These asset teams are staffed with reservoir engineers who prepare reserves estimates at the end of each calendar quarter for the assets they manage. Our Vice President of Reservoir Engineering and the Reserves Team was primarily responsible for overseeing the preparation of our reserves estimates in 2023. He received Bachelor of Science degrees in both Petroleum Engineering and Mechanical Engineering from</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Texas Tech University, is a licensed Professional Engineer in the state of Texas and has over ten years of industry experience. Our Vice President of Reservoir Engineering and the Reserves Team works under the direct supervision of our Executive Vice President of Reservoir Engineering and Senior Asset Manager, who received a Bachelor of Science degree in Petroleum Engineering from Texas A&amp;M University and has over 15 years of industry experience. The Company has established internal controls over its reserves estimation processes and procedures to support the accurate and timely preparation and disclosure of reserves estimates in accordance with SEC and GAAP requirements. These controls include oversight of the reserves estimation processes by our internal reserves group as well as accounting and finance personnel. Following the preparation of our reserves estimates, these estimates are audited for their reasonableness by Netherland, Sewell &amp; Associates, Inc., independent reservoir engineers. Members of our executive committee and members of the Operations and Engineering Committee of our Board of Directors (the “Board”) review the reserves report and our reserves estimation process, and the independent audit of our reserves is reviewed by other members of the Board as well.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Acreage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approximate acreage in which we held a leasehold, mineral or other interest at December 31,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7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Developed Acres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Undeveloped Acres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 Acres</w:t>
            </w:r>
          </w:p>
        </w:tc>
        <w:tc>
          <w:tcPr>
            <w:tcW w:w="780" w:type="dxa"/>
            <w:vAlign w:val="bottom"/>
          </w:tcPr>
          <w:p>
            <w:pPr>
              <w:spacing w:after="0"/>
              <w:rPr>
                <w:sz w:val="16"/>
                <w:szCs w:val="16"/>
                <w:color w:val="auto"/>
              </w:rPr>
            </w:pPr>
          </w:p>
        </w:tc>
      </w:tr>
      <w:tr>
        <w:trPr>
          <w:trHeight w:val="23"/>
        </w:trPr>
        <w:tc>
          <w:tcPr>
            <w:tcW w:w="350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780" w:type="dxa"/>
            <w:vAlign w:val="bottom"/>
          </w:tcPr>
          <w:p>
            <w:pPr>
              <w:spacing w:after="0"/>
              <w:rPr>
                <w:sz w:val="2"/>
                <w:szCs w:val="2"/>
                <w:color w:val="auto"/>
              </w:rPr>
            </w:pPr>
          </w:p>
        </w:tc>
      </w:tr>
      <w:tr>
        <w:trPr>
          <w:trHeight w:val="190"/>
        </w:trPr>
        <w:tc>
          <w:tcPr>
            <w:tcW w:w="3500" w:type="dxa"/>
            <w:vAlign w:val="bottom"/>
          </w:tcPr>
          <w:p>
            <w:pPr>
              <w:spacing w:after="0"/>
              <w:rPr>
                <w:sz w:val="16"/>
                <w:szCs w:val="16"/>
                <w:color w:val="auto"/>
              </w:rPr>
            </w:pPr>
          </w:p>
        </w:tc>
        <w:tc>
          <w:tcPr>
            <w:tcW w:w="1780" w:type="dxa"/>
            <w:vAlign w:val="bottom"/>
            <w:tcBorders>
              <w:top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0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13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8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 New Mexico/West Texas:</w:t>
            </w: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195"/>
        </w:trPr>
        <w:tc>
          <w:tcPr>
            <w:tcW w:w="3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Delaware Basin</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218,900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118,900</w:t>
            </w:r>
          </w:p>
        </w:tc>
        <w:tc>
          <w:tcPr>
            <w:tcW w:w="1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46,700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152,200</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 Texas: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95"/>
        </w:trPr>
        <w:tc>
          <w:tcPr>
            <w:tcW w:w="3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Eagle Ford</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12,100</w:t>
            </w: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12,100</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Northwest Louisiana: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95"/>
        </w:trPr>
        <w:tc>
          <w:tcPr>
            <w:tcW w:w="3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Haynesville</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8,900</w:t>
            </w:r>
          </w:p>
        </w:tc>
      </w:tr>
      <w:tr>
        <w:trPr>
          <w:trHeight w:val="21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Cotton Valley</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w:t>
            </w:r>
          </w:p>
        </w:tc>
      </w:tr>
      <w:tr>
        <w:trPr>
          <w:trHeight w:val="196"/>
        </w:trPr>
        <w:tc>
          <w:tcPr>
            <w:tcW w:w="3500" w:type="dxa"/>
            <w:vAlign w:val="bottom"/>
            <w:tcBorders>
              <w:bottom w:val="single" w:sz="8" w:color="CCEEFF"/>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Area Total</w:t>
            </w:r>
            <w:r>
              <w:rPr>
                <w:rFonts w:ascii="Times New Roman" w:cs="Times New Roman" w:eastAsia="Times New Roman" w:hAnsi="Times New Roman"/>
                <w:sz w:val="18"/>
                <w:szCs w:val="18"/>
                <w:color w:val="auto"/>
                <w:vertAlign w:val="superscript"/>
              </w:rPr>
              <w:t>(1)</w:t>
            </w: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18,500</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17,300</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17,300</w:t>
            </w:r>
          </w:p>
        </w:tc>
      </w:tr>
      <w:tr>
        <w:trPr>
          <w:trHeight w:val="214"/>
        </w:trPr>
        <w:tc>
          <w:tcPr>
            <w:tcW w:w="35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251,800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148,300</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46,700</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33,300</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298,500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300" w:hanging="331"/>
        <w:spacing w:after="0" w:line="282" w:lineRule="auto"/>
        <w:tabs>
          <w:tab w:leader="none" w:pos="45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the same leases cover the gross and net acreage shown for both the Haynesville formation and the shallower Cotton Valley formation. Therefore, the sum of the gross and net acreage for both formations is not equal to the total gross and net acreage for Northwest Louisiana.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Undeveloped Acreage Expiration</w:t>
      </w:r>
    </w:p>
    <w:p>
      <w:pPr>
        <w:spacing w:after="0" w:line="12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approximate number of gross and net undeveloped acres at December 31, 2023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2029 and beyond totals 2,600 net acres, all of which is in the Delaware Basin. All of our leasehold in the Eagle Ford shale in South Texas and in the Haynesville and Cotton Valley plays in Northwest Louisiana was held by existing production at December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11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9"/>
              </w:rPr>
              <w:t>Acres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9"/>
              </w:rPr>
              <w:t>Acres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Acres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620" w:type="dxa"/>
            <w:vAlign w:val="bottom"/>
          </w:tcPr>
          <w:p>
            <w:pPr>
              <w:spacing w:after="0"/>
              <w:rPr>
                <w:sz w:val="16"/>
                <w:szCs w:val="16"/>
                <w:color w:val="auto"/>
              </w:rPr>
            </w:pPr>
          </w:p>
        </w:tc>
      </w:tr>
      <w:tr>
        <w:trPr>
          <w:trHeight w:val="203"/>
        </w:trPr>
        <w:tc>
          <w:tcPr>
            <w:tcW w:w="1940" w:type="dxa"/>
            <w:vAlign w:val="bottom"/>
          </w:tcPr>
          <w:p>
            <w:pPr>
              <w:spacing w:after="0"/>
              <w:rPr>
                <w:sz w:val="17"/>
                <w:szCs w:val="17"/>
                <w:color w:val="auto"/>
              </w:rPr>
            </w:pPr>
          </w:p>
        </w:tc>
        <w:tc>
          <w:tcPr>
            <w:tcW w:w="18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Expiring 2024</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Expiring 2025</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Expiring 2026</w:t>
            </w:r>
          </w:p>
        </w:tc>
        <w:tc>
          <w:tcPr>
            <w:tcW w:w="19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Expiring 2027</w:t>
            </w:r>
          </w:p>
        </w:tc>
        <w:tc>
          <w:tcPr>
            <w:tcW w:w="17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Expiring 2028</w:t>
            </w:r>
          </w:p>
        </w:tc>
      </w:tr>
      <w:tr>
        <w:trPr>
          <w:trHeight w:val="23"/>
        </w:trPr>
        <w:tc>
          <w:tcPr>
            <w:tcW w:w="19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74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620" w:type="dxa"/>
            <w:vAlign w:val="bottom"/>
          </w:tcPr>
          <w:p>
            <w:pPr>
              <w:spacing w:after="0"/>
              <w:rPr>
                <w:sz w:val="2"/>
                <w:szCs w:val="2"/>
                <w:color w:val="auto"/>
              </w:rPr>
            </w:pPr>
          </w:p>
        </w:tc>
      </w:tr>
      <w:tr>
        <w:trPr>
          <w:trHeight w:val="190"/>
        </w:trPr>
        <w:tc>
          <w:tcPr>
            <w:tcW w:w="1940" w:type="dxa"/>
            <w:vAlign w:val="bottom"/>
          </w:tcPr>
          <w:p>
            <w:pPr>
              <w:spacing w:after="0"/>
              <w:rPr>
                <w:sz w:val="16"/>
                <w:szCs w:val="16"/>
                <w:color w:val="auto"/>
              </w:rPr>
            </w:pPr>
          </w:p>
        </w:tc>
        <w:tc>
          <w:tcPr>
            <w:tcW w:w="11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23"/>
        </w:trPr>
        <w:tc>
          <w:tcPr>
            <w:tcW w:w="194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Southeast New Mexico/West</w:t>
            </w: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r>
      <w:tr>
        <w:trPr>
          <w:trHeight w:val="20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6"/>
        </w:trPr>
        <w:tc>
          <w:tcPr>
            <w:tcW w:w="1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Delaware Basin</w:t>
            </w:r>
            <w:r>
              <w:rPr>
                <w:rFonts w:ascii="Times New Roman" w:cs="Times New Roman" w:eastAsia="Times New Roman" w:hAnsi="Times New Roman"/>
                <w:sz w:val="9"/>
                <w:szCs w:val="9"/>
                <w:color w:val="auto"/>
              </w:rPr>
              <w:t>(1)</w:t>
            </w:r>
          </w:p>
        </w:tc>
        <w:tc>
          <w:tcPr>
            <w:tcW w:w="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6,700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6,700</w:t>
            </w:r>
          </w:p>
        </w:tc>
      </w:tr>
      <w:tr>
        <w:trPr>
          <w:trHeight w:val="221"/>
        </w:trPr>
        <w:tc>
          <w:tcPr>
            <w:tcW w:w="1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6,700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120" w:hanging="331"/>
        <w:spacing w:after="0" w:line="302" w:lineRule="auto"/>
        <w:tabs>
          <w:tab w:leader="none" w:pos="4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66% of the acreage expiring in the Delaware Basin in the next five years is associated with our Twin Lakes asset area in northern Lea County, New Mexico. We expect to hold or extend portions of certain expiring acreage in the Delaware Basin through our future drilling activities or by paying an additional lease bonus, where applicable.</w:t>
      </w:r>
    </w:p>
    <w:p>
      <w:pPr>
        <w:spacing w:after="0" w:line="58"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until the cessation of production in commercial quantities in most cases. We also have options to extend some of our leases through additional lease bonus payments prior to the expiration of the primary term of the leases.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leases are primarily fee and state leases with primary terms of three to five years and federal leases with primary terms of 10 years. We believe that our lease terms are similar to our competitors’ lease terms as they relate to both primary term and royalty interests. At December 31, 2023, approximately 3% of our proved oil and natural gas reserves would be impacted by the expirations of this undeveloped acreage.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Results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drilling activity for the years ended December 31, 2023, 2022 and 2021</w:t>
      </w:r>
      <w:r>
        <w:rPr>
          <w:rFonts w:ascii="Times New Roman" w:cs="Times New Roman" w:eastAsia="Times New Roman" w:hAnsi="Times New Roman"/>
          <w:sz w:val="16"/>
          <w:szCs w:val="16"/>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r>
      <w:tr>
        <w:trPr>
          <w:trHeight w:val="196"/>
        </w:trPr>
        <w:tc>
          <w:tcPr>
            <w:tcW w:w="6380" w:type="dxa"/>
            <w:vAlign w:val="bottom"/>
          </w:tcPr>
          <w:p>
            <w:pPr>
              <w:spacing w:after="0"/>
              <w:rPr>
                <w:sz w:val="17"/>
                <w:szCs w:val="17"/>
                <w:color w:val="auto"/>
              </w:rPr>
            </w:pPr>
          </w:p>
        </w:tc>
        <w:tc>
          <w:tcPr>
            <w:tcW w:w="1000" w:type="dxa"/>
            <w:vAlign w:val="bottom"/>
            <w:tcBorders>
              <w:top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7"/>
                <w:szCs w:val="17"/>
                <w:color w:val="auto"/>
              </w:rPr>
            </w:pPr>
          </w:p>
        </w:tc>
        <w:tc>
          <w:tcPr>
            <w:tcW w:w="10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7"/>
                <w:szCs w:val="17"/>
                <w:color w:val="auto"/>
              </w:rPr>
            </w:pPr>
          </w:p>
        </w:tc>
        <w:tc>
          <w:tcPr>
            <w:tcW w:w="980" w:type="dxa"/>
            <w:vAlign w:val="bottom"/>
            <w:tcBorders>
              <w:top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Wells</w:t>
            </w: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r>
      <w:tr>
        <w:trPr>
          <w:trHeight w:val="195"/>
        </w:trPr>
        <w:tc>
          <w:tcPr>
            <w:tcW w:w="63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Productive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210"/>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Dry</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Exploration Wells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Productive</w:t>
            </w:r>
            <w:r>
              <w:rPr>
                <w:rFonts w:ascii="Times New Roman" w:cs="Times New Roman" w:eastAsia="Times New Roman" w:hAnsi="Times New Roman"/>
                <w:sz w:val="18"/>
                <w:szCs w:val="18"/>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5"/>
        </w:trPr>
        <w:tc>
          <w:tcPr>
            <w:tcW w:w="63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Dry</w:t>
            </w: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Wells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03"/>
        </w:trPr>
        <w:tc>
          <w:tcPr>
            <w:tcW w:w="6380" w:type="dxa"/>
            <w:vAlign w:val="bottom"/>
          </w:tcPr>
          <w:p>
            <w:pPr>
              <w:ind w:left="480"/>
              <w:spacing w:after="0" w:line="202" w:lineRule="exact"/>
              <w:rPr>
                <w:sz w:val="20"/>
                <w:szCs w:val="20"/>
                <w:color w:val="auto"/>
              </w:rPr>
            </w:pPr>
            <w:r>
              <w:rPr>
                <w:rFonts w:ascii="Times New Roman" w:cs="Times New Roman" w:eastAsia="Times New Roman" w:hAnsi="Times New Roman"/>
                <w:sz w:val="14"/>
                <w:szCs w:val="14"/>
                <w:color w:val="auto"/>
              </w:rPr>
              <w:t>Productive</w:t>
            </w:r>
            <w:r>
              <w:rPr>
                <w:rFonts w:ascii="Times New Roman" w:cs="Times New Roman" w:eastAsia="Times New Roman" w:hAnsi="Times New Roman"/>
                <w:sz w:val="18"/>
                <w:szCs w:val="18"/>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203"/>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Dry</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0" w:lineRule="exact"/>
        <w:rPr>
          <w:sz w:val="20"/>
          <w:szCs w:val="20"/>
          <w:color w:val="auto"/>
        </w:rPr>
      </w:pPr>
    </w:p>
    <w:p>
      <w:pPr>
        <w:ind w:left="440" w:hanging="311"/>
        <w:spacing w:after="0"/>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these wells are extension wells.</w:t>
      </w:r>
    </w:p>
    <w:p>
      <w:pPr>
        <w:spacing w:after="0" w:line="109"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gross (0.5 net) vertical well in 2023 and three gross (1.6 net) vertical wells in 2022.</w:t>
      </w:r>
    </w:p>
    <w:p>
      <w:pPr>
        <w:spacing w:after="0" w:line="113"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2023, we had a total of 46 gross (37.8 net) development wells and six gross (4.9 net) exploration wells that were in the process of being drilled, being completed or awaiting completion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Customers</w:t>
      </w:r>
    </w:p>
    <w:p>
      <w:pPr>
        <w:spacing w:after="0" w:line="121"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Our crude oil is sold under both long-term and short-term oil purchase agreements with unaffiliated purchasers based on published price bulletins reflecting an established field posting price. As a consequence, the prices we receive for crude oil and our heavier liquid products move up and down in direct correlation with the oil market as it reacts to supply and demand factors. The prices of our lighter liquid products move up and down independently of any relationship between the crude oil and natural gas markets. Transportation costs related to moving crude oil and liquids are also generally deducted from the price received for crude oil and liquids.</w:t>
      </w:r>
    </w:p>
    <w:p>
      <w:pPr>
        <w:spacing w:after="0" w:line="75"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Pronto’s or third parties’ processing facilities to extract liquid hydrocarbons from the natural gas. We are then paid for the extracted NGLs based on either a negotiated percentage of the proceeds that are generated from the sale of NGLs or other negotiated pricing arrangements using then-current market pricing less fixed rate processing, transportation and fractionation fees.</w:t>
      </w:r>
    </w:p>
    <w:p>
      <w:pPr>
        <w:spacing w:after="0" w:line="79"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The prices we receive for our oil, natural gas and NGL production fluctuate widely. Factors that, directly or indirectly, cause price fluctuations include, but are not limited to: the domestic and foreign supply of, and demand for, oil, natural gas and NGLs; the actions of the Organization of Petroleum Exporting Countries, Russia and certain other oil-exporting countries (“OPEC+”) and state-controlled oil companies; the prices and availability of competitors’ supplies of oil and natural gas; the price and quantity of foreign imports; the impact of U.S. dollar exchange rates; domestic and foreign governmental regulations and taxes; speculative trading of oil and natural gas futures contracts; the availability, proximity and capacity of gathering, processing and transportation systems for oil, natural gas and NGLs and gathering and disposal systems for produced water; the availability of refining capacity; the prices and availability of alternative fuel sources; weather conditions and natural disasters, including hurricanes and tropical storms in the Gulf Coast region and severe cold weather in the Delaware Basin; political conditions or conflicts in or affecting oil and natural gas producing regions or countries, including the United States, the Middle East, South America, Russia, Ukraine and China; the ongoing military conflicts between Russia and Ukraine and Israel and Hamas, as well as the related actions of U.S. and other governments and governmental organizations relating to oil, natural gas and NGLs, including through sanctions, embargoes, import restrictions and commodity price caps; domestic or global health concerns, including the outbreak or resurgence of contagious or pandemic diseases such as COVID-19 and its variants; the continued threat of terrorism and the impact of military action and civil unrest; public pressure on, and legislative and regulatory interest within, federal, state and local governments to stop, significantly limit or regulate oil and natural gas operations, including hydraulic fracturing activities; the level of global oil and natural gas inventories and exploration and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production activity; the impact of energy conservation efforts; technological advances affecting energy consumption; and overall worldwide economic 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or unscheduled maintenance, as well as maintenance and repairs involving our own well operations. These situations, if they occur, curtail our production capabilities and ability to maintain a steady source of revenue.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8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prices we receive for our oil and natural gas production often reflect a discount to the relevant benchmark prices, such as the NYMEX West Texas Intermediate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See “Risk Factors—Risks Related to our Financial Condition—A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7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2022 and 2021, we had three significant purchasers that accounted for approximately 76%, 70% and 72%,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endeavor to ensure that title to our properties is in accordance with standards generally accepted in the oil and natural gas industry. While we rely upon the judgment of oil and natural gas lease brokers and/or landmen in ascertaining title for certain leasehold and mineral interest acquisitions, we typically obtain detailed title opinions prior to drilling an oil and natural gas well. Some of our acreage is subject to agreements that require the drilling of wells or the undertaking of other exploratory or development activities in order to retain our interests in the acreage. Our title to these contractual interests may be contingent upon our satisfactory fulfillment of such obligations. Some of our properties are also subject to customary royalty interests, liens incident to financing arrangements, operating agreements, taxes and other similar burdens that we believe will not materially interfere with the use and operation of these properties or affect the value thereof. Generally, we intend to conduct operations, make lease rental payments or produce oil and natural gas from wells in paying quantities, where required, prior to expiration of various time periods in order to avoid lease termination. See “Risk Factors— Risks Related to our Financial Condition—We may incur losses or costs as a result of title deficiencies in the properties in which we invest.”</w:t>
      </w:r>
    </w:p>
    <w:p>
      <w:pPr>
        <w:spacing w:after="0" w:line="8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Generally, but not always, the demand and price levels for natural gas increase during winter and decrease during summer. To lessen seasonal demand fluctuations, pipelines, utilities, local distribution companies and industrial users utilize natural gas storage 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Factors—Risks Related to our Operations—Because our reserves and production are concentrated in a few core areas, problems with production in and markets for a particular area could have a material impact on our business.”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The oil and natural gas industry is highly competitive. We compete with major and independent oil and natural gas companies for exploration and development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produced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and Pronto compete with other midstream companies that provide similar services in their areas of operations, and such companies may have legacy relationships with producers in those areas and may have a longer history of efficiency and reliability.</w:t>
      </w:r>
    </w:p>
    <w:p>
      <w:pPr>
        <w:spacing w:after="0" w:line="8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w:t>
      </w:r>
    </w:p>
    <w:p>
      <w:pPr>
        <w:spacing w:after="0" w:line="75"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Our ability to drill and explore for oil and natural gas, acquire properties and provide competitive midstream services will depend upon our ability to conduct operations, evaluate and select suitable properties and consummate transactions in this highly competitive environment. In addition, many of our competitors may have a longer history of operations.</w:t>
      </w:r>
    </w:p>
    <w:p>
      <w:pPr>
        <w:spacing w:after="0" w:line="68" w:lineRule="exact"/>
        <w:rPr>
          <w:sz w:val="20"/>
          <w:szCs w:val="20"/>
          <w:color w:val="auto"/>
        </w:rPr>
      </w:pPr>
    </w:p>
    <w:p>
      <w:pPr>
        <w:ind w:right="460" w:firstLine="445"/>
        <w:spacing w:after="0" w:line="261" w:lineRule="auto"/>
        <w:rPr>
          <w:sz w:val="20"/>
          <w:szCs w:val="20"/>
          <w:color w:val="auto"/>
        </w:rPr>
      </w:pPr>
      <w:r>
        <w:rPr>
          <w:rFonts w:ascii="Times New Roman" w:cs="Times New Roman" w:eastAsia="Times New Roman" w:hAnsi="Times New Roman"/>
          <w:sz w:val="18"/>
          <w:szCs w:val="18"/>
          <w:color w:val="auto"/>
        </w:rPr>
        <w:t>The oil and natural gas industry also competes with other energy-related industries in supplying the energy and fuel requirements of industrial, commercial and individual consumers. See “Risk Factors—Risks Related to Third Parties—Competition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Emissions Mitigation</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work to maximize the percentage of natural gas we capture from the production of each of our wells. Newly drilled wells are connected to natural gas pipelines with expected sufficient reliability and capacity to support our production operations. We connect many of our wells to San Mateo’s and Pronto’s natural gas gathering systems. This greatly reduces the need to flare natural gas. We design our production facilities and use advanced natural gas capture and control equipment during production, including the use of vapor recovery units (“VRU”), to maximize natural gas capture. VRUs enable us to collect and compress natural gas from lower pressure sources that might otherwise be flared. This reduces emissions and increases the volumes of natural gas that we can sell. When possible, we use centralized tank batteries and commingle production from multiple wells to take advantage of economies of scale to use these VRUs and other specialized equipment in our production facilities.</w:t>
      </w:r>
    </w:p>
    <w:p>
      <w:pPr>
        <w:spacing w:after="0" w:line="81"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Our field employees monitor our facilities and inspect for any necessary repairs or maintenance. In addition, we have implemented a leak detection and repair program that involves scheduled inspections for natural gas capture. These inspections are bolstered by our use of optical gas imaging cameras, which help to identify potential emissions that may not be visible to the naked eye. We have also implemented real-time remote monitoring of vapor control systems through Supervisory Control and Data Acquisition (“SCADA”) equipment at a number of our larger production facilities. These inspections are being conducted regularly, both by our staff and by third-party contractors, more frequently and at more locations than federal and state regulations require.</w:t>
      </w:r>
    </w:p>
    <w:p>
      <w:pPr>
        <w:spacing w:after="0" w:line="79"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Additionally, we connect many of our production facilities to electric grid power. Connecting to grid power allows us to forego using internal combustion-powered generators on-site, which further reduces emissions.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Water Management</w:t>
      </w:r>
    </w:p>
    <w:p>
      <w:pPr>
        <w:spacing w:after="0" w:line="119" w:lineRule="exact"/>
        <w:rPr>
          <w:sz w:val="20"/>
          <w:szCs w:val="20"/>
          <w:color w:val="auto"/>
        </w:rPr>
      </w:pPr>
    </w:p>
    <w:p>
      <w:pPr>
        <w:ind w:right="340" w:firstLine="445"/>
        <w:spacing w:after="0" w:line="258" w:lineRule="auto"/>
        <w:rPr>
          <w:sz w:val="20"/>
          <w:szCs w:val="20"/>
          <w:color w:val="auto"/>
        </w:rPr>
      </w:pPr>
      <w:r>
        <w:rPr>
          <w:rFonts w:ascii="Times New Roman" w:cs="Times New Roman" w:eastAsia="Times New Roman" w:hAnsi="Times New Roman"/>
          <w:sz w:val="18"/>
          <w:szCs w:val="18"/>
          <w:color w:val="auto"/>
        </w:rPr>
        <w:t>Using improving technologies, we are able to take produced water from our existing wells and from third-party systems, treat the water and then reuse that water in our completions operations on new wells. Use of recycled water saves significant amounts of fresh water that would otherwise have been used for hydraulic fracturing operations. As well as conserving fresh water, our use of recycled water in our completions operations reduces the amount of produced water that must be disposed. It also results in significant cost savings and efficiencies. In addition to using recycled water where feasible, we also use other sources of non-fresh water, which reduces the volume of fresh water used for our operations.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Land Stewardship</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attempt to reduce our surface footprint by batch drilling wells and drilling longer laterals, both of which result in fewer required drilling pads, and by working with the various regulatory agencies, including the New Mexico Oil Conservation Division (the “NMOCD”) and the U.S. Department of Interior Bureau of Land Management (“BLM”), to obtain approval to commingle production from different wells into centralized tank batteries. We also take steps to ensure we conduct our operations in locations that minimize any potential disturbance to the habitats around which we operate. As part of that effort, we have entered into voluntary agreements with the U.S. Fish and Wildlife Service (the “USFWS”) and the Center of Excellence for Hazardous Materials Management to observe operational restrictions designed to protect certain wildlife, including the habitats of the lesser prairie-chicken, sand dune lizard and Texas hornshell mussel. Additionally, for our federal locations and as otherwise warranted, we conduct wildlife, biology and archeology surveys and undertake reviews for caves, karsts and potential hydrology considerations.</w:t>
      </w:r>
    </w:p>
    <w:p>
      <w:pPr>
        <w:spacing w:after="0" w:line="84"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During 2023, 94% of our gross operated oil production and 98% of our gross operated water production were connected to pipelines. In addition to the financial benefits to us and our stakeholders of connecting oil, natural gas and produced water to pipelines, these pipeline connections have many other benefits, including the reduction in the number of trucks needed to transport the oil and produced water. This is significant because it both (i) reduces truck traffic and increases road safety and (ii) reduces emissions.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Regulation</w:t>
      </w:r>
    </w:p>
    <w:p>
      <w:pPr>
        <w:spacing w:after="0" w:line="11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w:t>
      </w:r>
    </w:p>
    <w:p>
      <w:pPr>
        <w:spacing w:after="0" w:line="7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Texas, New Mexico, Louisiana and many other states require permits for drilling operations, drilling bonds and reports concerning operations and impose other requirements relating to the exploration, development and production of oil and natural gas. Many states also have laws, rules and regulations addressing conservation of oil and natural gas and other matters, including provisions for the unitization or pooling of oil and natural gas properties, the establishment of maximum rates of production from wells, the regulation of well spacing, the surface use and restoration of properties upon which wells are drilled, the prohibition, restriction or limitation of emissions, venting or flaring natural gas, the sourcing and disposal of water used and produced in the drilling and completion process, the seismicity that may be related to salt water disposal wells and the plugging and abandonment of wells. While not presently the case in the states in which we operate, some states restrict production to the market demand for oil and natural gas or prescribe ceiling prices for natural gas sold within their boundaries. Additionally, some regulatory agencies have, from time to time, imposed price controls and limitations on production by restricting the rate of flow of oil and natural gas wells below natural production capacity in order to conserve supplies of oil and natural gas. Moreover, each state generally imposes a production or severance tax with respect to the production and sale of oil, natural gas and NGLs within its jurisdiction.</w:t>
      </w:r>
    </w:p>
    <w:p>
      <w:pPr>
        <w:spacing w:after="0" w:line="8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 BLM leases contain relatively standardized terms and require compliance with detailed regulations and orders, which are subject to change. These operations are also subject to BLM rules regarding engineering and construction specifications for 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Permitting for oil and natural gas activities on federal lands can take significantly longer than the permitting process for oil and natural gas activities not located on federal lands. In addition, government disruptions, such 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w:t>
      </w:r>
    </w:p>
    <w:p>
      <w:pPr>
        <w:spacing w:after="0" w:line="8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Oil and natural gas exploration and production activities on federal lands are also subject to the National Environmental Policy Act (“NEPA”). NEPA requires federal agencies, including the Department of Interior, to evaluate major agency actions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or procedures that may be included in the process or litigation over the sufficiency of the process, has the potential to delay or even halt development of future oil and natural gas projects with NEPA applicability.</w:t>
      </w:r>
    </w:p>
    <w:p>
      <w:pPr>
        <w:spacing w:after="0" w:line="75"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In January 2021, the Biden administration issued: (i) an order signed by the acting Secretary of the Interior providing for a 60-day pause limiting the authority of local offices of the BLM to issue new leases and grant federal drilling permits and certain extensions, sundries, rights-of-way and other necessary approvals for the development of federal oil and natural gas leases; and (ii) an executive order signed by President Biden instructing the Department of the Interior to pause new oil and natural gas leases on public lands pending completion of a comprehensive review and consideration of federal oil and natural gas permitting and leasing practices (together, the “Biden Administration Federal Lease Orders”). The U.S. District Court for the District of Louisiana enjoined the pause within 13 states, including Texas, in August 2022. The Department of the Interior has recently resumed lease sales in several states.</w:t>
      </w:r>
    </w:p>
    <w:p>
      <w:pPr>
        <w:spacing w:after="0" w:line="8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In 2019, 2020 and 2021, an environmental group filed multiple lawsuits in federal district courts in New Mexico and the District of Columbia challenging certain BLM lease sales, including lease sales in which we purchased leases in New Mexico (the “Lease Sale Litigation”). The Lease Sale Litigation challenges the BLM’s decision to hold the lease sales based on alleged defects in the environmental reviews conducted under NEPA in conjunction with those sales. In 2020, the New Mexico federal district court dismissed the case pending there. That decision was appealed to the Tenth Circuit Court of Appeals, but the appeal was voluntarily dismissed in 2021. The lawsuits in the District of Columbia were also dismissed in 2022. In connection with these dismissals, in February 2022, the BLM announced an internal policy of delaying approval of drilling permits associated with the leases subject to the Lease Sale Litigation, including the dismissed New Mexico case, while the BLM conducted additional NEPA analyses. BLM later announced that drilling permit approvals could be considered for the subject leases, provided that the process included additional time for public comments and objections. In November 2022, the BLM published a supplemental environmental assessment of the greenhouse gas emissions related to the leases that evaluated a proposal to affirm its previous decisions to offer and approve the leases. Public comment on the supplemental environmental assessment closed on December 27, 2022. The outcome of the supplemental environmental assessment, including the BLM’s response to public comments and any future litigation regarding the leases at issue and any related drilling permits, is uncertain.</w:t>
      </w:r>
    </w:p>
    <w:p>
      <w:pPr>
        <w:spacing w:after="0" w:line="8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“Social Cost of Carbon Litigation”). Among the decisions impacted by the executive order were NEPA reviews conducted in connection with oil and natural gas leasing and permitting decisions by the BLM. After Louisiana and Missouri-led litigation in the federal district courts and the Fifth and Eighth Circuit Courts of Appeals, in May 2022, the U.S. Supreme Court let the challenged interim</w:t>
      </w:r>
    </w:p>
    <w:p>
      <w:pPr>
        <w:spacing w:after="0" w:line="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social cost of greenhouse gases go into effect. In November 2022, the Environmental Protection Agency (the “EPA”) suggested increasing the value of the social cost of greenhouse gases from $51 per metric ton to $190 per metric ton, and in December 2023, the EPA used $190 per metric ton as the social cost of greenhouse gases in its final rule revising New Source Performance Standards (“NSPS”) and Emission Guidelines for greenhouse gas and volatile organic compound emissions in the oil and gas sector. As part of this final rulemaking, the EPA published a peer-reviewed report on the updated social cost of greenhouse gases estimates. Future EPA rulemakings may also incorporate the methodology and social cost of greenhouse gases estimate developed in this report and result in more stringent rules and regulations affecting the oil and gas sector.</w:t>
      </w:r>
    </w:p>
    <w:p>
      <w:pPr>
        <w:spacing w:after="0" w:line="7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2022, environmental groups filed a lawsuit alleging that the BLM failed to conduct adequate NEPA reviews prior to issuing drilling permits in 2021 and 2022 for wells on federal acreage in New Mexico and Wyoming, including some drilling permits issued to the Company. In November 2023, the federal district court for the District of Columbia dismissed the case, holding that the environmental groups lacked standing. The environmental groups have appealed the district court’s ruling, and their appeal remains pending. In February 2023, in a separate lawsuit, the Tenth Circuit Court of Appeals ruled that certain BLM drilling permits for wells in the Chaco region of New Mexico were issued without adequate NEPA review (collectively with the 2022 lawsuit, the “Drilling Permit Litigation”). The outcome of the Drilling Permit Litigation, as well as any process changes that the BLM may implement in response to such lawsuits, is uncertain. The BLM indicated that the Lease Sale Litigation, the Social Cost of Carbon Litigation and the Drilling Permit Litigation could delay lease sales and the approval of drilling permits.</w:t>
      </w:r>
    </w:p>
    <w:p>
      <w:pPr>
        <w:spacing w:after="0" w:line="84"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In November 2022, the BLM proposed a new rule designed to reduce natural gas waste through limitation of certain oil and natural gas production activities and the imposition of more stringent royalty obligations on natural gas that is “avoidably lost” during operations. The proposed rule has not yet been adopted.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Although some of the restrictions in the Biden Administration Federal Lease Orders have lapsed, the impact of these and similar federal actions related to the oil and natural gas industry, including those in response to the Lease Sale Litigation, Social Cost of Carbon Litigation and Drilling Permit Litigation, remains unclear, and should limitations or prohibitions be imposed or continue to be applied, our oil and natural gas operations on federal lands could be adversely impacted. See “Risk Factors—Risks Related to Laws and Regulations—Approximately 32%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Regulation</w:t>
      </w:r>
    </w:p>
    <w:p>
      <w:pPr>
        <w:spacing w:after="0" w:line="11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 that the natural gas pipelines in our gathering systems meet the traditional tests FERC has used to establish a pipeline’s status as a gatherer not subject to FERC jurisdiction. In December 2018, San Mateo placed into service its crude oil gathering and transportation system in the Rustler Breaks asset area in Eddy County, New Mexico (the “Rustler Breaks Oil Pipeline System”) following an open season to gauge shipper interest in committed crude oil interstate transportation service on the Rustler Breaks Oil Pipeline System earlier in 2018. The Rustler Breaks Oil Pipeline System was expanded to the Greater Stebbins Area following another open season in the third quarter of 2020. The Rustler Breaks Oil Pipeline System, including the expansion to the Greater Stebbins Area, is subject to FERC jurisdiction and includes approximately 70 miles of various diameter crude oil pipelines from origin points in Eddy County, New Mexico to an interconnect with Plains. We believe that the other crude oil pipelines in our gathering systems meet the traditional tests FERC has used to establish a pipeline’s status as an intrastate facility not subject to FERC jurisdiction.</w:t>
      </w:r>
    </w:p>
    <w:p>
      <w:pPr>
        <w:spacing w:after="0" w:line="8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2005, Congress enacted the Energy Policy Act of 2005 (the “Energy Policy Act”). The Energy Policy Act, among other things, amended the NGA to prohibit market manipulation in connection with the purchase or sale of natural gas or the purchase or sale of natural gas transportation services subject to FERC jurisdiction by any entity and to direct FERC to facilitate transparency in the market for the sale or transportation of natural gas in interstate commerce. The Energy Policy Act also significantly increased the 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spacing w:after="0" w:line="7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spacing w:after="0" w:line="75"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As mentioned above, in December 2018, San Mateo placed into service the Rustler Breaks Oil Pipeline System. The Rustler Breaks Oil Pipeline System is subject to regulation by FERC under the ICA and the Energy Policy Act of 1992 (the “EP Act”). The ICA and its implementing regulations give FERC authority to regulate the rates charged for service on interstate common carrier pipelines and generally require the rates and practices of interstate crude oil pipelines to be just, reasonable, not unduly discriminatory and not unduly preferential. The ICA also requires tariffs that set forth the rates an interstate crude oil pipeline company charges for providing transportation services on its FERC-jurisdictional pipelines, as well as the rules and regulations governing these services, to be maintained on file with FERC and posted publicly. The EP Act and its implementing regulations also generally allow interstate crude oil pipelines to annually index their rates up to a prescribed ceiling level and require that such pipelines index their rates down to the prescribed ceiling level if the index is negative.</w:t>
      </w:r>
    </w:p>
    <w:p>
      <w:pPr>
        <w:spacing w:after="0" w:line="84"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spacing w:after="0" w:line="72" w:lineRule="exact"/>
        <w:rPr>
          <w:sz w:val="20"/>
          <w:szCs w:val="20"/>
          <w:color w:val="auto"/>
        </w:rPr>
      </w:pPr>
    </w:p>
    <w:p>
      <w:pPr>
        <w:ind w:right="840" w:firstLine="445"/>
        <w:spacing w:after="0" w:line="282" w:lineRule="auto"/>
        <w:rPr>
          <w:sz w:val="20"/>
          <w:szCs w:val="20"/>
          <w:color w:val="auto"/>
        </w:rPr>
      </w:pPr>
      <w:r>
        <w:rPr>
          <w:rFonts w:ascii="Times New Roman" w:cs="Times New Roman" w:eastAsia="Times New Roman" w:hAnsi="Times New Roman"/>
          <w:sz w:val="18"/>
          <w:szCs w:val="18"/>
          <w:color w:val="auto"/>
        </w:rPr>
        <w:t>In 2007, the Energy Independence &amp; Security Act of 2007 (the “EISA”) went into effect. The EISA, among other things, prohibits market manipulation by any person in connection with the purchase or sale of crude oil, gasoline or petroleum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distillates at wholesale in contravention of such rules and regulations that the Federal Trade Commission may prescribe, directs the Federal Trade Commission to enforce the regulations and establishes penalties for violations thereunder.</w:t>
      </w:r>
    </w:p>
    <w:p>
      <w:pPr>
        <w:spacing w:after="0" w:line="54"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Pipeline and Hazardous Materials Safety Administration (the “PHMSA”) imposes pipeline safety requirements on regulated pipelines and gathering lines pursuant to its authority under the Natural Gas Pipeline Safety Act and the Hazardous Liquid Pipeline Safety Act, each as amended. The Rustler Breaks Oil Pipeline System is subject to PHMSA oversight. The Department of Transportation, through PHMSA, has established rules regarding integrity management programs for interstate oil pipelines, including the Rustler Breaks Oil Pipeline System. In recent years, pursuant to these laws and the Pipeline Safety, Regulatory Certainty, and Job Creation Act of 2011 and PIPES Act of 2016,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In October 2019, PHMSA submitted three major rules, including rules focused on: the safety of gas transmission pipelines (the first of three parts of the so-called gas Mega Rule), the safety of hazardous liquid pipelines and enhanced emergency order procedures. The final 2019 gas transmission rule requires operators of gas transmission pipelines constructed before 1970 to determine the material strength of their lines by reconfirming the maximum allowable operating pressure. In addition, the rule updates reporting and records retention standards for gas transmission pipelines. PHMSA issued the second part of the Mega Rule in November 2021, extending the federal safety requirements to onshore gas</w:t>
      </w:r>
    </w:p>
    <w:p>
      <w:pPr>
        <w:spacing w:after="0" w:line="2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gathering pipelines with large diameters and high operating pressures. PHMSA issued the third part of the Mega Rule in August 2022, which is applicable to onshore gas transmission pipelines and clarifies integrity management regulations, expands corrosion control requirements, mandates inspections after extreme weather events and updates existing repair criteria for both High Consequence Areas (“HCA”) and non-HCA pipelines. In September 2023, PHMSA issued a proposed rule applicable to gas transmission and distribution and gathering pipelines, which would require updates to emergency response plans and other safety practices. In addition, states have adopted regulations, similar to existing PHMSA regulations, for intrastate gathering and transmission lines. See “Risk Factors—Risks Related to Laws and Regulations—We may incur significant costs and liabilities resulting from compliance with pipeline safety regulations.”</w:t>
      </w:r>
    </w:p>
    <w:p>
      <w:pPr>
        <w:spacing w:after="0" w:line="81"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Additional expansion of pipeline safety requirements or our operations could subject us to more stringent or costly safety standards, which could result in increased operating costs or operational delays.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and State Taxation</w:t>
      </w:r>
    </w:p>
    <w:p>
      <w:pPr>
        <w:spacing w:after="0" w:line="11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addition, from time to time there has been a significant amount of discussion by legislators and presidential administrations concerning a variety of energy tax proposals at the federal level.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w:t>
      </w:r>
    </w:p>
    <w:p>
      <w:pPr>
        <w:spacing w:after="0" w:line="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connection with the exploration for, or development of, oil or natural gas within the United States. Any such changes in federal income tax law could eliminate or defer certain tax deductions within the industry that are currently available with respect to oil and natural gas exploration and development, and any such changes could negatively affect our financial condition, results of operations, and cash flows.</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Changes to state or federal tax laws could adversely affect our business and our financial results. See “Risk Factors—Risks Related to Laws and Regulations—We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Underground Injection and Hydraulic Fracturing</w:t>
      </w:r>
    </w:p>
    <w:p>
      <w:pPr>
        <w:spacing w:after="0" w:line="11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Safe Drinking Water Act (the “SDWA”) establishes a regulatory framework for underground injection, the primary objective of which is to ensure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mechanical integrity of the injection apparatus and to prevent migration of fluids from the injection zone into underground sources of drinking water. In addition, the Railroad Commission of Texas (the “RRC”) and the NMOCD require injected fluids to be confined to a permitted injection interval to aid in the protection of potentially productive intervals.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 earthquakes (induced seismicity) as a result of flawed well design or operation. This has resulted in stricter regulatory requirements in some jurisdictions relating to the location and operation of underground injection wells.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In October 2014, the RRC adopted disposal well rule amendments designed, among other things, to require applicants for new disposal wells that will receive non-hazardous produced water or other oil and natural gas waste to conduct seismic activity searches utilizing the U.S. Geological Survey. The searches are intended to determine the potential for earthquakes within a circular area of 100 square miles around a proposed new disposal well. If the permittee or an applicant for a disposal well permit fails to demonstrate that the produced water or other fluids are confined to the disposal zone, or if scientific data indicates such a disposal well is likely to be, or determined to be, contributing to seismic activity, then the RRC may deny, modify, suspend or terminate the permit application or existing operating permit for that disposal well. The RRC has used this authority to deny permits for waste disposal wells and to restrict the volumes authorized to be injected by permitted wells. In addition,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The protocols also require enhanced reporting and varying levels of curtailment of injection rates for salt water disposal wells, including potentially shutting in such wells, in the area of seismic events based on the magnitude, timing and proximity of the seismic event. For example, the salt water disposal well we acquired in the Advance Acquisition is restricted due to these protocols. The potential adoption of federal, state and local legislation and regulations intended to address induced seismicity in the areas in which we operate could restrict our drilling and production activities, as well as our ability to dispose of produced water gathered from such activities, which could result in increased costs and additional operating restrictions or delays that could, in turn, materially impact our production volumes, revenues, reserves, cash flows and availability under our Credit Agreement.</w:t>
      </w:r>
    </w:p>
    <w:p>
      <w:pPr>
        <w:spacing w:after="0" w:line="96"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We use hydraulic fracturing as a means to maximize the recovery of oil and natural gas in almost every well that we drill and complete. Although average drilling and completion costs for each area will vary, as will the cost of each well within a given area, on average approximately half of the total well costs for our horizontal wells are attributable to overall completion activities, which are primarily focused on hydraulic fracture treatment operations. A change to any federal and state laws and regulations governing hydraulic fracturing could impact these costs and adversely affect our business and financial results. See “Risk Factors—Risks Related to Laws and Regulations—Federal and state legislation and regulatory initiatives relating to hydraulic fracturing could result in increased costs and additional operating restrictions or delays.”</w:t>
      </w:r>
    </w:p>
    <w:p>
      <w:pPr>
        <w:spacing w:after="0" w:line="79" w:lineRule="exact"/>
        <w:rPr>
          <w:sz w:val="20"/>
          <w:szCs w:val="20"/>
          <w:color w:val="auto"/>
        </w:rPr>
      </w:pPr>
    </w:p>
    <w:p>
      <w:pPr>
        <w:ind w:firstLine="445"/>
        <w:spacing w:after="0" w:line="269" w:lineRule="auto"/>
        <w:rPr>
          <w:sz w:val="20"/>
          <w:szCs w:val="20"/>
          <w:color w:val="auto"/>
        </w:rPr>
      </w:pPr>
      <w:r>
        <w:rPr>
          <w:rFonts w:ascii="Times New Roman" w:cs="Times New Roman" w:eastAsia="Times New Roman" w:hAnsi="Times New Roman"/>
          <w:sz w:val="17"/>
          <w:szCs w:val="17"/>
          <w:color w:val="auto"/>
        </w:rPr>
        <w:t>The process of hydraulic fracturing is typically regulated by state oil and natural gas commissions. Various policy makers, regulatory agencies and political candidates at the federal, state and local levels have proposed restrictions on hydraulic fracturing, including its outright prohibition. Restrictions on hydraulic fracturing could reduce the amount of oil and natural gas that we are ultimately able to produce. Some states and localities have placed additional regulatory burdens upon hydraulic fracturing activities and, in some areas, severely restricted or prohibited those activities. In recent years, various bills have been introduced in the New Mexico legislature to place a moratorium on, ban or otherwise restrict hydraulic fracturing, including prohibiting the injection of fresh water in such operations. 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linkage between oil and natural gas activity and induced seismicity, and some state regulatory agencies have modified their regulations or guidance to mitigate potential causes of induced seismicity. Hydraulic fracturing is generally exempted from federal regulation as underground injection (unless diesel is a component of the fracturing fluid) under the SDWA. If the exemption for hydraulic fracturing is removed from the SDWA, or if other legislation is enacted at the federal, state or local level imposing any restrictions on the use of hydraulic fracturing, this could have a material adverse impact on our financial condition, results of operations and cash flows. Additional burdens upon hydraulic fracturing, such as reporting or</w:t>
      </w:r>
    </w:p>
    <w:p>
      <w:pPr>
        <w:spacing w:after="0" w:line="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permitting requirements, would result in additional expense and delay in our operations. See “Risk Factors—Risks Related to Laws and Regulations— Federal and state legislation and regulatory initiatives relating to hydraulic fracturing could result in increased costs and additional operating restrictions or delays” and “Risk Factors—Risks Related to Laws and Regulations—Approximately 32% of our leasehold and mineral acres in the Delaware Basin is located on federal lands, which are subject to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administrative permitting requirements and potential federal legislation, regulation and orders that may limit or restrict oil and natural gas operations on federal lands.”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Health and Safety Regulation</w:t>
      </w:r>
    </w:p>
    <w:p>
      <w:pPr>
        <w:spacing w:after="0" w:line="11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exploration, development, production, gathering and processing of oil and natural gas are subject to various federal, state and local environmental laws and regulations. These laws and regulations can increase the costs of planning, designing, drilling, completing and operating oil and natural gas wells, midstream facilities and produced water injection and disposal wells. Our activities are subject to a variety of environmental laws and regulations, including but not limited to: the Oil Pollution Act of 1990 (the “OPA 90”), the Clean Water Act (the “CWA”), the Comprehensive Environmental Response, Compensation, and Liability Act (“CERCLA”), the Resource Conservation and Recovery Act (“RCRA”), the Clean Air Act (the “CAA”)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or limit the injection of produced water into disposal wells below the rates that would otherwise be possible. We expect to remain in compliance in all material respects with currently applicable environmental laws and regulations and do not expect that these laws and regulations will have a material adverse impact on us.</w:t>
      </w:r>
    </w:p>
    <w:p>
      <w:pPr>
        <w:spacing w:after="0" w:line="88"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facility. The OPA 90 subjects responsible parties to strict, joint and several financial liability for removal and remediation costs and other damages, including natural resource damages, caused by an oil spill that is covered by the statute. Failure to comply with the OPA 90 may subject a responsible party to civil or criminal enforcement action.</w:t>
      </w:r>
    </w:p>
    <w:p>
      <w:pPr>
        <w:spacing w:after="0" w:line="75"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CWA and comparable state laws impose restrictions and strict controls regarding the discharge of produced waters, fill materials and other materials into navigable waters. These controls have become more stringent over the years, and it is possible that additional restrictions will be imposed in the future. Permits are required to discharge pollutants into certain state and federal waters and to conduct construction activities in those waters and wetlands. The CWA and comparable state statutes provide for civil, criminal and administrative penalties for any unauthorized discharges of oil and other pollutants and impose liability for the costs of removal or remediation of contamination resulting from such discharges. In September 2015, a rule issued by the EPA and U.S. Army Corps of Engineers (the “Corps”) to revise the definition of “waters of the United States” (“WOTUS”) for all CWA programs, thereby defining the scope of the EPA’s and the Corps’ jurisdiction, became effective. The EPA rescinded this rule in 2019 and promulgated the Navigable Waters Protection Rule (the “NWPR”) in 2020. The NWPR was viewed as narrowing the scope of WOTUS as compared to the 2015 rule. In August 2021, the U.S. District Court for the District of Arizona vacated and remanded the NWPR. On January 18, 2023, the EPA and the Corps jointly issued a final rule revising the definition of WOTUS that largely returned to the pre-2015 regulatory regime. On September 8, 2023, the U.S. Supreme Court issued a decision limiting the scope of federal jurisdiction over wetlands only to those that have a continuous surface connection to water bodies. On August 29, 2023, the EPA and the Corps jointly issued a final rule, which took effect immediately, aligning the regulatory definition of WOTUS with the Supreme Court’s ruling.</w:t>
      </w:r>
    </w:p>
    <w:p>
      <w:pPr>
        <w:spacing w:after="0" w:line="7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CERCLA, also known as the “Superfund” law, imposes liability, without regard to fault or the legality of the original conduct, on various classes of persons that are considered to have contributed to the release of a “hazardous substance” into the environment. These persons include the owner or operator of the site where the release occurred and companies that disposed of, or arranged for the disposal of, the hazardous substances found at the site. Persons who are responsible for releases of 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 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spacing w:after="0" w:line="84"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 as our competitors, to incur increased operating expenses. Hazardous wastes are subject to more stringent and costly disposal requirements than nonhazardous wastes.</w:t>
      </w:r>
    </w:p>
    <w:p>
      <w:pPr>
        <w:spacing w:after="0" w:line="7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Federal and state regulatory agencies can impose administrative, civil and criminal penalties for non-compliance with air permits or other requirements of the CAA and associated state laws and regulations. On August 16, 2022, the Inflation Reduction Act created the Methane Emissions Reduction Program to incentivize methane emission reductions and impose a fee on greenhouse gas emissions from certain facilities that exceed specified emissions levels. See “Risk Factors—Risks Related to Laws and Regulations—New regulations on all emissions from our operations could cause us to incur significant costs.”</w:t>
      </w:r>
    </w:p>
    <w:p>
      <w:pPr>
        <w:spacing w:after="0" w:line="8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(“NDC”), which set greenhouse gas emission reduction goals, every five years beginning in 2020. The United States exited the Paris Agreement in November 2020, but rejoined the agreement effective February 19, 2021. In April 2021, the United States made its NDC submittal, setting an emissions reduction goal of a 50 to 52% reduction from 2005 levels in economy-wide net greenhouse gas pollution in 2030. Further, in November 2021, the United States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alternative sources of energy.</w:t>
      </w:r>
    </w:p>
    <w:p>
      <w:pPr>
        <w:spacing w:after="0" w:line="8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adopted rules and regulations in April 2022 to address the formation of ground-level ozone, including from existing oil and natural gas operations. In August 2022, the NMED issued a final rule imposing additional controls on oil and natural gas operations to reduce ozone-precursor emissions. A challenge to the ozone precursor rule is currently pending in New Mexico state court.</w:t>
      </w:r>
    </w:p>
    <w:p>
      <w:pPr>
        <w:spacing w:after="0" w:line="86"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For instance, in January 2021, President Biden issued Executive Order 14088, which directed a government-wide effort to address climate change by reducing greenhouse gas emissions and achieving net-zero global carbon emissions by 2050 or before. That effort is designed to infuse climate policy in all aspects of federal decision-making, including specific directives that touch on foreign policy, national security, financial regulation, federal procurement, infrastructure, and environmental justice among other things. Based on this Executive Order and other findings, the EPA has begun adopting and implementing a comprehensive suite of regulations to restrict emissions of greenhouse gases under existing provisions of the CAA. On December 2, 2023, the EPA issued a prepublication version of a final rule to regulate emissions from oil and natural gas sources that includes NSPS to limit greenhouse gas and volatile organic compound emissions for new, modified or reconstructed sources, as well as emissions guidelines for states to follow when establishing plans to limit methane emissions from existing sources. Additionally, on November 17, 2023, the EPA issued a final rule that enables states to implement more stringent methane emissions standards than the federal guidelines require. As another example, in January 2023, the EPA announced a proposed consent decree that, if finalized as proposed, would establish a December 10, 2024 deadline for the EPA to review and propose revisions to the National Emission Standards for Hazardous Air Pollutants (“NESHAP”) for oil and natural gas production facilities and natural gas transmission and storage facilities, which may require us to make additional changes to our operations.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Factors—Risks Related to Laws and Regulations—Legislation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 and “Risk Factors—Risks Related to Laws and Regulations—New regulations on all emissions from our operations could cause us to incur significant costs.”</w:t>
      </w:r>
    </w:p>
    <w:p>
      <w:pPr>
        <w:spacing w:after="0" w:line="81"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8"/>
          <w:szCs w:val="18"/>
          <w:color w:val="auto"/>
        </w:rPr>
        <w:t>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 contact with crude oil and natural gas production and processing streams. Some states, including Texas, New Mexico and Louisiana, have enacted regulations governing the handling, treatment, storage and disposal of NORM.</w:t>
      </w:r>
    </w:p>
    <w:p>
      <w:pPr>
        <w:spacing w:after="0" w:line="8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spacing w:after="0" w:line="7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Endangered Species Act (“ESA”) was established to protect endangered and threatened species. Pursuant to the ESA, if a species is listed as threatened or endangered, restrictions may be imposed on activities adversely affecting that species’ habitat. On March 27, 2023, a final rule became effective that, among other things, lists the lesser prairie-chicken as endangered under the ESA in certain portions of Southeast New Mexico where we operate. On July 3, 2023, the USFWS issued a proposed rule to list the dunes sagebrush lizard as endangered. Similar protections are offered to migratory birds under the Migratory Bird Treaty Act and to bald and golden eagles under the Bald and Golden Eagle Protection Act. The USFWS must also designate the species’ critical habitat and suitable habitat as part of the effort to ensure survival of the species. A critical habitat or suitable habitat designation could result in material restrictions on land use and may materially impact oil and natural gas development. Our oil and natural gas operations in certain of our operating areas could also be adversely affected by seasonal or permanent restrictions on drilling activity designed to protect certain wildlife in the Delaware Basin and other areas in which we operate and our ability to maximize production from our leases may be adversely impacted by these restrictions. See “Risk Factors—Risks Related to Laws and Regulations—We are subject to government regulation and liability, including complex environmental laws, which could require significant expenditures.”</w:t>
      </w:r>
    </w:p>
    <w:p>
      <w:pPr>
        <w:spacing w:after="0" w:line="8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stringent laws and regulations protecting the environment will not be adopted or that we will not otherwise incur material expenses in connection with environmental laws and regulations in the future. The clear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 See “Risk Factors—Risks Related to Laws and Regulations—We are subject to government regulation and liability, including complex environmental laws, which could require significant expenditures.”</w:t>
      </w:r>
    </w:p>
    <w:p>
      <w:pPr>
        <w:spacing w:after="0" w:line="8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Oil and natural gas exploration and production operations and other activities have been conducted on some of our properties by previous owners and operators. Operations by previous owners and operators may not have been conducted in compliance with applicable rules and regulations, and materials from these operations may remain on some of the properties, and, in some instances, require remediation. In addition, we occasionally must agree to indemnify sellers and buyers, respectively, of producing properties against some of the liability for environmental claims or violations associated with the properties we purchase or sell, respectively. Moreover, we will be able to control directly the operations of only those wells we operate. Despite our lack of control over wells owned partly by us but operated by others, the failure of the operator to comply with the applicable environmental regulations may, in certain circumstances, be attributable to us. While we do not believe that costs we incur for compliance with environmental regulations and remediating previously or currently owned or operated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will be material, we cannot provide any assurances that these costs will not result in material expenditures that adversely affect our profitability.</w:t>
      </w:r>
    </w:p>
    <w:p>
      <w:pPr>
        <w:spacing w:after="0" w:line="11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maintain insurance against some, but not all, potential risks and losses associated with our industry and operations. We generally do not carry business interruption insurance.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 See “Risk Factors—Risks Related to our Operations—Insurance against all operational risks is not available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Location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corporate headquarters are located at One Lincoln Centre, 5400 LBJ Freeway, Suite 1500, Dallas, Texas 75240.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At December 31, 2023, we had 395 full-time employees. We believe that our relationships with our employees are satisfactory. No employee is covered by a collective bargaining agreement. From time to time, we use the services of independent consultants and contractors to perform various professional services, including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and complete all of our wells and usually perform field and on-site production operation services for us, including midstream services, facilities construction, pumping, maintenance, dispatching, inspection and testing. If significant opportunities for company growth arise and require additional management and professional expertise, we will seek to employ qualified individuals to fill positions where that expertise is necessary to develop those opportunities.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Recruiting, Retention and Professional Development</w:t>
      </w:r>
    </w:p>
    <w:p>
      <w:pPr>
        <w:spacing w:after="0" w:line="119" w:lineRule="exact"/>
        <w:rPr>
          <w:sz w:val="20"/>
          <w:szCs w:val="20"/>
          <w:color w:val="auto"/>
        </w:rPr>
      </w:pPr>
    </w:p>
    <w:p>
      <w:pPr>
        <w:jc w:val="both"/>
        <w:ind w:right="560" w:firstLine="445"/>
        <w:spacing w:after="0" w:line="266" w:lineRule="auto"/>
        <w:rPr>
          <w:sz w:val="20"/>
          <w:szCs w:val="20"/>
          <w:color w:val="auto"/>
        </w:rPr>
      </w:pPr>
      <w:r>
        <w:rPr>
          <w:rFonts w:ascii="Times New Roman" w:cs="Times New Roman" w:eastAsia="Times New Roman" w:hAnsi="Times New Roman"/>
          <w:sz w:val="18"/>
          <w:szCs w:val="18"/>
          <w:color w:val="auto"/>
        </w:rPr>
        <w:t>We promote inclusion throughout our organization. We respect cultural diversity and do not tolerate harassment or discrimination of any kind, including, but not limited to, discrimination based on race, color, ethnicity, religion, gender, sexual orientation, gender identity, age, national origin, disability and veteran or marital status.</w:t>
      </w:r>
    </w:p>
    <w:p>
      <w:pPr>
        <w:spacing w:after="0" w:line="6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employees are our most important asset. We have invested the time, attention and resources necessary to recruit, retain and develop an extraordinary team. We offer a comprehensive compensation package with base pay, discretionary bonus and equity incentive opportunities, paid time off, 401(k) matching contributions, an employee stock purchase plan and an affordable and comprehensive health insurance program, among other benefits. We also provide employees the opportunity to have significant responsibility and daily interaction with our executive management and team leaders.</w:t>
      </w:r>
    </w:p>
    <w:p>
      <w:pPr>
        <w:spacing w:after="0" w:line="7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We encourage continuing education and study, requiring every employee to complete at least 40 hours of professional training annually. In 2023, for example, our employees completed approximately 22,000 hours of continuing education and study, equating to approximately 59 hours per employee. We also have a formal leadership program that fosters the development and growth of many of our staff with regular meetings and opportunities to enhance their leadership skills.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Proactive Safety Culture</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are proud to have a company culture that emphasizes safety throughout our operations. Our Health, Safety and Environmental (“HSE”) group and of the experienced field and office staff involved in our drilling, completion, production and midstream operations proactively work to minimize safety risks and address any potential areas of concern.</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We emphasize the importance of recruiting and maintaining a quality HSE group, and we believe it is important that our HSE group has actual hands-on experience in the field to understand the challenges and issues that can arise. Our HSE group’s experience allows us to understand the technical issues faced by our field employees and contractors, as well as maintain an open dialogue with community leaders in the areas we operate about potential safety issues and mitigation efforts.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i w:val="1"/>
          <w:iCs w:val="1"/>
          <w:color w:val="auto"/>
        </w:rPr>
        <w:t>www.matadorresources.com</w:t>
      </w:r>
      <w:r>
        <w:rPr>
          <w:rFonts w:ascii="Times New Roman" w:cs="Times New Roman" w:eastAsia="Times New Roman" w:hAnsi="Times New Roman"/>
          <w:sz w:val="18"/>
          <w:szCs w:val="18"/>
          <w:color w:val="auto"/>
        </w:rPr>
        <w:t>. We make available, free of charge, through our website, our Annual Reports on Form 10-K, Quarterly Reports on Form 10-Q, Current Reports on Form 8-K and amendments to those reports, as soon as reasonably practicable after providing such reports to the SEC. Also, the charters of our Audit Committee, Environmental, Social and Corporate Governance Committee, Executive Committee, Nominating Committee and Strategic Planning and Compensation Committee, our Code of Ethics and Business Conduct for Officers, Directors and Employees and information regarding certain of our ESG initiatives, investor presentations, press releases and shareholder communications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summary of some of the risks and uncertainties that could materially adversely affect our business, financial condition, results of operations and cash flows. You should read this summary together with the more detailed risk factors contained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Financial Condition</w:t>
      </w:r>
    </w:p>
    <w:p>
      <w:pPr>
        <w:spacing w:after="0" w:line="6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the prices of oil, natural gas and NGLs, the volatility of which may adversely affect our financial condition.</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and the broader U.S. economy have experienced higher than expected inflationary pressures in recent years.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impact of the ongoing military conflicts between Russia and Ukraine and Israel and Hamas.</w:t>
      </w:r>
    </w:p>
    <w:p>
      <w:pPr>
        <w:ind w:left="660" w:hanging="328"/>
        <w:spacing w:after="0" w:line="23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substantial capital expenditures that may exceed our cash flows from operations and potential borrowings.</w:t>
      </w:r>
    </w:p>
    <w:p>
      <w:pPr>
        <w:ind w:left="660" w:hanging="328"/>
        <w:spacing w:after="0" w:line="24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oil and natural gas reserves are estimated, and significant inaccuracies in our oil and natural gas reserves estimates or underlying assumptions will materially affect the quantities and present value of our reserves.</w:t>
      </w:r>
    </w:p>
    <w:p>
      <w:pPr>
        <w:spacing w:after="0" w:line="1" w:lineRule="exact"/>
        <w:rPr>
          <w:rFonts w:ascii="Times New Roman" w:cs="Times New Roman" w:eastAsia="Times New Roman" w:hAnsi="Times New Roman"/>
          <w:sz w:val="18"/>
          <w:szCs w:val="18"/>
          <w:color w:val="auto"/>
        </w:rPr>
      </w:pPr>
    </w:p>
    <w:p>
      <w:pPr>
        <w:ind w:left="660" w:right="260" w:hanging="328"/>
        <w:spacing w:after="0" w:line="24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calculated present value of future net revenues from our proved oil and natural gas reserves will not necessarily be the same as the current market value of our estimated oil and natural gas reserves.</w:t>
      </w:r>
    </w:p>
    <w:p>
      <w:pPr>
        <w:spacing w:after="0" w:line="1" w:lineRule="exact"/>
        <w:rPr>
          <w:rFonts w:ascii="Times New Roman" w:cs="Times New Roman" w:eastAsia="Times New Roman" w:hAnsi="Times New Roman"/>
          <w:sz w:val="18"/>
          <w:szCs w:val="18"/>
          <w:color w:val="auto"/>
        </w:rPr>
      </w:pPr>
    </w:p>
    <w:p>
      <w:pPr>
        <w:ind w:left="660" w:right="340" w:hanging="328"/>
        <w:spacing w:after="0" w:line="23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39% of our total proved reserves at December 31, 2023 consisted of undeveloped and developed non-producing reserves, and those reserves may not ultimately be developed or produced.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replace our oil and natural gas reserves, our reserves and production will decline.</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write down the carrying value of our proved properties under accounting rules.</w:t>
      </w:r>
    </w:p>
    <w:p>
      <w:pPr>
        <w:ind w:left="660" w:hanging="328"/>
        <w:spacing w:after="0" w:line="23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transactions, or the lack thereof, may limit our potential gains and could result in financial losses.</w:t>
      </w:r>
    </w:p>
    <w:p>
      <w:pPr>
        <w:ind w:left="660" w:right="560" w:hanging="328"/>
        <w:spacing w:after="0" w:line="24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differentials between benchmark prices of oil and natural gas and the wellhead price we receive for our production could adversely affect us.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identify, complete or integrate future acquisitions successfully could reduce our earnings and hamper our growth.</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purchase properties or midstream assets with liabilities or risks that we did not know about or assess correctly.</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or costs as a result of title deficiencies in the properties in which we invest.</w:t>
      </w:r>
    </w:p>
    <w:p>
      <w:pPr>
        <w:ind w:left="660" w:right="120" w:hanging="328"/>
        <w:spacing w:after="0" w:line="243"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dispositions of assets, or interests in assets, may be subject to factors beyond our control, and in certain cases we may be required to retain liabilities for certain matters.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Liquidity</w:t>
      </w:r>
    </w:p>
    <w:p>
      <w:pPr>
        <w:spacing w:after="0" w:line="65" w:lineRule="exact"/>
        <w:rPr>
          <w:sz w:val="20"/>
          <w:szCs w:val="20"/>
          <w:color w:val="auto"/>
        </w:rPr>
      </w:pPr>
    </w:p>
    <w:p>
      <w:pPr>
        <w:ind w:left="660" w:right="720" w:hanging="328"/>
        <w:spacing w:after="0" w:line="24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fund our capital expenditures, service all of our indebtedness and pay dividends to our shareholders, and we may incur additional indebtedness, which could reduce our financial flexibility.</w:t>
      </w:r>
    </w:p>
    <w:p>
      <w:pPr>
        <w:ind w:left="660" w:right="220" w:hanging="328"/>
        <w:spacing w:after="0" w:line="24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base under our Credit Agreement is subject to periodic redetermination, and we are subject to interest rate risk under our Credit Agreement and the San Mateo Credit Facility.</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agreements governing our outstanding indebtedness may restrict our current and future operations.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 may be downgraded, which could reduce our financial flexibility.</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are at the discretion of our Board of Directors and subject to numerous factors.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Operations</w:t>
      </w:r>
    </w:p>
    <w:p>
      <w:pPr>
        <w:spacing w:after="0" w:line="6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for and producing oil, natural gas and NGLs is highly speculative and involves a high degree of operational and financial risk.</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operational hazards and risks, and insurance against all such risks is not available to us.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and production are concentrated in a few core areas.</w:t>
      </w:r>
    </w:p>
    <w:p>
      <w:pPr>
        <w:ind w:left="660" w:hanging="328"/>
        <w:spacing w:after="0" w:line="23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we will be successful in optimizing our spacing, drilling and completions techniques.</w:t>
      </w:r>
    </w:p>
    <w:p>
      <w:pPr>
        <w:ind w:left="660" w:right="160" w:hanging="328"/>
        <w:spacing w:after="0" w:line="24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properties are in areas that may have been partially depleted or drained by offset wells, and certain of our wells may be adversely affected by actions of other operators.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Multi-well pad drilling may result in volatility in our operating results.</w:t>
      </w:r>
    </w:p>
    <w:p>
      <w:pPr>
        <w:ind w:left="660" w:right="240" w:hanging="328"/>
        <w:spacing w:after="0" w:line="24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or high cost of drilling rigs, completion equipment and services, supplies and personnel could adversely affect our ability to establish and execute exploration and development plans within budget and on a timely basis.</w:t>
      </w:r>
    </w:p>
    <w:p>
      <w:pPr>
        <w:spacing w:after="0" w:line="1" w:lineRule="exact"/>
        <w:rPr>
          <w:rFonts w:ascii="Times New Roman" w:cs="Times New Roman" w:eastAsia="Times New Roman" w:hAnsi="Times New Roman"/>
          <w:sz w:val="18"/>
          <w:szCs w:val="18"/>
          <w:color w:val="auto"/>
        </w:rPr>
      </w:pPr>
    </w:p>
    <w:p>
      <w:pPr>
        <w:ind w:left="660" w:right="240" w:hanging="328"/>
        <w:spacing w:after="0" w:line="23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acquire adequate supplies of water for our drilling and hydraulic fracturing operations or dispose of the water we use at a reasonable cost and pursuant to applicable environmental rules.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could prevent our ability to continue to pool wells in accordance with our past practices.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 projects are subject to risks of construction delays and cost over-runs.</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right="580" w:hanging="328"/>
        <w:spacing w:after="0" w:line="25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identified drilling locations are scheduled over several years, making them susceptible to uncertainties and lease expirations that could materially alter the occurrence or timing of their drilling.</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seismic data and other technologies we use cannot eliminate exploration risk.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Third Parties</w:t>
      </w:r>
    </w:p>
    <w:p>
      <w:pPr>
        <w:spacing w:after="0" w:line="65" w:lineRule="exact"/>
        <w:rPr>
          <w:sz w:val="20"/>
          <w:szCs w:val="20"/>
          <w:color w:val="auto"/>
        </w:rPr>
      </w:pPr>
    </w:p>
    <w:p>
      <w:pPr>
        <w:ind w:left="660" w:right="40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encountered by purchasers, operators or other third parties could decrease our cash flows from operations and adversely affect the exploration and development of our prospects and assets.</w:t>
      </w:r>
    </w:p>
    <w:p>
      <w:pPr>
        <w:ind w:left="660" w:hanging="328"/>
        <w:spacing w:after="0" w:line="23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marketability of our production is dependent upon gathering, processing and transportation facilities.</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 portion of our operations through joint ventures, including San Mateo, which subjects us to certain risks.</w:t>
      </w:r>
    </w:p>
    <w:p>
      <w:pPr>
        <w:ind w:left="660" w:right="140" w:hanging="328"/>
        <w:spacing w:after="0" w:line="24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Mateo’s and Pronto’s long-term success depends on their ability to obtain new sources of products, which depends on certain factors beyond their control.</w:t>
      </w:r>
    </w:p>
    <w:p>
      <w:pPr>
        <w:spacing w:after="0" w:line="1" w:lineRule="exact"/>
        <w:rPr>
          <w:rFonts w:ascii="Times New Roman" w:cs="Times New Roman" w:eastAsia="Times New Roman" w:hAnsi="Times New Roman"/>
          <w:sz w:val="18"/>
          <w:szCs w:val="18"/>
          <w:color w:val="auto"/>
        </w:rPr>
      </w:pPr>
    </w:p>
    <w:p>
      <w:pPr>
        <w:ind w:left="660" w:right="680" w:hanging="328"/>
        <w:spacing w:after="0" w:line="24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long-term contracts require us to pay fees to our service providers based on minimum volumes regardless of actual volume throughput and may limit our ability to use other service providers.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own all of the land on which our midstream assets are located, which could disrupt our operations.</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is intense, and our competitors may use superior technology and data resources.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relationships upon which we may rely are subject to change.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control over activities on properties we do not operate.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Laws and Regulations</w:t>
      </w:r>
    </w:p>
    <w:p>
      <w:pPr>
        <w:spacing w:after="0" w:line="65" w:lineRule="exact"/>
        <w:rPr>
          <w:sz w:val="20"/>
          <w:szCs w:val="20"/>
          <w:color w:val="auto"/>
        </w:rPr>
      </w:pPr>
    </w:p>
    <w:p>
      <w:pPr>
        <w:ind w:left="660" w:right="920" w:hanging="328"/>
        <w:spacing w:after="0" w:line="25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32% of our leasehold and mineral acres in the Delaware Basin is located on federal lands, which are subject to various requirements and regulations.</w:t>
      </w:r>
    </w:p>
    <w:p>
      <w:pPr>
        <w:ind w:left="660" w:hanging="328"/>
        <w:spacing w:after="0" w:line="23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complex environmental laws, which could require significant expenditures.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tax laws and may become subject to new taxes, or tax deductions currently available to us may be eliminated or reduced.</w:t>
      </w:r>
    </w:p>
    <w:p>
      <w:pPr>
        <w:ind w:left="660" w:right="100" w:hanging="328"/>
        <w:spacing w:after="0"/>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regulatory initiatives relating to hydraulic fracturing, induced seismicity, emissions and climate change could result in increased costs and additional operating restrictions or delays, and the physical effects of climate change could disrupt our production and cause us to incur significant costs.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climate disclosure rules proposed by the SEC or states in which we have operations or do business could increase our costs of compliance.</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and liabilities resulting from compliance with pipeline safety regulations.</w:t>
      </w:r>
    </w:p>
    <w:p>
      <w:pPr>
        <w:ind w:left="660" w:right="20" w:hanging="328"/>
        <w:spacing w:after="0" w:line="24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jurisdictional characterization of some of our assets by FERC or a change in policy by FERC may result in increased regulation of our assets.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our regulated assets are subject to review and reporting by federal regulators.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fail to comply with FERC-administered statutes, rules, regulations and orders, we could be subject to substantial penalties and fines.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legislation adopted by Congress could limit our ability to hedge risks associated with our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Common Stock</w:t>
      </w:r>
    </w:p>
    <w:p>
      <w:pPr>
        <w:spacing w:after="0" w:line="6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fluctuated substantially and may fluctuate substantially in the future.</w:t>
      </w:r>
    </w:p>
    <w:p>
      <w:pPr>
        <w:spacing w:after="0" w:line="27"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to ESG and conservation matters and a negative shift in market perception towards the oil and natural gas industry could adversely affect us.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offerings of our common stock could depress the price of our common stock.</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own a significant percentage of our equity, which could give them influence in corporate transactions and other matters, and their interests could differ from other shareholders.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preferred stock could diminish the rights of holders of our common 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6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managing growth in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key personnel or Board member could disrupt our business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incident could occur and result in information theft, data corruption, operational disruption or financial loss.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governing documents and Texas law may have anti-takeover effects that could prevent a change in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litigious environment and may be involved in legal proceedings.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10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39" w:lineRule="exact"/>
        <w:rPr>
          <w:sz w:val="20"/>
          <w:szCs w:val="20"/>
          <w:color w:val="auto"/>
        </w:rPr>
      </w:pPr>
    </w:p>
    <w:p>
      <w:pPr>
        <w:ind w:firstLine="445"/>
        <w:spacing w:after="0" w:line="250" w:lineRule="auto"/>
        <w:rPr>
          <w:sz w:val="20"/>
          <w:szCs w:val="20"/>
          <w:color w:val="auto"/>
        </w:rPr>
      </w:pPr>
      <w:r>
        <w:rPr>
          <w:rFonts w:ascii="Times New Roman" w:cs="Times New Roman" w:eastAsia="Times New Roman" w:hAnsi="Times New Roman"/>
          <w:sz w:val="18"/>
          <w:szCs w:val="18"/>
          <w:color w:val="auto"/>
        </w:rPr>
        <w:t>The prices we receive for the oil, natural gas and NGLs we produce heavily influence our revenue, profitability, cash flow available for capital expenditures, the repayment of debt and the payment of cash dividends, if any, access to capital, borrowing capacity under our Credit Agreement and future rate of growth. Oil, natural gas and NGLs are commodities and,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their prices are subject to wide fluctuations in response to relatively minor changes in supply and demand. Historically, the markets for oil,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and NGLs have been volatile and will likely continue to be volatile in the future. For the year ended December 31, 2023, oil prices averaged</w:t>
      </w:r>
    </w:p>
    <w:p>
      <w:pPr>
        <w:spacing w:after="0" w:line="234" w:lineRule="auto"/>
        <w:rPr>
          <w:sz w:val="20"/>
          <w:szCs w:val="20"/>
          <w:color w:val="auto"/>
        </w:rPr>
      </w:pPr>
      <w:r>
        <w:rPr>
          <w:rFonts w:ascii="Times New Roman" w:cs="Times New Roman" w:eastAsia="Times New Roman" w:hAnsi="Times New Roman"/>
          <w:sz w:val="18"/>
          <w:szCs w:val="18"/>
          <w:color w:val="auto"/>
        </w:rPr>
        <w:t>$77.60 per Bbl, as compared to $94.33 per Bbl in 2022, ranging from a high of $93.68 per Bbl in late September to a low of $66.74 per Bbl in mid-March,</w:t>
      </w:r>
    </w:p>
    <w:p>
      <w:pPr>
        <w:spacing w:after="0" w:line="235" w:lineRule="auto"/>
        <w:rPr>
          <w:sz w:val="20"/>
          <w:szCs w:val="20"/>
          <w:color w:val="auto"/>
        </w:rPr>
      </w:pPr>
      <w:r>
        <w:rPr>
          <w:rFonts w:ascii="Times New Roman" w:cs="Times New Roman" w:eastAsia="Times New Roman" w:hAnsi="Times New Roman"/>
          <w:sz w:val="18"/>
          <w:szCs w:val="18"/>
          <w:color w:val="auto"/>
        </w:rPr>
        <w:t>based upon the WTI oil futures contract price for the earliest delivery date. For the year ended December 31, 2023, natural gas prices averaged $2.66 per</w:t>
      </w:r>
    </w:p>
    <w:p>
      <w:pPr>
        <w:spacing w:after="0" w:line="235" w:lineRule="auto"/>
        <w:rPr>
          <w:sz w:val="20"/>
          <w:szCs w:val="20"/>
          <w:color w:val="auto"/>
        </w:rPr>
      </w:pPr>
      <w:r>
        <w:rPr>
          <w:rFonts w:ascii="Times New Roman" w:cs="Times New Roman" w:eastAsia="Times New Roman" w:hAnsi="Times New Roman"/>
          <w:sz w:val="18"/>
          <w:szCs w:val="18"/>
          <w:color w:val="auto"/>
        </w:rPr>
        <w:t>MMBtu, as compared to $6.54 per MMbtu in 2022, based upon the NYMEX Henry Hub natural gas futures contract price for the earliest delivery date.</w:t>
      </w:r>
    </w:p>
    <w:p>
      <w:pPr>
        <w:spacing w:after="0" w:line="235" w:lineRule="auto"/>
        <w:rPr>
          <w:sz w:val="20"/>
          <w:szCs w:val="20"/>
          <w:color w:val="auto"/>
        </w:rPr>
      </w:pPr>
      <w:r>
        <w:rPr>
          <w:rFonts w:ascii="Times New Roman" w:cs="Times New Roman" w:eastAsia="Times New Roman" w:hAnsi="Times New Roman"/>
          <w:sz w:val="18"/>
          <w:szCs w:val="18"/>
          <w:color w:val="auto"/>
        </w:rPr>
        <w:t>During 2023, natural gas prices ranged from a low of $1.99 per MMBtu in late March to a high of $4.17 per MMBtu in early January before finishing the</w:t>
      </w:r>
    </w:p>
    <w:p>
      <w:pPr>
        <w:spacing w:after="0"/>
        <w:rPr>
          <w:sz w:val="20"/>
          <w:szCs w:val="20"/>
          <w:color w:val="auto"/>
        </w:rPr>
      </w:pPr>
      <w:r>
        <w:rPr>
          <w:rFonts w:ascii="Times New Roman" w:cs="Times New Roman" w:eastAsia="Times New Roman" w:hAnsi="Times New Roman"/>
          <w:sz w:val="18"/>
          <w:szCs w:val="18"/>
          <w:color w:val="auto"/>
        </w:rPr>
        <w:t>year at $2.51 per MMBtu.</w:t>
      </w:r>
    </w:p>
    <w:p>
      <w:pPr>
        <w:spacing w:after="0" w:line="84"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 prices we receive for our production, and the levels of our production, depend on numerous factors. These factors include, but are not limited to, the following:</w:t>
      </w:r>
    </w:p>
    <w:p>
      <w:pPr>
        <w:spacing w:after="0" w:line="5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 and foreign supply of, and demand for, oil, natural gas and NGLs;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OPEC+ and state-controlled oil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and availability of competitors’ supplies of oil, natural gas and NGLs;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foreign imports;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dollar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 taxes;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of oil and natural gas futures contracts;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proximity and capacity of gathering, processing and transportation systems for oil, natural gas and NGLs and gathering and disposal systems for produced water;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refining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and availability of alternative fuel sources;</w:t>
      </w:r>
    </w:p>
    <w:p>
      <w:pPr>
        <w:spacing w:after="0" w:line="11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 including hurricanes and tropical storms in the Gulf Coast region and severe cold weather in the Delaware Basin;</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conflicts in or affecting oil, natural gas and NGL producing regions or countries, including the United States, the Middle East, South America, Russia, Ukraine and China;</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military conflicts between Russia and Ukraine and Israel and Hamas, as well as the related actions of U.S. and other governments and governmental organizations relating to oil, natural gas and NGLs, including through sanctions, embargoes, import restrictions and commodity price caps;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or global health concerns, including the outbreak or resurgence of contagious or pandemic diseases, such as COVID-19 and its variants;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threat of terrorism and the impact of military action and civil unrest;</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pressure on, and legislative and regulatory interest within, federal, state and local governments to stop, significantly limit or regulate oil, natural gas and NGL operations, including hydraulic fracturing activities;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oil, natural gas and NGL inventories and exploration and production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energy conservation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worldwide economic conditions.</w:t>
      </w:r>
    </w:p>
    <w:p>
      <w:pPr>
        <w:spacing w:after="0" w:line="117"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These factors make it difficult to predict future commodity price movements with any certainty. Substantially all of our oil, natural gas and NGL sales are made in the spot market or pursuant to contracts based on spot market prices and are not pursuant to long-term fixed price contracts. Further, oil, natural gas and NGL prices do not necessarily fluctuate in direct relation to each other.</w:t>
      </w:r>
    </w:p>
    <w:p>
      <w:pPr>
        <w:spacing w:after="0" w:line="6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Declines in oil, natural gas or NGL prices not only reduce our revenue, but could also reduce the amount of oil, natural gas and NGLs that we can produce economically and, as a result, could have a material adverse effect on our financial condition, results of operations, cash flows and reserves and our ability to comply with the financial covenants under our Credit Agreement. Should oil, natural gas or NGL prices decrease to economically unattractive levels and remain there for an extended period of time, we may elect to delay some of our exploration and development plans for our prospects, cease exploration or development activities on certain prospects due to the anticipated unfavorable economics from such activities or cease or delay further expansion of our midstream projects, each of which could have a material adverse effect on our business, financial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Our industry and the broader U.S. economy have experienced higher than expected inflationary pressures in recent years related to increases in oil and natural gas prices, continued supply chain disruptions, labor shortages and geopolitical instability, among other pressures. Should these conditions persist, it may impact our ability to procure services, materials and equipment on a cost-effective basis, or at all, and, as a result, our business, financial condition, results of operations and cash flows could be materially and adversely affected.</w:t>
      </w:r>
    </w:p>
    <w:p>
      <w:pPr>
        <w:spacing w:after="0" w:line="7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Inflation in the U.S. has become much more significant in recent years. Throughout 2022 and 2023, we experienced significant increases in the costs of certain oilfield services, materials and equipment, including diesel, steel, labor, trucking, sand, personnel and completion costs, among others, as a result of the recent increases in oil and natural gas prices, as well as availability constraints, supply chain disruptions, increased demand, labor shortages and wage increases associated with a low U.S unemployment rate, inflation and other factors. Supply and demand fundamentals have been aggravated by disruptions in global energy supply caused by multiple geopolitical events, including the ongoing military conflicts between Russia and Ukraine and Israel and Hamas, as well as related actions of the U.S. and other governments and governmental organizations relating to oil, natural gas and NGLs, including through sanctions, embargoes, import restrictions and commodity price caps. Should oil and natural gas prices remain at their current levels or increase, we expect to be subject to additional supply chain constraints and service cost inflation in future periods, which may increase our costs to drill, complete, equip and operate wells. In addition, supply chain disruptions and other inflationary pressures being experienced throughout the U.S.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have a material adverse effect on our business, financial condition, results of operations and cash flows.</w:t>
      </w:r>
    </w:p>
    <w:p>
      <w:pPr>
        <w:spacing w:after="0" w:line="13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We cannot predict the impact of the ongoing military conflicts between Russia and Ukraine and Israel and Hamas and the related humanitarian crises on the global economy, energy markets, geopolitical stability and our business.</w:t>
      </w:r>
    </w:p>
    <w:p>
      <w:pPr>
        <w:spacing w:after="0" w:line="52"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Although our leasehold acreage is located primarily in the Delaware Basin, the broader consequences of the conflicts between Russia and Ukraine and Israel and Hamas, which may include further sanctions, embargoes, supply chain disruptions, regional instability and geopolitical shifts, may have adverse effects on global macroeconomic conditions, increase volatility in the price and demand for oil and natural gas, increase exposure to cyberattacks, cause disruptions in global supply chains, increase foreign currency fluctuations, cause constraints or disruption in the capital markets and limit sources of liquidity. We cannot predict the extent of either conflict’s effect on our business and results of operations as well as on the global economy and energy markets.</w:t>
      </w:r>
    </w:p>
    <w:p>
      <w:pPr>
        <w:spacing w:after="0" w:line="131"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7"/>
          <w:szCs w:val="17"/>
          <w:i w:val="1"/>
          <w:iCs w:val="1"/>
          <w:color w:val="auto"/>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Our exploration, development, exploitation and midstream activities are capital intensive. Our cash, operating cash flows, contributions from our joint venture partners and potential future borrowings under our Credit Agreement, the San Mateo Credit Facility or otherwise may not be sufficient to fund all of our future capital expenditures or future acquisitions. The rate of our future growth is dependent, at least in part, on our ability to access capital at rates and on terms we determine to be acceptable.</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flows from operations and access to capital are subject to a number of variables, including:</w:t>
      </w:r>
    </w:p>
    <w:p>
      <w:pPr>
        <w:spacing w:after="0" w:line="11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proved oil and natural gas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oil and natural gas we produce;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sell our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producing our oil and natural gas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constructing, operating and maintaining our midstream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third-party customers for our midstream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locate and produce new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banks or other financial institutions to lend to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equity and debt capital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In addition, the possible occurrence of future events, such as decreases in the prices of oil and natural gas, or extended periods of such decreased prices, terrorist attacks, wars or combat peace-keeping missions, the outbreak or resurgence of contagious or pandemic diseases, financial market disruptions, failures of banks, general economic recessions, oil and natural gas industry recessions, oil and natural gas company bankruptcies, accounting scandals, overstated reserves estimates by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 available to the energy industry in the past, and such events or similar events could adversely affect our access to funding for our operations in the future.</w:t>
      </w:r>
    </w:p>
    <w:p>
      <w:pPr>
        <w:spacing w:after="0" w:line="8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develop our properties, pay for higher service costs, fund acquisitions, increase our rate of growth, or expand our midstream operations, we may decide to alter or increase our capitalization substantially through the issuance of debt or equity securities, the sale of production payments, the sale or joint venture of midstream assets, oil and natural gas producing assets or leasehold interests, the sale or joint venture of oil and natural gas mineral interests, the borrowing of funds or otherwise to meet any increase in capital spending. If we succeed in selling additional equity securities or securities convertible into equity securities to raise funds or make acquisitions, 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results of operations could be adversely affected.</w:t>
      </w:r>
    </w:p>
    <w:p>
      <w:pPr>
        <w:spacing w:after="0" w:line="8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5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process of estimating accumulations of oil and natural gas is complex and inexact due to numerous inherent uncertainties. This process relies on interpretations of available geological, geophysical, engineering and production data. The extent, quality and reliability of this technical data can vary. This process also requires certain economic assumptions related to, among other things, oil and natural gas prices, drilling and operating expenses, capital expenditures, taxes and availability of funds. The accuracy of a reserves estimate is a function of:</w:t>
      </w:r>
    </w:p>
    <w:p>
      <w:pPr>
        <w:spacing w:after="0" w:line="7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quantity of available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that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persons preparing the estimate;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used.</w:t>
      </w:r>
    </w:p>
    <w:p>
      <w:pPr>
        <w:spacing w:after="0" w:line="117" w:lineRule="exact"/>
        <w:rPr>
          <w:sz w:val="20"/>
          <w:szCs w:val="20"/>
          <w:color w:val="auto"/>
        </w:rPr>
      </w:pPr>
    </w:p>
    <w:p>
      <w:pPr>
        <w:ind w:right="260" w:firstLine="445"/>
        <w:spacing w:after="0" w:line="258" w:lineRule="auto"/>
        <w:rPr>
          <w:sz w:val="20"/>
          <w:szCs w:val="20"/>
          <w:color w:val="auto"/>
        </w:rPr>
      </w:pPr>
      <w:r>
        <w:rPr>
          <w:rFonts w:ascii="Times New Roman" w:cs="Times New Roman" w:eastAsia="Times New Roman" w:hAnsi="Times New Roman"/>
          <w:sz w:val="18"/>
          <w:szCs w:val="18"/>
          <w:color w:val="auto"/>
        </w:rPr>
        <w:t>The accuracy of any estimates of proved oil and natural gas reserves generally increases with the length of production history. Due to the limited production history of certain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spacing w:after="0" w:line="75"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spacing w:after="0" w:line="66"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The calculated present value of future net revenues from our proved oil and natural gas reserves will not necessarily be the same as the current market value of our estimated oil and natural gas reserves.</w:t>
      </w:r>
    </w:p>
    <w:p>
      <w:pPr>
        <w:spacing w:after="0" w:line="52"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It should not be assumed that the present value of future net cash flows included in this Annual Report is the current market value of our estimated proved oil and natural gas reserves. As required by SEC rules and regulations, the estimated discounted future net cash flows from proved oil and natural gas reserves are based on current costs held constant over time without escalation and on commodity prices using an unweighted arithmetic average of first-day-of-the-month index prices, appropriately adjusted, for the 12-month period immediately preceding the date of the estimate. Actual future prices and costs may be materially higher or lower than the prices and costs used for these estimates and will be affected by factors such as:</w:t>
      </w:r>
    </w:p>
    <w:p>
      <w:pPr>
        <w:spacing w:after="0" w:line="7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prices we receive for oil and natural gas;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costs and timing of development and production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actual production;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taxation.</w:t>
      </w:r>
    </w:p>
    <w:p>
      <w:pPr>
        <w:spacing w:after="0" w:line="117"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 addition, the 10% discount factor that is required to be used to calculate discounted future net revenues for reporting purposes under GAAP is not necessarily the most appropriate discount factor based on the cost of capital in effect from time to time and risks associated with our business and the oil and natural gas industry in general.</w:t>
      </w:r>
    </w:p>
    <w:p>
      <w:pPr>
        <w:spacing w:after="0" w:line="6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Approximately 39% of our total proved reserves at December 31, 2023 consisted of undeveloped and developed non-producing reserves, and those reserves may not ultimately be developed or produced.</w:t>
      </w:r>
    </w:p>
    <w:p>
      <w:pPr>
        <w:spacing w:after="0" w:line="5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At December 31, 2023, approximately 37% of our total proved reserves were undeveloped and approximately 2%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spacing w:after="0" w:line="84"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Unless we replace our oil and natural gas reserves, our reserves and production will decline, which would adversely affect our business, financial condition, results of operations and cash flows.</w:t>
      </w:r>
    </w:p>
    <w:p>
      <w:pPr>
        <w:spacing w:after="0" w:line="52"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on developing our assets in the Delaware Basin, an area with intense competition and industry activity. As a result of this activity, we may have difficulty growing our current production or acquiring new properties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spacing w:after="0" w:line="8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We may be required to write down the carrying value of our proved properties under accounting rules, and these write-downs could adversely affect our financial condition.</w:t>
      </w:r>
    </w:p>
    <w:p>
      <w:pPr>
        <w:spacing w:after="0" w:line="52"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There is a risk that we will be required to write down the carrying value of our oil and natural gas properties when oil or natural gas prices are low or are declining, as occurred in 2020. In addition, non-cash write-downs may occur if we have:</w:t>
      </w:r>
    </w:p>
    <w:p>
      <w:pPr>
        <w:spacing w:after="0" w:line="5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adjustments to our estimated proved reserves;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estimates of development costs;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our exploration and development results.</w:t>
      </w:r>
    </w:p>
    <w:p>
      <w:pPr>
        <w:spacing w:after="0" w:line="117"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 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transactions, or the lack thereof, may limit our potential gains and could result in financial losses.</w:t>
      </w:r>
    </w:p>
    <w:p>
      <w:pPr>
        <w:spacing w:after="0" w:line="119"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To manage our exposure to price risk, including price differential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 by the call option or swap, as applicable, and may offer protection if prices fall below the minimum price established by the put option or swap, as applicable, only to the extent of the volumes then hedged.</w:t>
      </w:r>
    </w:p>
    <w:p>
      <w:pPr>
        <w:spacing w:after="0" w:line="80"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See Note 12 to the consolidated financial statements in this Annual Report for a summary of our open derivative financial instruments at December 31, 2023.</w:t>
      </w:r>
    </w:p>
    <w:p>
      <w:pPr>
        <w:spacing w:after="0" w:line="7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5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prices we receive for our oil and natural gas production often reflect a discount to the relevant benchmark prices, such as the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w:t>
      </w:r>
    </w:p>
    <w:p>
      <w:pPr>
        <w:spacing w:after="0" w:line="7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Over the past several years, these oil and natural gas basis differentials were volatile and widened at various times. See “Management’s Discussion and Analysis of Financial Condition and Results of Operations—General Outlook and Trends” for additional information regarding the differentials. These wider oil and natural gas basis differentials were largely attributable to industry concerns regarding the near-term sufficiency of pipeline takeaway capacity for oil, natural gas and NGL production in the Delaware Basin. If we do experience any interruptions with takeaway capacity or NGL fractionation, our oil and natural gas revenues, business, financial condition, results of operations and cash flows could be adversely affected.</w:t>
      </w:r>
    </w:p>
    <w:p>
      <w:pPr>
        <w:spacing w:after="0" w:line="7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Although the completion of additional oil and natural gas pipeline capacity from West Texas to the Texas Gulf Coast and other end markets improved these price differentials in 2020 and 2021, these price differentials for natural gas widened in 2022 and 2023 and could widen further in future periods. Should we experience future periods of negative pricing for natural gas as we have experienced historically, we may temporarily shut in certain high gas-oil ratio wells and take other actions to mitigate the impact on our realized natural gas prices and results.</w:t>
      </w:r>
    </w:p>
    <w:p>
      <w:pPr>
        <w:spacing w:after="0" w:line="7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A component of our growth may come through acquisitions, and our failure to identify, complete or integrate future acquisitions successfully could reduce our earnings and hamper our growth.</w:t>
      </w:r>
    </w:p>
    <w:p>
      <w:pPr>
        <w:spacing w:after="0" w:line="5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 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spacing w:after="0" w:line="7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 addition, the success of our acquisitions will depend, in part, on our ability to realize the anticipated benefits and cost savings from integrating the acquired assets and operations into our business, and there can be no assurance that we will be able to successfully integrate or otherwise realize the anticipated benefits of our acquisitions. The inability to manage the integration of acquisitions effectively could reduce our focus on subsequent acquisitions and current operations and could negatively impact our results of operations and growth potential. Members of our management team may be required to devote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considerable amounts of time to the integration process, which will decrease the time they will have to manage our business. Difficulties in integrating our acquisitions into our company may result in us performing differently than expected, in operational challenges or in the delay or failure to realize anticipated expense-related efficiencies, and could have a material adverse effect on our business, financial condition, results of operations and cash flows. Potential difficulties that may be encountered in the integration process include, among others:</w:t>
      </w:r>
    </w:p>
    <w:p>
      <w:pPr>
        <w:spacing w:after="0" w:line="72" w:lineRule="exact"/>
        <w:rPr>
          <w:sz w:val="20"/>
          <w:szCs w:val="20"/>
          <w:color w:val="auto"/>
        </w:rPr>
      </w:pPr>
    </w:p>
    <w:p>
      <w:pPr>
        <w:ind w:left="660" w:right="2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our acquisitions operationally, in a manner that permits us to achieve the full revenue, expected cash flows and cost savings anticipated from such acquisitions;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realizing anticipated operating synergies;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expenses, delays or regulatory conditions associated with such acquisitions.</w:t>
      </w:r>
    </w:p>
    <w:p>
      <w:pPr>
        <w:spacing w:after="0" w:line="117"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Furthermore, our decision to acquire properties that are substantially different in operating or geologic characteristics or geographic locations from areas with which our staff is familiar may impact our productivity in such areas. Our financial condition, results of operations and cash flows may fluctuate significantly from period to period as a result of the completion of significant acquisitions during particular periods.</w:t>
      </w:r>
    </w:p>
    <w:p>
      <w:pPr>
        <w:spacing w:after="0" w:line="68"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may engage in bidding and negotiation to complete successful acquisitions. We may be required to alter or increase substantially our capitalization to finance these acquisitions through the use of cash on hand, the borrowing of funds, the issuance of debt or equity securities, the sale of production payments, the sale or joint venture of midstream assets or oil and natural gas producing assets or acreage or otherwise. Our Credit Agreement, the San Mateo Credit Facility and the indentures governing our outstanding senior notes include covenants limiting our ability to incur additional debt. If we were to proceed with one or more acquisitions involving the issuance of our common stock, our shareholders would suffer dilution of their interests.</w:t>
      </w:r>
    </w:p>
    <w:p>
      <w:pPr>
        <w:spacing w:after="0" w:line="7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may purchase oil and natural gas properties or midstream assets with liabilities or risks that we did not know about or that we did not assess correctly, and, as a result, we could be subject to liabilities that could adversely affect our results of operations.</w:t>
      </w:r>
    </w:p>
    <w:p>
      <w:pPr>
        <w:spacing w:after="0" w:line="5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Before acquiring oil and natural gas properties or midstream assets, we assess the potential reserves, future oil and natural gas prices, operating costs, potential environmental liabilities, condition of the assets, customer contracts and other factors relating to the properties or assets, as applicable. However, our review process is complex and involves many assumptions and estimates, and their accuracy is inherently uncertain. As a result, we may not discover all existing or potential problems associated with the properties or assets we buy. We may not become sufficiently familiar with the properties or assets to assess fully their deficiencies and capabilities. We may not perform inspections on every well, property or asset, and we may not be able to observe mechanical and environmental problems even when we conduct an inspection. Even when problems with a property or asset are identified, the seller may not be willing or financially able to give us contractual protection against any identified problems, and we may decide to assume environmental and other risks and liabilities in connection with properties or assets we acquire. If we acquire properties or assets with risks or liabilities we did not know about or that we did not assess correctly, our financial condition, results of operations and cash flows could be adversely affected as we settle claims and incur cleanup costs related to these liabilities.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incur losses or costs as a result of title deficiencies in the properties in which we invest.</w:t>
      </w:r>
    </w:p>
    <w:p>
      <w:pPr>
        <w:spacing w:after="0" w:line="119"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If an examination of the title history of a property that we have purchased reveals oil and natural gas leases or mineral interests have been purchased in error from a person who is not the owner of such interests or if the property has other title deficiencies, our interest would likely be worth less than what we paid or may be worthless. In such an instance, all or part of the amount paid for such oil and natural gas lease or mineral interest, as well as all or part of any royalties paid pursuant to the terms of the lease prior to the discovery of the title defect, would be lost.</w:t>
      </w:r>
    </w:p>
    <w:p>
      <w:pPr>
        <w:spacing w:after="0" w:line="72"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It is not our practice in all acquisitions of oil and natural gas leases or mineral interests, or undivided interests in such interests, to undergo the expense of retaining lawyers to examine the title to the interest. Rather, in certain acquisitions we rely upon the judgment of oil and natural gas brokers and/or landmen who perform the field work by examining records in the appropriate governmental office before attempting to acquire a lease or mineral interest.</w:t>
      </w:r>
    </w:p>
    <w:p>
      <w:pPr>
        <w:spacing w:after="0" w:line="7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Prior to the drilling of an oil and natural gas well, however, it is standard industry practice for the operator of the well to obtain a preliminary title review of the spacing unit within which the proposed well is to be drilled to ensure there are no 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A failure to cure any title defects may delay or prevent us from utilizing the associated leasehold right or mineral interest, which may adversely impact our ability to increase production and reserves. In the future, we may suffer a monetary loss from title defects or title failure. Additionally, unproved and unevaluated acreage has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greater risk of title defects than developed acreage. If there are any title defects or defects in assignment of leasehold rights or mineral interests in properties in which we hold an interest, we will suffer a financial loss that could adversely affect our financial condition, results of operations and cash flows.</w:t>
      </w:r>
    </w:p>
    <w:p>
      <w:pPr>
        <w:spacing w:after="0" w:line="5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complete dispositions of assets, or interests in assets, may be subject to factors beyond our control, and in certain cases we may be required to retain liabilities for certain matters.</w:t>
      </w:r>
    </w:p>
    <w:p>
      <w:pPr>
        <w:spacing w:after="0" w:line="5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From time to time, we may sell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spacing w:after="0" w:line="7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Sellers typically retain certain liabilities or indemnify buyers for certain pre-closing matters, such as matters of litigation, environmental contingencies, royalty obligations and income taxes.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Liquidity</w:t>
      </w:r>
    </w:p>
    <w:p>
      <w:pPr>
        <w:spacing w:after="0" w:line="11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able to generate sufficient cash to fund our capital expenditures, service all of our indebtedness and pay dividends to our shareholders, and we may be forced to take other actions to satisfy our obligations under applicable debt instruments, which may not be successful.</w:t>
      </w:r>
    </w:p>
    <w:p>
      <w:pPr>
        <w:spacing w:after="0" w:line="5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7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debt service obligations, we may be forced to reduce or delay investments and capital expenditures, sell assets, cease the payment of any dividends to our shareholders, seek additional capital or restructure or refinance indebtedness. Our ability to restructure or refinance indebtedness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Credit Agreement, the San Mateo Credit Facility and the indentures governing our outstanding senior notes currently restrict our ability to dispose of assets and our use of the proceeds from such disposition. We may not be able to consummate those dispositions, and the proceeds of any such disposition may not be adequate to meet any debt service obligations then due. These alternative measures may not be successful and may not permit us to meet scheduled debt service obligations, which could have a material adverse effect on our financial condition and results of operations.</w:t>
      </w:r>
    </w:p>
    <w:p>
      <w:pPr>
        <w:spacing w:after="0" w:line="8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additional indebtedness, which could reduce our financial flexibility, increase interest expense and adversely impact our operations and our unit costs.</w:t>
      </w:r>
    </w:p>
    <w:p>
      <w:pPr>
        <w:spacing w:after="0" w:line="5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As of February 20, 2024, the maximum facility amount under the Credit Agreement was $2.00 billion, the borrowing base was $2.50 billion and our elected borrowing commitment was $1.325 billion. Borrowings under the Credit Agreement are limited to the lowest of the borrowing base, the maximum facility amount and the elected borrowing commitment (subject to compliance with the covenants noted below). At February 20, 2024, we had available borrowing capacity of approximately $772.6 million under our Credit Agreement (after giving effect to outstanding letters of credit). Our borrowing base is determined semi-annually by our lenders based primarily on the estimated value of our existing and future oil and natural gas reserves, but both we and our lenders can request one unscheduled redetermination between scheduled redetermination dates. Our Credit Agreement is secured by our interests in the majority of our oil and natural gas properties and contains covenants restricting our ability to incur additional indebtedness, sell assets, pay dividends and make certain investments. Since the borrowing base is subject to periodic redeterminations, if a redetermination resulted in a borrowing base that was less than our borrowings under the Credit Agreement, we would be required to provide additional collateral satisfactory in nature and value to the lenders to increase the borrowing base to an amount sufficient to cover such excess or repay the deficit in equal installments over a period of six months. If we are required to do so, we may not have sufficient funds to fully make such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repayments. The Credit Agreement requires us to maintain a debt to EBITDA ratio, which is defined as debt outstanding (net of up to $75.0 million of unrestricted cash and cash equivalents), divided by a rolling four quarter EBITDA calculation, of 3.50 to 1.0 or less and a current ratio, which is defined as</w:t>
      </w:r>
    </w:p>
    <w:p>
      <w:pPr>
        <w:ind w:right="40" w:firstLine="8"/>
        <w:spacing w:after="0" w:line="260"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current assets plus the unused availability under the Credit Agreement divided by (y) total consolidated current liabilities less current maturities under the Credit Agreement, of equal to or greater than 1.0 to 1.0 at the end of each fiscal quarter.</w:t>
      </w:r>
    </w:p>
    <w:p>
      <w:pPr>
        <w:spacing w:after="0" w:line="73"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As of February 20, 2024, the facility amount under the San Mateo Credit Facility was $535.0 million, and San Mateo had available borrowing capacity of approximately $36.0 million (after giving effect to outstanding letters of credit and subject to San Mateo’s compliance with the covenants noted below). The San Mateo Credit Facility includes an accordion feature, which provides for potential increases in the commitments of the lenders to up to $735.0 million. The San Mateo Credit Facility is non-recourse with respect to Matador and its other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In addition to these restrictions, the San Mateo Credit Facility also contains covenants restricting San Mateo’s ability to incur additional indebtedness, sell assets, pay dividends and make certain investments.</w:t>
      </w:r>
    </w:p>
    <w:p>
      <w:pPr>
        <w:spacing w:after="0" w:line="84" w:lineRule="exact"/>
        <w:rPr>
          <w:sz w:val="20"/>
          <w:szCs w:val="20"/>
          <w:color w:val="auto"/>
        </w:rPr>
      </w:pPr>
    </w:p>
    <w:p>
      <w:pPr>
        <w:ind w:right="220" w:firstLine="445"/>
        <w:spacing w:after="0" w:line="258" w:lineRule="auto"/>
        <w:rPr>
          <w:sz w:val="20"/>
          <w:szCs w:val="20"/>
          <w:color w:val="auto"/>
        </w:rPr>
      </w:pPr>
      <w:r>
        <w:rPr>
          <w:rFonts w:ascii="Times New Roman" w:cs="Times New Roman" w:eastAsia="Times New Roman" w:hAnsi="Times New Roman"/>
          <w:sz w:val="18"/>
          <w:szCs w:val="18"/>
          <w:color w:val="auto"/>
        </w:rPr>
        <w:t>In the future, subject to the restrictions in the indentures governing our outstanding senior notes and in other instruments governing our other outstanding indebtedness (including our Credit Agreement and the San Mateo Credit Facility), we may incur significant amounts of additional indebtedness, including under our Credit Agreement and the San Mateo Credit Facility, through the issuance of additional notes or otherwise, in order to develop our properties, fund acquisitions or invest in certain opportunities. Interest rates on such future indebtedness may be higher than current levels, causing our financing costs to increase accordingly.</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high level of indebtedness could affect our operations in several ways, including the following:</w:t>
      </w:r>
    </w:p>
    <w:p>
      <w:pPr>
        <w:spacing w:after="0" w:line="11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significant portion of our cash flows to be used for servicing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are less leveraged and, therefore, may be able to take advantage of opportunities that our level of indebtedness may prevent us from pursuing;</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obtain additional financing in the future for working capital, capital expenditures, acquisitions and general corporate or other purposes;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that we may default on our debt obligations.</w:t>
      </w:r>
    </w:p>
    <w:p>
      <w:pPr>
        <w:spacing w:after="0" w:line="1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borrowing base under our Credit Agreement is subject to periodic redetermination, and we are subject to interest rate risk under our Credit Agreement and the San Mateo Credit Facility.</w:t>
      </w:r>
    </w:p>
    <w:p>
      <w:pPr>
        <w:spacing w:after="0" w:line="5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our proved oil and natural gas reserves at December 31 and June 30 of each year, respectively. We and the lenders may each request an unscheduled redetermination of the borrowing base once between scheduled redetermination dates. In addition, our lenders have the flexibility to reduce our borrowing base due to a variety of factors, some of which may be beyond our control. As of February 20, 2024, our borrowing base was $2.50 billion, our elected borrowing commitment was $1.325 billion, the maximum facility amount under the Credit Agreement was $2.00 billion and we had $500.0 million in outstanding borrowings under, and approximately $52.4 million in outstanding letters of credit issued pursuant to, the Credit Agreement. Borrowings under the Credit Agreement are limited to the lowest of the borrowing base, maximum facility amount and elected borrowing commitment (subject to compliance with the covenants noted above). We could be required to repay a portion of any outstanding debt under the Credit Agreement to the extent that, after a redetermination, our outstanding borrowings at such time exceeded the redetermined borrowing base. We may not have sufficient funds to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w:t>
      </w:r>
    </w:p>
    <w:p>
      <w:pPr>
        <w:spacing w:after="0" w:line="8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earnings are exposed to interest rate risk associated with borrowings under our Credit Agreement and the San Mateo Credit Facility. Borrowings under the Credit Agreement may be in the form of a base rate loan or a loan based on the secured overnight financing rate administered by the Federal Reserve Bank of New York (“SOFR”). If we borrow funds as a base rate loan, such borrowings will bear interest at a rate equal to the greatest of (i) the prime rate for such day, (ii) the Federal Funds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Effective Rate (as defined in the Credit Agreement) on such day, plus 0.50%, and (iii) the Adjusted Term SOFR Rate (as defined in the Credit Agreement) for a one month tenor, plus 1.00%, plus, in each case, an amount ranging from 0.75% to 1.75% depending on the level of borrowings under the Credit Agreement. If we borrow funds as a SOFR loan, such borrowings will bear interest at a rate equal to (x) the Adjusted Term SOFR Rate for the chosen interest period plus (y) an amount ranging from 1.75% to 2.75% depending on the level of borrowings under the Credit Agreement. If we have outstanding borrowings under our Credit Agreement and interest rates increase, so will our interest costs, which may have a material adverse effect on our results of operations and financial condition.</w:t>
      </w:r>
    </w:p>
    <w:p>
      <w:pPr>
        <w:spacing w:after="0" w:line="7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Similarly, borrowings under the San Mateo Credit Facility may be in the form of a base rate loan or a SOFR loan. If San Mateo borrows funds as a base rate loan, such borrowings will bear interest at a rate equal to the greatest of (i) the prime rate for such day, (ii) the Federal Funds Effective Rate (as defined in the San Mateo Credit Facility) on such day, plus 0.50% and (iii) the Adjusted Term SOFR Rate (as defined in the San Mateo Credit Facility) for a one month tenor, plus 1.00% plus, in each case, an amount ranging from 1.25% to 2.25% depending on San Mateo’s Consolidated Total Leverage Ratio (as defined in the San Mateo Credit Facility). If San Mateo borrows funds as a SOFR loan, such borrowings will bear interest at a rate equal to (x) the Adjusted Term SOFR Rate for the chosen interest period plus (y) an amount ranging from 2.25% to 3.25%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84"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Interest rates rose significantly during 2022 and remained elevated throughout 2023 as the Federal Reserve sought to control inflation. Interest rates may remain high or increase during 2024. Our Credit Agreement and the San Mateo Credit Facility have floating rates tied to SOFR or other interest rate benchmarks that generally rise alongside the increase in the federal funds rates. As a result, interest expense on our existing floating rate debt rose during 2022 and 2023 and may remain high or increase during 2024. In addition, interest rates on future credit facilities and debt offerings could be higher than current levels, causing our financing costs to increase accordingly.</w:t>
      </w:r>
    </w:p>
    <w:p>
      <w:pPr>
        <w:spacing w:after="0" w:line="7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The terms of the agreements governing our outstanding indebtedness may restrict our current and future operations, particularly our ability to respond to changes in business or to take certain actions.</w:t>
      </w:r>
    </w:p>
    <w:p>
      <w:pPr>
        <w:spacing w:after="0" w:line="5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Our Credit Agreement, the San Mateo Credit Facility and the indentures governing our senior notes contain, and any future indebtedness we incur will likely contain, a number of restrictive covenants that impose significant operating and financial restrictions, including restrictions on our ability to engage in acts that may be in our best long-term interest. One or more of these agreements include covenants that, among other things, restrict our ability to:</w:t>
      </w:r>
    </w:p>
    <w:p>
      <w:pPr>
        <w:spacing w:after="0" w:line="7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issue certain types of preferred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capital stock or redeem, repurchase or retire our capital stock or subordinated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dividends or other payments from our Restricted Subsidiaries (as defined in the indentures governing our outstanding senior notes) to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transfer all or substantially all of our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unrestricted subsidiaries.</w:t>
      </w:r>
    </w:p>
    <w:p>
      <w:pPr>
        <w:spacing w:after="0" w:line="11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our Credit Agreement, the San Mateo Credit Facility and the indentures governing our outstanding senior notes. For example, our Credit Agreement requires us to maintain a debt to EBITDA ratio, which is defined as debt outstanding (net of up to $75.0 million of unrestricted cash and cash equivalents) divided by a rolling four quarter EBITDA calculation, of 3.50 to 1.0 or less and a current ratio, which is defined as current assets plus the unused availability under the Credit Agreement, divided by current liabilities, of equal to or greater than 1.0 to 1.0. Low oil and natural gas prices or a decline in our oil or natural gas production may adversely impact our EBITDA, cash flows and debt levels, and therefore our ability to comply with this covenant.</w:t>
      </w:r>
    </w:p>
    <w:p>
      <w:pPr>
        <w:spacing w:after="0" w:line="7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Similarly, the San Mateo Credit Facility requires San Mateo to meet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Lower revenues as a result of less volumes than anticipated, or</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otherwise, or an increase in interest rates may adversely impact San Mateo’s EBITDA and interest expense, and therefore San Mateo’s ability to comply with these covenants. The San Mateo Credit Facility also restricts the ability of San Mateo to distribute cash to its members if San Mateo’s liquidity is less than 10% of the lender commitments under the San Mateo Credit Facility.</w:t>
      </w:r>
    </w:p>
    <w:p>
      <w:pPr>
        <w:spacing w:after="0" w:line="6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all amounts outstanding under the applicable debt agreements could be declared to be immediately due and payable and all applicable commitments to extend further credit could be terminated. If indebtedness under our Credit Agreement, the San Mateo Credit Facility or the indentures governing our outstanding senior notes is accelerated, there can be no assurance that we will have sufficient assets to repay such indebtedness. The operating and financial restrictions and covenants in these debt agreements and any future financing agreements could materially adversely affect our ability to finance future operations or capital needs or to engage in other business activities.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credit rating may be downgraded, which could reduce our financial flexibility, increase interest expense and adversely impact our operations.</w:t>
      </w:r>
    </w:p>
    <w:p>
      <w:pPr>
        <w:spacing w:after="0" w:line="11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In March 2020, our corporate credit rating from S&amp;P Global Ratings was downgraded from “B+” to “B-” and our corporate credit rating from Moody’s Investors Service was downgraded from “B1” to “B3.” The downgrades resulted in significant part due to the sudden decline in oil prices in early 2020. Moody’s Investor Services subsequently upgraded our corporate credit rating to “B2” in July 2020, to “B1” in September 2021 and to “Ba3” in September 2022. S&amp;P Global Ratings upgraded our corporate credit rating to “B” in June 2021, “B+” in January 2022 and “BB-” in September 2022. In September 2021, Fitch Ratings assigned us a corporate credit rating of “B+” and subsequently upgraded our corporate credit rating to “BB-” in September 2022. As of February 20, 2024, our corporate credit ratings from S&amp;P Global Ratings, Moody’s Investors Service and Fitch Ratings remained “BB-,” “Ba3” and “BB-,” respectively. We cannot assure you that our credit ratings will remain in effect for any given period of time or that a rating will not be lowered or withdrawn entirely by a rating agency if, in its judgment, circumstances so warrant. Any future downgrade could increase the cost of any indebtedness incurred in the future.</w:t>
      </w:r>
    </w:p>
    <w:p>
      <w:pPr>
        <w:spacing w:after="0" w:line="80"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Any increase in our financing costs resulting from a credit rating downgrade could adversely affect our ability to obtain additional financing in the future for working capital, capital expenditures, additional letters of credit or other credit support we may be required to provide to counterparties,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spacing w:after="0" w:line="7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The payment of dividends will be at the discretion of our Board of Directors and subject to numerous factors, and we do not presently intend to repurchase any shares of our common stock.</w:t>
      </w:r>
    </w:p>
    <w:p>
      <w:pPr>
        <w:spacing w:after="0" w:line="52"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In February 2023, April 2023 and July 2023, our Board declared quarterly cash dividends of $0.15 per share of common stock. In October 2023, the Board amended our dividend policy to increase the quarterly dividend to $0.20 per share of common stock and also declared a quarterly cash dividend of $0.20 per share of common stock. On February 13, 2024, the Board declared a quarterly cash dividend of $0.20 per share of common stock payable on March 13, 2024 to shareholders of record as of February 23, 2024. We intend to continue to pay a quarterly dividend in the future pursuant to the dividend policy adopted by our Board. However, the payment and amount of future dividend payments, if any, are subject to declaration by our Board. Such payments will depend on, among other things, our available cash, earnings, financial condition, capital requirements, level of indebtedness, stock price, statutory and contractual restrictions applicable to the payment of dividends and other considerations that our Board deems relevant. Cash dividend payments in the future may only be made out of legally available funds, and, if we experience substantial losses, such funds may not be available.</w:t>
      </w:r>
    </w:p>
    <w:p>
      <w:pPr>
        <w:spacing w:after="0" w:line="8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do not presently intend to repurchase any shares of our common stock. Certain covenants in our Credit Agreement and the indentures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 We are under no obligation to make dividend payments on our common stock and may cease such payments at any time in the future. Any elimination of or downward revision in our dividend payout could have a material adverse effect on our stock price.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9"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Drilling for and producing oil, natural gas and NGLs is highly speculative and involves a high degree of operational and financial risk, with many uncertainties that could adversely affect our business.</w:t>
      </w:r>
    </w:p>
    <w:p>
      <w:pPr>
        <w:spacing w:after="0" w:line="5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Exploring for and developing hydrocarbon reserves involves a high degree of operational and financial risk, which precludes us from definitively predicting the costs involved and time required to reach certain objectives. Our drilling locations are in various stages of evaluation, ranging from locations that are ready to drill to locations that will require substantial additional interpretation and approvals before they can be drilled. The budgeted costs of planning, drilling, completing and operating wells may be exceeded and such costs can increase significantly due to various complications that may arise during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drilling, completion and operation. Before a well is spud, we may incur significant geological, geophysical and land costs, including seismic acquisition costs, which are incurred whether or not a well eventually produces commercial quantities of hydrocarbons, or is drilled at all. Exploration wells could bear a much greater risk of loss than development wells. The analogies we draw from available data from other wells, more fully explored locations or producing fields may not be applicable to our drilling locations. If our actual drilling and development costs are significantly more than our estimated costs, we may not be able to continue our operations as proposed and could be forced to modify our drilling plans accordingly.</w:t>
      </w:r>
    </w:p>
    <w:p>
      <w:pPr>
        <w:spacing w:after="0" w:line="7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If we decide to drill a certain location, there is a risk that no commercially productive oil or natural gas reservoirs will be found or produced. We may drill or participate in new wells that are not productive. We may drill or participate in wells that are productive, but that do not produce sufficient net revenues to return a profit after drilling, operating and other costs. There is no way to 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 abandonment of, the well. The productivity and profitability of a well may be negatively affected by a number of additional factors, including the following:</w:t>
      </w:r>
    </w:p>
    <w:p>
      <w:pPr>
        <w:spacing w:after="0" w:line="8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the prices received for oil and natural gas;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obtaining equipment, including hydraulic fracturing equipment, and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drainage of oil and natural gas from our properties by operations on adjacent properties;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or magnitude of faults or unanticipated geological features;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 oilfield development and service tools;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equipment failures or mechanical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defects of the underlying properties;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severance taxes;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that delay drilling activities or cause producing wells to be shut 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exploration, drilling, completion and production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to and capacity of gathering, processing, transportation and disposal facilities.</w:t>
      </w:r>
    </w:p>
    <w:p>
      <w:pPr>
        <w:spacing w:after="0" w:line="117"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Furthermore, our exploration and production operations involve using some of the latest drilling and completion techniques developed by us, other operators and service providers. Risks that we face while drilling and completing horizontal wells include, but are not limited to, the following:</w:t>
      </w:r>
    </w:p>
    <w:p>
      <w:pPr>
        <w:spacing w:after="0" w:line="5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landing our wellbore in the desired drilling zone;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staying in the desired drilling zone while drilling horizontally through the 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running our casing the entire length of the wellbore;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fracture stimulating the planned number of stages;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out the plugs between stages following hydraulic fracturing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able to run tools and other equipment consistently through the horizontal wellbore.</w:t>
      </w:r>
    </w:p>
    <w:p>
      <w:pPr>
        <w:spacing w:after="0" w:line="117"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Each of these risks is magnified in wells with longer laterals. In 2023, the average completed lateral length for operated wells turned to sales was approximately 9,800 feet. If we do not drill productive and profitable wells in the future, our business, financial condition, results of operations, cash flows and reserves could be materially and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are subject to operational hazards and risks, which could result in significant damages and the loss of revenue.</w:t>
      </w:r>
    </w:p>
    <w:p>
      <w:pPr>
        <w:spacing w:after="0" w:line="119" w:lineRule="exact"/>
        <w:rPr>
          <w:sz w:val="20"/>
          <w:szCs w:val="20"/>
          <w:color w:val="auto"/>
        </w:rPr>
      </w:pPr>
    </w:p>
    <w:p>
      <w:pPr>
        <w:ind w:right="780" w:firstLine="445"/>
        <w:spacing w:after="0" w:line="282" w:lineRule="auto"/>
        <w:rPr>
          <w:sz w:val="20"/>
          <w:szCs w:val="20"/>
          <w:color w:val="auto"/>
        </w:rPr>
      </w:pPr>
      <w:r>
        <w:rPr>
          <w:rFonts w:ascii="Times New Roman" w:cs="Times New Roman" w:eastAsia="Times New Roman" w:hAnsi="Times New Roman"/>
          <w:sz w:val="18"/>
          <w:szCs w:val="18"/>
          <w:color w:val="auto"/>
        </w:rPr>
        <w:t>There are numerous operational hazards inherent in oil and natural gas exploration, development, production, gathering, transportation and processing, including:</w:t>
      </w:r>
    </w:p>
    <w:p>
      <w:pPr>
        <w:spacing w:after="0" w:line="5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including hurricanes and tropical storms in the Gulf Coast region and severe cold weather in the Delaware Basin;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or global health concerns, including the outbreak or resurgence of contagious or pandemic diseases, such as COVID-19 and its variants;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drilling fluid circulation;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blowouts where oil or natural gas flows uncontrolled at a wellhead;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cratering or collapse of the 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or cement leaks, failures or casing collapses;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pipelines, processing plants and disposal wells and associated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or explosions;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hazardous substances or other waste materials that cause environmental damage;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pressures or irregularities in formations;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or accidents.</w:t>
      </w:r>
    </w:p>
    <w:p>
      <w:pPr>
        <w:spacing w:after="0" w:line="117"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 or loss of human life, significant damage to 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spacing w:after="0" w:line="81"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Furthermore, our operations may be subject to curtailment due to seismic events. In 2021, the NMOCD implemented new rules establishing protocols in response to seismic events in New Mexico. The protocols require enhanced reporting and varying levels of curtailment of injection rates for salt water disposal wells, including potentially shutting in wells, in the area of seismic events based on the magnitude, timing and proximity to the seismic event. If a seismic event were to occur in the area of our operations, the salt water disposal wells that we deliver to or operate may be shut in or curtailed, which may result in increased expenses or the curtailment of our oil and natural gas production. In addition, if such a seismic event occurred in the area of the Company’s or San Mateo’s operations, the Company or San Mateo may be required to shut in or curtail the volumes disposed in its salt water disposal wells. For example, the salt water disposal well we acquired in the Advance Acquisition is restricted due to these protocols. Any such further events could adversely impact our and San Mateo’s revenues and cash flows.</w:t>
      </w:r>
    </w:p>
    <w:p>
      <w:pPr>
        <w:spacing w:after="0" w:line="84"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There are also significant risks associated with the operation of cryogenic natural gas processing plants such as the Marlan Processing Plant and the Black River Processing Plant. Natural gas and NGLs are volatile and explosive and may include carcinogens. Damage to or improper operation of the Black River Processing Plant or the Marlan Processing Plant could result in an explosion or the discharge of toxic gases, which could result in significant damage claims, interrupt a revenue source and prevent us from processing some or all of the natural gas produced from our wells or third-party wells located in nearby asset areas. Furthermore, if we were unable to process such natural gas, we may be forced to flare natural gas from, or shut in, the affected wells for an indefinite period of time.</w:t>
      </w:r>
    </w:p>
    <w:p>
      <w:pPr>
        <w:spacing w:after="0" w:line="7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addition, San Mateo’s and Pronto’s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salt water disposal wells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or Pronto’s costs to access and transport on these third-party pipelines significantly increase, their profitability could be reduced. If any such increase in costs occurs, if any of these pipelines or other midstream facilities become unable to receive, transport, process or dispose of product, or if the volumes San Mateo or Pronto gathers, processes or transports do not meet the product quality requirements of such pipelines or facilities, our and San Mateo’s revenues and cash flows could be adversely affected.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against all operational risks is not available to us.</w:t>
      </w:r>
    </w:p>
    <w:p>
      <w:pPr>
        <w:spacing w:after="0" w:line="11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 coverage in the future. As a result, we may not be able to obtain the levels or types of insurance we would have otherwise obtained prior to these market changes, and the insurance coverage we do obtain may not cover certain hazards or all potential losses that are currently covered, and may be subject to large deductibles. Losses and liabilities from uninsured and underinsured events and delays in the payment of insurance proceeds could have a material adverse effect on our business, financial condition, results of operations and cash flows.</w:t>
      </w:r>
    </w:p>
    <w:p>
      <w:pPr>
        <w:spacing w:after="0" w:line="7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Because our reserves and production are concentrated in a few core areas, problems with production in and markets for a particular area could have a material impact on our business.</w:t>
      </w:r>
    </w:p>
    <w:p>
      <w:pPr>
        <w:spacing w:after="0" w:line="5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Almost all of our current oil and natural gas production and our proved reserves are attributable to our properties in the Delaware Basin in Southeast New Mexico and West Texas, the Eagle Ford shale in South Texas and the Haynesville shale in Northwest Louisiana. In recent years, the Delaware Basin has become an area of increasing focus for us, and approximately 96% of our total oil and natural gas production for 2023 was attributable to our properties in the Delaware Basin. Since 2016, the vast majority of our capital expenditures have been allocated to the Delaware Basin. We expect that substantially all of our capital expenditures in 2024 will continue to be in the Delaware Basin, with the exception of amounts allocated to limited operations and certain non-operated well opportunities in our South Texas and Haynesville shale positions.</w:t>
      </w:r>
    </w:p>
    <w:p>
      <w:pPr>
        <w:spacing w:after="0" w:line="7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industry focus on the Delaware Basin may adversely impact our ability to gather, transport and process our oil and natural gas production due to significant competition for access to gathering systems, pipelines, processing and refinery facilities and oil, condensate and produced water trucking operations.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 or services, significant governmental regulation, natural disasters, adverse weather conditions or plant closures for scheduled or unscheduled maintenance. Due to our concentration of properties in the Delaware Basin, we are also particularly exposed to any differential between benchmark prices of oil and natural gas and the wellhead price we receive for our production. See “—Risks Related to our Financial Condition—A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8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operations may also be adversely affected by weather conditions and events such as hurricanes, tropical storms and inclement winter weather, resulting in delays in drilling and completions, damage to facilities and equipment and the inability to receive equipment or access personnel and products at affected job sites in a timely manner. For example, in recent years, the Delaware Basin has experienced periods of severe winter weather that impacted many operators. In particular, weather conditions and freezing temperatures have resulted in shut-ins of producing wells, power outages, curtailments in trucking, delays in drilling and completion of wells and other production constraints. Certain areas of the Delaware Basin have also experienced periods of severe flooding that impacted our operations as well as many other operators in the area, resulting in delays in drilling, completing and initiating production on certain wells. As we continue to focus our operations on the Delaware Basin, we may increasingly face these and other challenges posed by severe weather.</w:t>
      </w:r>
    </w:p>
    <w:p>
      <w:pPr>
        <w:spacing w:after="0" w:line="8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business, financial condition, results of operations and cash flows.</w:t>
      </w:r>
    </w:p>
    <w:p>
      <w:pPr>
        <w:spacing w:after="0" w:line="7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There is no guarantee that we will be successful in optimizing our spacing, drilling and completions techniques in order to maximize our rate of return, cash flow from operations and shareholder value.</w:t>
      </w:r>
    </w:p>
    <w:p>
      <w:pPr>
        <w:spacing w:after="0" w:line="5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As we accumulate and process geological and production data, we attempt to create a development plan, including well spacing and completion design, that maximizes our rate of return, cash flow from operations and shareholder value. Due to many factors, however, including some beyond our control, there is no guarantee that we will be able to find the optimal plan. Future drilling and completion efforts may impact production from existing wells, and parent-child well effects may impact future well productivity as a result of timing, spacing proximity or other factors. If we are unable to design and implement an effective spacing, drilling and completions strategy, it may have a material adverse effect on our financial condition, results of operations and cash flows.</w:t>
      </w:r>
    </w:p>
    <w:p>
      <w:pPr>
        <w:spacing w:after="0" w:line="7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Certain of our properties are in areas that may have been partially depleted or drained by offset wells, and certain of our wells may be adversely affected by actions other operators may take when drilling, completing or operating wells that they own.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Certain of our properties are in areas that may have already been partially depleted or drained by earlier offset drilling. The owners of leasehold interests adjoining any of our properties could take actions, such as drilling and completing additional wells, which could adversely affect our operations. When a new well is completed and produced, the pressure differential in the vicinity of the well causes the migration of reservoir fluids toward the new wellbore (and potentially away from existing wellbores). As a result, the drilling and production of these potential locations could cause a depletion of our proved reserves and may inhibit our ability to further develop our proved reserves. In addition, completion operations and other activities conducted on adjacent or nearby wells could cause production from our wells to be shut in for indefinite periods of time, could result in increased lease operating expenses and could adversely affect the production and reserves from our wells after they re-commence production. We have no control over the operations or activities of offsetting operators.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Multi-well pad drilling may result in volatility in our operating results.</w:t>
      </w:r>
    </w:p>
    <w:p>
      <w:pPr>
        <w:spacing w:after="0" w:line="11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We utilize multi-well pad drilling where practical. Because wells drilled on a pad are not produced until other wells being drilled on the pad at the same time are drilled and completed, multi-well pad drilling delays the commencement of production from wells drilled on a given pad, which may cause volatility in our operating results. In addition, problems affecting one well could adversely affect production from other wells on the same pad. As a result, multi-well pad drilling can cause delays in the scheduled commencement of production or interruptions in ongoing production. Additionally, infrastructure expansion, including more complex facilities and takeaway capacity, could become challenging in project development areas. Managing capital expenditures for infrastructure expansion could cause economic constraints when considering design capacity.</w:t>
      </w:r>
    </w:p>
    <w:p>
      <w:pPr>
        <w:spacing w:after="0" w:line="77"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business, financial condition, results of operations and cash flows.</w:t>
      </w:r>
    </w:p>
    <w:p>
      <w:pPr>
        <w:spacing w:after="0" w:line="67"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Shortages or the high cost of drilling rigs, completion equipment and services, drill pipe, casing and other tubular goods,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drill pipe, casing and other tubular goods, including sand and other proppants, and personnel and the services and products of other industry vendors. These costs may increase, and necessary equipment, supplies and services may become unavailable to us at economical prices. 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 difficulties and be unable to provide services. A reduction in the number of service providers available to us may negatively impact our ability to retain qualified service providers, or obtain such services at costs acceptable to us. Further, supply chain disruptions and other inflationary pressures being experienced throughout the United States and global economy may limit our ability to procure the necessary products and services for drilling and completing wells in a timely and cost effective manner, which could result in reduced margins and delays in our drilling and completion activities which, in turn, could adversely affect our business, financial condition, results of operations and cash flows.</w:t>
      </w:r>
    </w:p>
    <w:p>
      <w:pPr>
        <w:spacing w:after="0" w:line="8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addition, the demand for hydraulic fracturing services from time to time exceeds the availability of fracturing equipment and crews across the industry and in certain operating areas in particular. The accelerated wear and tear of hydraulic fracturing equipment due to its deployment in unconventional oil and natural gas fields characterized by longer lateral lengths and larger numbers of fracturing stages could further amplify such an equipment and crew shortage. If demand for fracturing services were to increase or the supply of fracturing equipment and crews were to decrease, higher costs or delays in procuring these services could result, which could adversely affect our business, financial condition, results of operations and cash flows.</w:t>
      </w:r>
    </w:p>
    <w:p>
      <w:pPr>
        <w:spacing w:after="0" w:line="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spacing w:after="0" w:line="67" w:lineRule="exact"/>
        <w:rPr>
          <w:sz w:val="20"/>
          <w:szCs w:val="20"/>
          <w:color w:val="auto"/>
        </w:rPr>
      </w:pPr>
    </w:p>
    <w:p>
      <w:pPr>
        <w:ind w:right="220" w:firstLine="445"/>
        <w:spacing w:after="0" w:line="254" w:lineRule="auto"/>
        <w:rPr>
          <w:sz w:val="20"/>
          <w:szCs w:val="20"/>
          <w:color w:val="auto"/>
        </w:rPr>
      </w:pPr>
      <w:r>
        <w:rPr>
          <w:rFonts w:ascii="Times New Roman" w:cs="Times New Roman" w:eastAsia="Times New Roman" w:hAnsi="Times New Roman"/>
          <w:sz w:val="18"/>
          <w:szCs w:val="18"/>
          <w:color w:val="auto"/>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 to conduct certain operations such as (i) hydraulic fracturing, including, but not limited to, the use of fresh water in such operations, or (ii) disposal of waste, including, but not limited to, the disposal of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increase operating costs and cause delays, interruptions or termination of operations, the extent of which cannot be predicted, and all of which could have a material adverse effect on our business, financial condition, results of operations and cash flows.</w:t>
      </w:r>
    </w:p>
    <w:p>
      <w:pPr>
        <w:spacing w:after="0" w:line="52"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If regulatory changes prevent our ability to continue to pool wells in the manner we have been, it could have a material adverse impact on our future production results.</w:t>
      </w:r>
    </w:p>
    <w:p>
      <w:pPr>
        <w:spacing w:after="0" w:line="52"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In Texas, allocation wells allow an operator to drill a horizontal well under two or more leaseholds that are not pooled or across multiple existing pooled units. In New Mexico, operators are able to pool multiple spacing units in order to drill a single horizontal well across several leaseholds. We are active in drilling and producing both allocation wells in Texas and pooled spacing unit wells in New Mexico. If there are regulatory changes with regard to such wells, the applicable state agency denies or significantly delays the permitting of such wells, legislation is enacted that negatively impacts the current process under which such wells are permitted or litigation challenges the regulatory schemes pursuant to which such wells are permitted, it could have an adverse impact on our ability to drill long horizontal lateral wells on some of our leases, which in turn could have a material adverse impact on our anticipated future production.</w:t>
      </w:r>
    </w:p>
    <w:p>
      <w:pPr>
        <w:spacing w:after="0" w:line="13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Construction of midstream projects subjects us to risks of construction delays, cost over-runs, limitations on our growth and negative effects on our financial condition, results of operations, cash flows and liquidity.</w:t>
      </w:r>
    </w:p>
    <w:p>
      <w:pPr>
        <w:spacing w:after="0" w:line="5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From time-to-time, we, through San Mateo, Pronto or otherwise, plan and construct midstream projects, some of which may take a number of months before commercial operation, such as construction of oil, natural gas and produced water gathering or transportation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government and regulatory approval, compliance with laws, unavailability of materials, labor disruptions, environmental hazards, financing, accidents, weather and other factors. Any delay in the completion of these projects could have a material adverse effect on our business, results of operations, liquidity, financial condition and the ability of San Mateo or Pronto to attract third-party customers. The construction of produced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and/or retain the necessary number of personnel with the skills required to bring complicated projects to successful conclusions.</w:t>
      </w:r>
    </w:p>
    <w:p>
      <w:pPr>
        <w:spacing w:after="0" w:line="8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Our identified drilling locations are scheduled over several years, making them susceptible to uncertainties that could materially alter the occurrence or timing of their drilling.</w:t>
      </w:r>
    </w:p>
    <w:p>
      <w:pPr>
        <w:spacing w:after="0" w:line="52"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Our management team has identified and scheduled drilling locations in our operating areas over a multi-year period. Our ability to drill and develop these locations depends on a number of factors, including oil and natural gas prices, assessment of risks, costs, drilling results, reservoir heterogeneities, the availability of equipment and capital, approval by regulators, lease terms, seasonal conditions and the actions of other operators. Additionally, as lateral lengths greater than one mile have become increasingly common in the Delaware Basin, we may have to cooperate with other operators to ensure that our acreage is included in drilling units or otherwise developed. In January 2021, the Biden administration issued the Biden Administration Federal Lease Orders limiting the issuance of federal drilling permits and other necessary federal approvals. The BLM indicated that the Lease Sale Litigation and the Social Cost of Carbon Litigation could delay lease sales and the approval of drilling permits. Although some of the restrictions in the Biden Administration Federal Lease Orders have lapsed, the impact of these and similar federal actions related to the natural gas industry remains unclear. Should these or other limitations or prohibitions be imposed or continue to be applied, our drilling locations on federal lands may not be drilled as scheduled. 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different from our current expectations, which could adversely affect our business, financial condition, results of operations and cash flows.</w:t>
      </w:r>
    </w:p>
    <w:p>
      <w:pPr>
        <w:spacing w:after="0" w:line="8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Certain of our unproved and unevaluated acreage is subject to leases that will expire over the next several years unless production is established on units containing the acreage.</w:t>
      </w:r>
    </w:p>
    <w:p>
      <w:pPr>
        <w:spacing w:after="0" w:line="52"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2023, we had leasehold interests in approximately 30,600 net acres across all of our areas of interest that are not currently held by production and are subject to leases with primary or renewed terms that expire prior to 2029. Unless we establish and maintain production, generally in paying quantities, on units containing these leases during their terms or we renew such leases, these leases will expire. The cost to renew such leases may increase significantly, and we may not be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spacing w:after="0" w:line="7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2-D and 3-D seismic data and other advanced technologies we use cannot eliminate exploration risk, which could limit our ability to replace and grow our reserves and materially and adversely affect our results of operations and cash flows.</w:t>
      </w:r>
    </w:p>
    <w:p>
      <w:pPr>
        <w:spacing w:after="0" w:line="52"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the acquisition of seismic and geological data can be expensive and require the incurrence of various risks and liabilities, and we may not be able to license or obtain such data at an acceptable cost. Poor results from our exploration and development activities could limit our ability to replace and grow reserves and adversely affect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11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Financial difficulties encountered by our oil, natural gas and NGL purchasers, third-party operators or other third parties could decrease our cash flows from operations and adversely affect the exploration and development of our prospects and assets.</w:t>
      </w:r>
    </w:p>
    <w:p>
      <w:pPr>
        <w:spacing w:after="0" w:line="5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For each of the years ended December 31, 2023, 2022 and 2021, we had three significant purchasers that collectively accounted for approximately 76%, 70% and 72%, respectively, of our total oil, natural gas and NGL revenues. We cannot ensure that we will continue to have ready access to suitable markets for our future production. If we lost one or more of these customers and were unable to sell our production to other customers on terms we consider acceptable, it could materially and adversely affect our business, financial condition, results of operations and cash flows. Furthermore, we cannot 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could have an immediate negative effect on our results of operations and cash flows.</w:t>
      </w:r>
    </w:p>
    <w:p>
      <w:pPr>
        <w:spacing w:after="0" w:line="80"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addition to credit risk related to purchasers of our production, we also face credit risk through receivables from joint interest owners on properties we operate and from San Mateo’s and Pronto’s customers. Joint interest receivables arise from billing entities that own partial interests in the wells we operate. These entities participate in our wells primarily based on their ownership in leases on which we drill. We are generally unable to control which co-owners participate in our wells. Liquidity and cash flow problems encountered by our joint interest owners or the third-party operators of our non-operated properties may prevent or delay the drilling of a well or the development of a project. Our joint interest owners may be unwilling or unable to pay their share of the costs of projects as they become due. In the case of a farmout party, we would have to find a new farmout party or obtain alternative funding in order to complete the exploration and development of the prospects subject to a farmout agreement. In the case of a working interest owner, we could be required to pay the working interest owner’s share of the project costs. If we are not able to obtain the capital necessary to fund either of these contingencies or find a new farmout party, our results of operations and cash flows could be adversely affected.</w:t>
      </w:r>
    </w:p>
    <w:p>
      <w:pPr>
        <w:spacing w:after="0" w:line="78"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17"/>
          <w:szCs w:val="17"/>
          <w:i w:val="1"/>
          <w:iCs w:val="1"/>
          <w:color w:val="auto"/>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spacing w:after="0" w:line="2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gas and NGLs and the proximity of reserves to pipelines and terminal facilities. Our ability to market our production depends in substantial part on the availability and capacity of gathering systems, pipelines, processing facilities and oil and condensate 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repair, maintenance, reduced operating pressure, lack of operating capacity, regulatory requirements and curtailments of receipt or deliveries due to insufficient capacity or because of damage from severe weather conditions or other operational issues.</w:t>
      </w:r>
    </w:p>
    <w:p>
      <w:pPr>
        <w:spacing w:after="0" w:line="54"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may be required to shut in wells for lack of a market or because of inadequate or unavailable pipelines, gathering systems,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w:t>
      </w:r>
    </w:p>
    <w:p>
      <w:pPr>
        <w:spacing w:after="0" w:line="7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disruption of our own or third-party facilities due to maintenance, weather or other factors could negatively impact our ability to market and deliver our oil, natural gas and NGLs. If our costs to access and transport on these pipelines significantly increase, our profitability could be reduced. Third parties control when or if their facilities are restored and what prices will be charged. In the past, we have experienced pipeline and natural gas processing interruptions and capacity and infrastructure constraints associated with natural gas production. While we have entered into natural gas processing and transportation agreements covering the anticipated natural gas production from a significant portion of our Delaware Basin acreage in Southeast New Mexico and West Texas, no assurance can be given that these agreements will alleviate these issues completely, and we may be required to pay deficiency payments under such agreements if we do not meet the gathering or processing commitments, as applicable. For example, in January 2024, we experienced temporary natural gas pipeline and processing interruptions due to maintenance and constraints that are estimated to have resulted in approximately 5,500 BOE per day of less production. We may experience similar interruptions and processing capacity constraints as we continue to explore and develop our Wolfcamp, Bone Spring and other liquids-rich plays in the Delaware Basin in 2024. If we were required to shut in our production for long periods of time due to pipeline interruptions or lack of processing facilities or capacity of these facilities, it could have a material adverse effect on our business, financial condition, results of operations and cash flows.</w:t>
      </w:r>
    </w:p>
    <w:p>
      <w:pPr>
        <w:spacing w:after="0" w:line="13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conduct a portion of our operations through joint ventures, which subjects us to additional risks that could have a material adverse effect on the success of these operations, our financial position, results of operations or cash flows.</w:t>
      </w:r>
    </w:p>
    <w:p>
      <w:pPr>
        <w:spacing w:after="0" w:line="52"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We own and operate substantially all of our midstream assets in Eddy County, New Mexico and Loving County, Texas through San Mateo, and we have and may continue to enter into other joint venture arrangements in the future. The nature of a joint venture requires us to share a portion of control with unaffiliated third parties. Moreover, joint venture arrangements involve various risks and uncertainties, such as committing us to fund operating and/or capital expenditures, the timing and amount of which we may not control. In addition, if our joint venture partners do not fulfill their contractual, financial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certain joint ventures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business, financial condition, results of operations and cash flows.</w:t>
      </w:r>
    </w:p>
    <w:p>
      <w:pPr>
        <w:spacing w:after="0" w:line="8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Because of the natural decline in production in the regions of San Mateo’s and Pronto’s midstream operations, San Mateo’s and Pronto’s long-term success depend on their ability to obtain new sources of products, which depends on certain factors beyond San Mateo’s and Pronto’s control. Any decrease in supplies to their midstream facilities could adversely affect San Mateo’s and Pronto’s business and operating results.</w:t>
      </w:r>
    </w:p>
    <w:p>
      <w:pPr>
        <w:spacing w:after="0" w:line="67"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San Mateo’s and Pronto’s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volume commitments. To maintain or increase throughput levels on San Mateo’s and Pronto’s gathering systems and the utilization rate at its other midstream facilities, San Mateo and Pronto must continually obtain new sources of products. San Mateo’s and Pronto’s ability to obtain additional sources of oil, natural gas, NGLs and produced water depends, in part, on the level of successful drilling and production activity near its gathering and transportation systems and other midstream facilities. San Mateo and Pronto have no control over the level of activity in the areas of their operations, the amount of reserves associated with the wells or the rate at which production from a well will decline. In addition, San Mateo and Pronto have no control over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5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we have entered into and may in the future enter into certain oil, natural gas or produced water gathering or transportation agreements, natural gas processing agreements, NGL transportation agreements, produced water disposal agreements or similar commercial arrangements with midstream companies, including San Mateo. Certain of these agreements require us to meet minimum volume commitments, often regardless of actual throughput. Reductions in our drilling activity could result in insufficient production to fulfill our obligations under these agreements. As of December 31, 2023, our long-term contractual obligations under agreements with minimum volume commitments totaled approximately $764.2 million over the terms of the agreements. If we have insufficient production to meet the minimum volume commitments under any of 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even if such service providers are able to offer us more favorable pricing or more efficient service.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do not own all of the land on which our midstream assets are located, which could disrupt our operations.</w:t>
      </w:r>
    </w:p>
    <w:p>
      <w:pPr>
        <w:spacing w:after="0" w:line="11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spacing w:after="0" w:line="77"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7"/>
          <w:szCs w:val="17"/>
          <w:i w:val="1"/>
          <w:iCs w:val="1"/>
          <w:color w:val="auto"/>
        </w:rPr>
        <w:t>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2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to market oil and natural gas and to secure trained personnel. Similarly, our midstream business, and particularly the success of San Mateo and Pronto, depends in part on our ability to compete with other midstream service companies to attract third-party customers to our midstream facilities. San Mateo and Pronto compete with other midstream companies that provide similar services in their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technological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technological or personnel resources permit. As our competitors use or develop new technologies, we may be placed at a competitive disadvantage, and competitive pressures may force us to implement new technologies at a substantial cost. We cannot be certain that we will be able to implement technologies on a timely basis or at a cost that is acceptable to us. One or more of the technologies that we use or that we may implement in the future may become obsolete, and our operations may be adversely affected.</w:t>
      </w:r>
    </w:p>
    <w:p>
      <w:pPr>
        <w:spacing w:after="0" w:line="7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addition, other companies may be able to offer better compensation packages to attract and retain qualified personnel than we are able to offer. The cost to attract and retain qualified personnel has increased in recent years due to a competitive labor market, inflation and other factors, and may increase substantially in the future. We may not be able to compete successfully in the future in acquiring prospective reserves, developing reserves, developing midstream assets, marketing hydrocarbons, attracting and retaining quality personnel and raising additional capital, which could have a material adverse effect on our business, financial condition, results of operations and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relationships upon which we may rely are subject to change, which may diminish our ability to conduct our operations.</w:t>
      </w:r>
    </w:p>
    <w:p>
      <w:pPr>
        <w:spacing w:after="0" w:line="11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Our ability to explore, develop and produce oil and natural gas resources successfully, acquire oil and natural gas interests and acreage and conduct our midstream activities depends on our developing and maintaining close working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relationships with industry participants and on our ability to select and evaluate suitable acquisition opportunities in a highly competitive environment.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relationships are subject to change and, if they do, our ability to grow may be impaired.</w:t>
      </w:r>
    </w:p>
    <w:p>
      <w:pPr>
        <w:spacing w:after="0" w:line="9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To develop our business, we endeavor to use the business relationships of our management and Board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 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limited control over activities on properties we do not operate.</w:t>
      </w:r>
    </w:p>
    <w:p>
      <w:pPr>
        <w:spacing w:after="0" w:line="119"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We are not the operator on some of our properties in Northwest Louisiana, particularly in the Haynesville shale. We also have other non-operated acreage positions in Southeast New Mexico, West Texas and South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spacing w:after="0" w:line="7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operator’s expertise and financial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production of reserves, if 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other participants in drilling wells;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implementation or execution of technology.</w:t>
      </w:r>
    </w:p>
    <w:p>
      <w:pPr>
        <w:spacing w:after="0" w:line="117"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119"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7"/>
          <w:szCs w:val="17"/>
          <w:i w:val="1"/>
          <w:iCs w:val="1"/>
          <w:color w:val="auto"/>
        </w:rPr>
        <w:t>Approximately 32%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29" w:lineRule="exact"/>
        <w:rPr>
          <w:sz w:val="20"/>
          <w:szCs w:val="20"/>
          <w:color w:val="auto"/>
        </w:rPr>
      </w:pPr>
    </w:p>
    <w:p>
      <w:pPr>
        <w:ind w:right="80" w:firstLine="445"/>
        <w:spacing w:after="0" w:line="252" w:lineRule="auto"/>
        <w:rPr>
          <w:sz w:val="20"/>
          <w:szCs w:val="20"/>
          <w:color w:val="auto"/>
        </w:rPr>
      </w:pPr>
      <w:r>
        <w:rPr>
          <w:rFonts w:ascii="Times New Roman" w:cs="Times New Roman" w:eastAsia="Times New Roman" w:hAnsi="Times New Roman"/>
          <w:sz w:val="18"/>
          <w:szCs w:val="18"/>
          <w:color w:val="auto"/>
        </w:rPr>
        <w:t>At December 31, 2023, Matador held approximately 152,200 net leasehold and mineral acres in the Delaware Basin, primarily in Eddy and Lea Counties, New Mexico and in Loving and Ward Counties, Texas, of which approximately 48,100 net acres, or about 32%, was on federal lands administered by the BLM. In addition to permits issued by state and local authorities, oil and natural gas activities on federal lands also require permits from the BLM. Permitting for oil and natural gas activities on federal lands can take significantly longer than the permitting process for oil and natural gas activities not located on federal lands. In addition, government disruptions, such 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 BLM leases contain relatively standardized terms and require compliance with detailed regulations and orders, which are subject to change. For example, on August 16, 2022, H.R. 5376, commonly known as the Inflation Reduction Act of</w:t>
      </w:r>
    </w:p>
    <w:p>
      <w:pPr>
        <w:spacing w:after="0" w:line="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2022 (the “IRA”), was enacted. Pursuant to the IRA, the royalty rate for federal leases issued on or after August 16, 2022 was increased to 16.67 percent. On July 24, 2023, the BLM issued a proposed rule that would revise the BLM’s oil and gas leasing regulations, including aligning royalty rates, rentals, and minimum bids with the IRA, and would update the bonding requirements for leasing, development and production. These operations are also subject to BLM rules regarding engineering and construction specifications for 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could have a material adverse effect on our business and results of operations. Under certain circumstances, the BLM may require our operations on federal leases to be suspended or terminated. In addition, litigation related to leasing and permitting of federal lands could also restrict, delay or limit our ability to conduct operations on our federal leasehold or acquire additional federal leasehold. In January 2021, the Biden administration issued the Biden Administration Federal Lease Orders limiting the issuance of federal drilling permits and other necessary federal approvals. The BLM indicated that the Lease Sale Litigation and the Social Cost of Carbon Litigation could delay lease sales and the approval of drilling permits. Although some of the restrictions in the Biden Administration Federal Lease Orders have lapsed, the impact of these and similar federal actions remains unclear. Should these or other limitations or prohibitions be imposed or continue to be applied, our oil and natural gas operations on federal lands could be adversely impacted. At the federal level, various policy makers, regulatory agencies and political candidates, including President Biden, have also proposed restrictions on hydraulic fracturing, including its outright prohibition. It is possible that any such restrictions on hydraulic fracturing may particularly target activity on federal lands. Any federal legislation, regulations or orders intended to limit or restrict oil and natural gas operations on federal lands, if enacted, could have a material adverse impact on our business, financial condition, results of operations and cash flows.</w:t>
      </w:r>
    </w:p>
    <w:p>
      <w:pPr>
        <w:spacing w:after="0" w:line="84"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Oil and natural gas exploration and production activities on federal lands are also subject to NEPA, which requires federal agencies, including the Department of Interior, to evaluate major agency actions 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that may be implemented or litigation regarding the process, has the potential to delay or even halt development of future oil and natural gas projects with NEPA applicability.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government regulation and liability, including complex environmental laws, which could require significant expenditures.</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exploration, development, production, gathering, processing, transportation and sale of oil and natural gas in the United States are subject to many federal, state and local laws, rules and regulations, including complex environmental laws and regulations. A change in the presidential administration, as well as a closely divided Congress, may also increase the uncertainty with regard to potential changes in these laws, rules and regulations and the enforcement of any new legislation or directives by governmental authorities. Matters subject to regulation include discharge permits, drilling bonds, reports concerning operations, the spacing of wells, unitization and pooling of properties, taxation, gathering and transportation of oil, natural gas and NGLs, gathering and disposal of produced water, environmental matters and health and safety criteria addressing worker protection. Under these laws and regulations, we may be required to make large expenditures that could materially adversely affect our financial condition, results of operations and cash flows. If existing laws and regulations are revised or reinterpreted, or if new laws and regulations become applicable to our operations or those of our service providers, such changes may affect the costs that we pay for such services or the results of business. In addition to expenditures required in order for us to comply with such laws and regulations, expenditures required by such laws and regulations could also include payments and fines for:</w:t>
      </w:r>
    </w:p>
    <w:p>
      <w:pPr>
        <w:spacing w:after="0" w:line="8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damage;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containment and clean-up of oil, produced water and other spills;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venting, flaring or other emissions;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disposal of hazardous materials;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remediation, clean-up costs and natural resource damages;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environmental damages.</w:t>
      </w:r>
    </w:p>
    <w:p>
      <w:pPr>
        <w:spacing w:after="0" w:line="11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do not believe that full insurance coverage for all potential damages is available at a reasonable cost. Failure to comply with these laws and regulations may also result in the suspension or termination of our operations and subject us to administrative, civil and criminal penalties, injunctive relief and/or the imposition of investigatory or other remedial obligations. The costs of remedying noncompliance may be significant, and remediation obligations could adversely affect our financial condition, results of operations and leasehold acreage. Laws, rules and regulations protecting the environment have changed frequently and the changes often include increasingly stringent requirements. These laws, rules and regulations may impose liability on us for environmental damage and disposal of hazardous and non-hazardous materials even if we were not negligent or at fault. We may also be found to be liable for the conduct of others or for acts that complied with applicable laws, rules or regulations at the time we performed those acts. These laws, rules and regulations are interpreted and enforced by numerous federal and state agencies. In addition, private parties, including the owners of properties upon which our wells are drilled or our facilities are located, the owners of properties adjacent to or in close proximity to those properties or non-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governmental organizations such as environmental groups, may also pursue legal actions against us based on alleged non-compliance with certain of these laws, rules and regulations. For example, a number of lawsuits have been filed in some states against others in our industry alleging that fluid injection or oil and natural gas extraction have caused damage to neighboring properties or otherwise violated state and federal rules regulating waste disposal. Private parties may also pursue legal actions challenging permitting programs that authorize certain of our operations. For example, it is possible that courts could vacate relevant NWPs as such potential permit coverage relates to activities in the oil and natural gas sector, or the Biden administration could choose to suspend the availability of NWPs in the future, thereby forcing our relevant operations to seek coverage under individual permits under CWA Section 404 (which is a longer and more administratively complex process that is subject to NEPA).</w:t>
      </w:r>
    </w:p>
    <w:p>
      <w:pPr>
        <w:spacing w:after="0" w:line="8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Part of the regulatory environment in which we operate includes, in some cases, federal requirements for obtaining environmental assessments, environmental impact statements and/or plans of development before commencing exploration and production or midstream activities. Oil and natural gas operations in certain of our operating areas can be adversely affected by seasonal or permanent restrictions on drilling activities designed to protect various wildlife. For example, on March 27, 2023, a final rule became effective that, among other things, lists the lesser prairie-chicken as endangered under the ESA in certain portions of southeastern New Mexico where we operate. On July 3, 2023, the USFWS issued a proposed rule to list the dunes sagebrush lizard as endangered. We participate in candidate conservation agreements for the lesser prairie-chicken, as well as the dunes sagebrush lizard and the Texas hornshell mussel, pursuant to which we are restricted from operating in certain sensitive locations or at certain times. The listing of the dunes sagebrush lizard as endangered, participation in such candidate conservation agreements or the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 material adverse impact on our business, financial condition, results of operations and cash flows. See “Business—Regulation.”</w:t>
      </w:r>
    </w:p>
    <w:p>
      <w:pPr>
        <w:spacing w:after="0" w:line="82"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67"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w:t>
      </w:r>
    </w:p>
    <w:p>
      <w:pPr>
        <w:spacing w:after="0" w:line="72"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Historically, we have generated and carried forward net operating losses (“NOL”) in amounts sufficient to offset substantially all of our taxable income and, thus, have not incurred material federal or state income tax liabilities. As of December 31, 2022, we had utilized all of our federal NOL carryovers. During 2023, we recognized research and experimental expenditure tax credits of $74.0 million, which had the effect of reducing our federal income tax liability for 2023. Our federal and state income tax liabilities in 2024 and subsequent years will be dependent upon a variety of factors that will impact our taxable income, including oil and natural gas prices, allowable deductions and any legislative changes thereon, in addition to any tax credits generated that would offset tax liabilities in future periods.</w:t>
      </w:r>
    </w:p>
    <w:p>
      <w:pPr>
        <w:spacing w:after="0" w:line="79"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Additionally, the IRA contains a number of revisions to the Internal Revenue Code, including (i) a 15% corporate minimum income tax for certain corporations with more than $1 billion in average adjusted financial statement income for the three-year tax period ending before the corporation’s current tax year, (ii) a 1% excise tax on corporate stock repurchases in tax years beginning after December 31, 2022 and (iii) expanded business tax credits and incentives for the development of clean energy projects and the production of clean energy. The impact of the 15% corporate minimum tax will depend on our results of operations each year. While we do not expect such minimum tax (or any other tax provision contained in the IRA) to have any immediate material impact, we will continue to evaluate its future impact as further information becomes available.</w:t>
      </w:r>
    </w:p>
    <w:p>
      <w:pPr>
        <w:spacing w:after="0" w:line="7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addition, there has been a significant amount of discussion by legislators and presidential administrations concerning a variety of energy tax proposals at the U.S. federal level. Periodically, legislation is introduced to eliminate certain key U.S. federal income tax preferences currently available to oil and natural gas exploration and production companies.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The passage of any such legislation or any other similar change in U.S. federal income or state tax law could affect certain tax deductions that are currently available with respect to oil and natural gas exploration and production activities and could negatively impact our financial condition, results of operations and cash flows.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Federal and state legislation and regulatory initiatives relating to hydraulic fracturing could result in increased costs and additional operating restrictions or delays.</w:t>
      </w:r>
    </w:p>
    <w:p>
      <w:pPr>
        <w:spacing w:after="0" w:line="52" w:lineRule="exact"/>
        <w:rPr>
          <w:sz w:val="20"/>
          <w:szCs w:val="20"/>
          <w:color w:val="auto"/>
        </w:rPr>
      </w:pPr>
    </w:p>
    <w:p>
      <w:pPr>
        <w:ind w:right="80" w:firstLine="445"/>
        <w:spacing w:after="0" w:line="252" w:lineRule="auto"/>
        <w:rPr>
          <w:sz w:val="20"/>
          <w:szCs w:val="20"/>
          <w:color w:val="auto"/>
        </w:rPr>
      </w:pPr>
      <w:r>
        <w:rPr>
          <w:rFonts w:ascii="Times New Roman" w:cs="Times New Roman" w:eastAsia="Times New Roman" w:hAnsi="Times New Roman"/>
          <w:sz w:val="18"/>
          <w:szCs w:val="18"/>
          <w:color w:val="auto"/>
        </w:rPr>
        <w:t>Hydraulic fracturing involves the injection of water, sand or other proppants and chemicals under pressure into rock formations to stimulate oil and natural gas production. We routinely use hydraulic fracturing to complete wells in order to produce oil, natural gas and NGLs from formations such as the Wolfcamp and Bone Spring plays, the Eagle Ford shale and the Haynesville shale, where we focus our operations. Hydraulic fracturing has been regulated at the state and local level through permitting and compliance requirements. Federal, state and local laws or regulations targeting various aspects of the hydraulic fracturing process are being considered, or have been proposed or implemented. In past sessions, Congress has considered, but has not passed, legislation to amend the SDWA, to remove the SDWA’s exemption granted to most hydraulic fracturing operations (other than operations using fluids containing diesel) and to require reporting and disclosure of chemicals used by oil and natural gas companies in the hydraulic fracturing process. Also at the federal level, in March 2015, the BLM issued final rules, including new requirements relating to public disclosure, wellbore integrity and handling of flowback water, to regulate hydraulic fracturing on federal and Indian lands, but these rules never became effective. These rules were rescinded by rule in December 2017. The rescission was challenged, and the challenge remains pending before the Ninth Circuit Court of Appeals. Separately, in 2016, BLM issued the 2016 Waste Prevention Rule to address flaring, venting and leaks from oil and natural gas operations on federal lands. Following litigation, the 2016 Waste Prevention Rule was vacated. However, the IRA contains a suite of provisions addressing onshore and offshore oil and natural gas development under federal leases. Under the authority of the IRA, on November 30, 2022, BLM proposed new regulations to reduce the waste of natural gas from venting, flaring, and leaks during oil and natural gas production activities on federal and Indian leases. In addition, in July 2023, the Louisiana Department of Natural Resources issued a proposed rule that would restrict routine venting and flaring of methane from oil and natural gas production facilities in the state.</w:t>
      </w:r>
    </w:p>
    <w:p>
      <w:pPr>
        <w:spacing w:after="0" w:line="8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Various policymakers, regulatory agencies and political candidates at the federal, state and local levels have proposed restrictions on hydraulic fracturing, including its outright prohibition. Any such restrictions on hydraulic fracturing on federal lands could adversely impact our operations in the Delaware Basin, and an outright prohibition would adversely impact essentially all of our operations. In addition, a number of states and local regulatory authorities are considering or have implemented more stringent regulatory requirements applicable to hydraulic fracturing, including bans or moratoria on drilling that effectively prohibit further production of oil and natural gas through the use of hydraulic fracturing or similar operations. For example, Texas and New Mexico have adopted regulations that require the disclosure of information regarding the substances used in the hydraulic fracturing process. Bills have been introduced in the New Mexico legislature to place a moratorium on, ban or otherwise restrict hydraulic fracturing activities, including prohibiting the injection of fresh water in such operations. Although such bills have not passed, similar laws, rules, regulations or orders, if passed at the local, state or federal level could limit our operations.</w:t>
      </w:r>
    </w:p>
    <w:p>
      <w:pPr>
        <w:spacing w:after="0" w:line="80"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spacing w:after="0" w:line="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potential adoption of federal, state and local legislation and regulations intended to address potential induced seismicity in the areas in which we operate could restrict our drilling and production activities, as well as our ability to dispose of produced water gathered from such activities, which could decrease our and San Mateo’s revenues and result in increased costs and additional operating restrictions or delays.</w:t>
      </w:r>
    </w:p>
    <w:p>
      <w:pPr>
        <w:spacing w:after="0" w:line="67"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State and federal regulatory agencies recently have focused on a possible connection between the operation of injection wells used for produced water disposal and the increased occurrence of seismic activity. When caused by human activity, such events are called “induced seismicity.” Regulatory agencies at all levels are continuing to study the possible link between oil and natural gas activity and induced seismicity.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w:t>
      </w:r>
    </w:p>
    <w:p>
      <w:pPr>
        <w:spacing w:after="0" w:line="8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While the scientific community and regulatory agencies at all levels are continuing to study the possible link between oil and natural gas activity and induced seismicity, some state regulatory agencies, including in Texas and New Mexico, have modified their regulations or guidance to mitigate potential causes of induced seismicity.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water disposal wells, including potentially shutting in wells, in the area of seismic events based on the magnitude, timing and proximity of the seismic event. See “Business—Regulation—Environmental, Health and Safety Regulation.”</w:t>
      </w:r>
    </w:p>
    <w:p>
      <w:pPr>
        <w:spacing w:after="0" w:line="54"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Increased seismicity in areas in which we operate could result in additional regulation and restrictions on the use of injection wells by us or by third parties whom we may contract with to dispose of produced water. Additional regulation and attention given to induced seismicity could also lead to greater opposition, including litigation, to oil and natural gas activities. Any one or more of these developments may result in operational delays, increase our operating and compliance costs or otherwise adversely affect our operations. We and San Mateo dispose of large volumes of produced water gathered from our and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dispose of produced water gathered from drilling and production activities could adversely impact our business, cash flows and results of operations and could decrease our and San Mateo’s revenues and result in increased costs and additional operating restrictions or delays.</w:t>
      </w:r>
    </w:p>
    <w:p>
      <w:pPr>
        <w:spacing w:after="0" w:line="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spacing w:after="0" w:line="67" w:lineRule="exact"/>
        <w:rPr>
          <w:sz w:val="20"/>
          <w:szCs w:val="20"/>
          <w:color w:val="auto"/>
        </w:rPr>
      </w:pPr>
    </w:p>
    <w:p>
      <w:pPr>
        <w:ind w:right="20" w:firstLine="445"/>
        <w:spacing w:after="0" w:line="251" w:lineRule="auto"/>
        <w:rPr>
          <w:sz w:val="20"/>
          <w:szCs w:val="20"/>
          <w:color w:val="auto"/>
        </w:rPr>
      </w:pPr>
      <w:r>
        <w:rPr>
          <w:rFonts w:ascii="Times New Roman" w:cs="Times New Roman" w:eastAsia="Times New Roman" w:hAnsi="Times New Roman"/>
          <w:sz w:val="18"/>
          <w:szCs w:val="18"/>
          <w:color w:val="auto"/>
        </w:rPr>
        <w:t>We believe it is likely that scientific and political attention to issues concerning the extent, causes of and responsibility for climate change will continue, with the potential for further regulations and litigation that could affect our operations. Our operations result in greenhouse gas emissions. The EPA has published its final findings that emissions of carbon dioxide, methane and other greenhouse gases present an endangerment to public health and welfare because emissions of such gases are, according to the EPA, contributing to the warming of the earth’s atmosphere and other climatic changes. There were attempts at comprehensive federal legislation establishing a cap and trade program, but that legislation did not pass. Further, various states have considered or adopted legislation that seeks to control or reduce emissions of greenhouse gases from a wide range of sources. 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NDCs, which set greenhouse gas emission reduction goals, every five years beginning in 2020. The United States exited the Paris Agreement in November 2020 but rejoined the agreement effective February 19, 2021. In April 2021, the United States made its NDC submittal, setting a goal to achieve a 50 to 52% reduction from 2005 levels in economy-wide net greenhouse gas pollution in 2030. Further, in November 2021, the United States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alternative sources of energy. On August 16, 2022, the IRA created the Methane Emissions Reduction Program to incentivize methane emission reductions and, for the first time ever, impose a fee on GHG emissions from certain facilities that exceed specified emissions levels. Further, on November 11, 2022, the EPA issued a supplemental notice of proposed rulemaking on methane and greenhouse gas emissions from new and existing sources in the oil and natural gas industry. On December 2, 2023, the EPA issued a prepublication version of a final rule to reduce methane and volatile organic chemicals emissions from the oil and natural gas sector, which strengthens and expands the EPA’s November 1, 2021 proposed revisions to the New Source Performance Standards program established under Section 111 of the CAA and creates new emissions restrictions for existing sources as well. On November 17, 2023, the EPA issued a final rule that enables states to implement more stringent methane emissions standards than the federal guidelines require.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prohibits flaring in certain circumstances and requires upstream and midstream operators to reduce natural gas waste by a fixed amount each year and achieve a 98% natural gas capture rate by the end of 2026. The NMED adopted rules and regulations in April 2022 to address the formation of ground-level ozone, including from existing oil and natural gas operations. In August 2022, the NMED issued a final rule imposing additional controls on oil and natural gas operations to reduce ozone-precursor emissions. A challenge to the ozone precursor rule is currently pending in New Mexico state court. The EPA has begun adopting and implementing a comprehensive suite of regulations to restrict greenhouse gas emissions under existing provisions of the CAA and the recent authority of the IRA. Legislative and regulatory initiatives related to climate change and greenhouse gas emissions could, and in all likelihood would, require us to incur increased operating costs adversely affecting</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profits and could adversely affect demand for the oil and natural gas we produce, depressing the prices we receive for oil and natural gas.</w:t>
      </w:r>
    </w:p>
    <w:p>
      <w:pPr>
        <w:spacing w:after="0" w:line="117"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In an interpretative guidance on climate change disclosures, the SEC indicated that climate change could have an effect on the severity of weather (including hurricanes, droughts and floods),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and increased costs for insurance coverage in the aftermath of such effects. Any future exploration and development activities and equipment could also be adversely affected by severe weather conditions such as hurricanes or freezing temperatures, which may cause a loss of production from temporary cessation of activity from regional power outages or lost or damaged facilities and equipment. Such severe weather conditions could also impact access to our drilling and production facilities for routine operations, maintenance and repairs and the availability of and our access to, necessary third-party services, such as gathering, processing, compression and transportation services. These constraints and the resulting shortages or high costs could delay or temporarily halt our operations and materially increase our operation and capital costs, which could have a material adverse effect on our business, financial condition and results of operations. Significant physical effects of climate change could also have an indirect effect on our financing and operations by disrupting the transportation or process-related services provided by us or other midstream 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“—Risks Related to our Operations—If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spacing w:after="0" w:line="84"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The adoption of legislation or regulatory programs to reduce greenhouse gas emissions could require us to incur increased operating costs, such as costs to purchase and operate emissions control systems, to acquire emissions allowances or to comply with new regulatory or reporting requirements. Any such legislation or regulatory programs could also increase the cost of consuming, and thereby reduce demand for, the oil and natural gas we produce. Consequently, legislation and regulatory programs to reduce emissions of greenhouse gases could have a material adverse effect on our business, financial condition and results of operations. Reduced demand for the oil and natural gas that we produce could also have the effect of lowering the value of our reserves. In addition, there have also been efforts in recent years to influence the investment community, including investment advisors, investment fund managers and certain family foundations, universities, individual investors and sovereign wealth, pension and endowment funds, promoting divestment of, or limit investment in, fossil fuel equities and pressuring lenders to limit or stop funding to companies engaged in the extraction of fossil fuel reserves. Such environmental activism and initiatives aimed at limiting climate change and reducing air pollution could interfere with our business activities, operations and ability to access capital. Additionally, the threat of climate change has resulted in increasing political risk in the United States as various policy makers, regulatory agencies and political candidates at the federal, state and local levels have proposed bans of new leases for production of minerals on federal properties and various restrictions on hydraulic fracturing, including its outright prohibition. In January 2021, the Biden administration issued the Biden Administration Federal Lease Orders, limiting the issuance of federal drilling permits and other federal approvals. Also in 2021, President Biden issued an executive order directing the federal government to utilize certain calculations of the “social cost” of carbon and other greenhouse gases in its decision making. The BLM indicated that the Lease Sale Litigation and the Social Cost of Carbon Litigation could delay lease sales and the approval of drilling permits. Although some of the restrictions in the Biden Administration Federal Lease Orders have lapsed, the impact of these and similar federal actions remains unclear. Should these or other limitations or prohibitions be imposed or continue to be applied, our oil and natural gas operations on federal lands could be adversely impacted.</w:t>
      </w:r>
    </w:p>
    <w:p>
      <w:pPr>
        <w:spacing w:after="0" w:line="8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President Biden and the Democratic Party, which now controls the U.S. Senate, have identified climate change as a priority, and new executive orders, regulatory action and/or legislation targeting greenhouse gas emissions, promoting energy efficiency or the development and consumption of alternative forms of energy, or prohibiting or restricting oil and natural gas development activities in certain areas, have been proposed and/or promulgated during the Biden administration and additional such measures are likely. The Biden administration has issued multiple executive orders pertaining to environmental regulations and climate change, including the Executive Order on Protecting Public Health and the Environment and Restoring Science to Tackle the Climate Crisis and the Executive Order on Tackling the Climate Crisis at Home and Abroad. In the latter executive order, President Biden established climate change as a primary foreign policy and national security consideration, affirmed that achieving net-zero greenhouse gas emissions by or before 2050 is a critical priority, affirmed his administration’s desire to establish the United States as a leader in addressing climate change and generally further integrated climate change and environmental justice considerations into government agencies’ decision-making, among other measures. Finally, increasing attention to the risks of climate change has resulted in an increased possibility of lawsuits or investigations brought by public</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for a multitude of individual jurisdictions, the outcome of political decision-making processes and the variables and trade-offs that inevitably occur in connection with such processes.</w:t>
      </w:r>
    </w:p>
    <w:p>
      <w:pPr>
        <w:spacing w:after="0" w:line="58"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New climate disclosure rules proposed by the SEC or states in which we have operations or do business could increase our costs of compliance and adversely impact our business.</w:t>
      </w:r>
    </w:p>
    <w:p>
      <w:pPr>
        <w:spacing w:after="0" w:line="5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On March 21, 2022, the SEC released proposed new rules that would require significantly expanded climate-related disclosures in SEC filings, including certain climate-related risks, climate-related metrics and greenhouse gas emissions, information about climate-related targets and goals, transition plans, if any, and extensive attestation requirements. The proposed rules include certain phase-in compliance dates for disclosure of Scope 1, 2 and 3 greenhouse gas emissions. As initially proposed, large accelerated filers such as us would be obligated to disclose Scope 1 and 2 greenhouse gas emissions beginning in the first filing year in which the rules apply and disclose Scope 3 greenhouse gas emissions beginning in the following filing year. While we are currently assessing the proposed rule, the final form and substance of the rule is not yet known, and at this time we cannot predict the costs of implementation or any potential adverse impacts resulting from the rule. In addition, in the absence of federal action, states may propose and adopt climate disclosure requirements.</w:t>
      </w:r>
    </w:p>
    <w:p>
      <w:pPr>
        <w:spacing w:after="0" w:line="8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the event the SEC finalizes its proposed climate disclosure rule or states in which we operate or do business adopt climate disclosure requirements, we could incur significant additional costs relating to the assessment and disclosure of climate-related risks, including costs relating to monitoring, collecting, analyzing and reporting the new metrics and implementing systems and procuring additional internal and external personnel with the requisite skills and expertise to serve those functions. These additional costs or changes in operations could have a material adverse effect on our business, financial condition, results of operations and cash flows. We may also face increased litigation risks related to disclosures made pursuant to the rule if finalized as proposed. In addition, enhanced climate disclosure requirements could accelerate the trend of certain investors and lenders restricting or seeking more stringent conditions with respect to their investments in carbon-intensive sectors. Separately, the SEC has also announced that it is scrutinizing existing climate-change related disclosures in public filings, increasing the potential for enforcement if the SEC were to allege an issuer’s existing climate disclosures to be misleading or deficient.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regulations on all emissions from our operations could cause us to incur significant costs.</w:t>
      </w:r>
    </w:p>
    <w:p>
      <w:pPr>
        <w:spacing w:after="0" w:line="119" w:lineRule="exact"/>
        <w:rPr>
          <w:sz w:val="20"/>
          <w:szCs w:val="20"/>
          <w:color w:val="auto"/>
        </w:rPr>
      </w:pPr>
    </w:p>
    <w:p>
      <w:pPr>
        <w:ind w:firstLine="445"/>
        <w:spacing w:after="0" w:line="267" w:lineRule="auto"/>
        <w:rPr>
          <w:sz w:val="20"/>
          <w:szCs w:val="20"/>
          <w:color w:val="auto"/>
        </w:rPr>
      </w:pPr>
      <w:r>
        <w:rPr>
          <w:rFonts w:ascii="Times New Roman" w:cs="Times New Roman" w:eastAsia="Times New Roman" w:hAnsi="Times New Roman"/>
          <w:sz w:val="17"/>
          <w:szCs w:val="17"/>
          <w:color w:val="auto"/>
        </w:rPr>
        <w:t>In recent years, the EPA issued final rules to subject oil and natural gas operations to regulation under the NSPS and NESHAP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In January 2023, the EPA announced a proposed consent decree that, if finalized as proposed, would establish a December 10, 2024 deadline for the EPA to review and propose revisions to the NESHAP for oil and natural gas production facilities and natural gas transmission and storage facilities, which may require us to make additional changes to our operations. The EPA finalized a more stringent National Ambient Air Quality Standard for ozone in October 2015. The EPA finished promulgating final area designations under the new standard in 2018, which, to the extent areas in which we operate have been classified as “non-attainment” areas, may result in an increase in costs for emission controls and requirements for additional monitoring and testing, as well as a more cumbersome permitting process. To the extent regions reclassified as non-attainment areas under the lower ozone standard have begun implementing new, more stringent regulations, those regulations could also apply to our or San Mateo’s customers’ operations. Generally, it takes states several years to develop compliance plans for their non-attainment areas. In November 2016, BLM issued final rules relating to the venting, flaring and leaking of natural gas by oil and natural gas producers who operate on federal and Indian lands. The rules were designed to limit routine flaring of natural gas, require the payment of royalties on avoidable natural gas losses and require plans or programs relating to natural gas capture and leak detection and repair. Following litigation, the 2016 Waste Prevention Rule was vacated. However, the IRA contains a suite of provisions addressing onshore and offshore oil and natural gas development under Federal leases. Under the authority of the IRA, on November 30, 2022, BLM proposed new regulations to reduce the waste of natural gas from venting, flaring, and leaks during oil and natural gas production activities on Federal and Indian leases. If not withdrawn or significantly revised, these proposed rules are expected to result in an increase to our operating costs and changes in our operations. In December 2023, the EPA issued final NSPS updates and emission guidelines to reduce methane and other pollutants from the oil and gas industry. In addition, several states are pursuing similar measures to regulate emissions of methane from new and existing sources within the oil and natural gas source category. As a result of this continued regulatory focus, future federal and state regulations of the oil and natural gas industry remain a possibility and could result in increased compliance costs for our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incur significant costs and liabilities resulting from compliance with pipeline safety regulations.</w:t>
      </w:r>
    </w:p>
    <w:p>
      <w:pPr>
        <w:spacing w:after="0" w:line="119"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Our pipelines are subject to stringent and complex regulation related to pipeline safety and integrity management. For instance, the Department of Transportation, through PHMSA, has established a series of rules that require pipeline operators to develop and implement integrity management programs for hazardous liquid (including oil) pipeline segments that, in the event of a leak or rupture, could affect high-consequence areas. The Rustler Breaks Oil Pipeline System is subject to such rules. PHMSA also recently finalized rulemaking to expand existing integrity management, reporting and records retention, and safety requirements to certain natural gas transmission lines. Additional action by PHMSA with respect to pipeline integrity management requirements may occur in the future. At this time, we cannot predict the cost of such requirements, but they could be significant. Moreover, violations of pipeline safety regulations can result in the imposition of significant penalties.</w:t>
      </w:r>
    </w:p>
    <w:p>
      <w:pPr>
        <w:spacing w:after="0" w:line="8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Several states have also passed legislation or promulgated rules to address pipeline safety. Compliance with pipeline integrity laws and other pipeline safety regulations issued by state agencies such as the RRC and the NMOCD could result in substantial expenditures for testing, repairs and replacement. Due to the possibility of new or amended laws and regulations or reinterpretation of existing laws and regulations, there can be no assurance that future compliance with PHMSA or state requirements will not have a material adverse effect on our results of operations or financial position.</w:t>
      </w:r>
    </w:p>
    <w:p>
      <w:pPr>
        <w:spacing w:after="0" w:line="70"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A change in the jurisdictional characterization of some of our assets by FERC or a change in policy by FERC may result in increased regulation of our assets, which may cause our revenues to decline and operating expenses to increase.</w:t>
      </w:r>
    </w:p>
    <w:p>
      <w:pPr>
        <w:spacing w:after="0" w:line="5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Section 1(b) of the NGA exempts natural gas gathering facilities from regulation by FERC under the NGA. We believe that the natural gas pipelines in our gathering systems meet the traditional tests FERC has used to establish a pipeline’s status as a gatherer 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San Mateo’s Rustler Breaks Oil Pipeline System, which includes crude oil gathering and transportation pipelines from origin points in Eddy County, New Mexico to an interconnect with Plains, is subject to FERC jurisdiction.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rates of our regulated assets are subject to review and reporting by federal regulators, which could adversely affect our revenues.</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Rustler Breaks Oil Pipeline System transports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w:t>
      </w:r>
    </w:p>
    <w:p>
      <w:pPr>
        <w:spacing w:after="0" w:line="80"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In addition, FERC’s ratemaking policies are subject to change and may impact the rates charged and revenues received on the Rustler Breaks Oil Pipeline System and any other natural gas or crude oil pipeline that is determined to be under the jurisdiction of FERC.</w:t>
      </w:r>
    </w:p>
    <w:p>
      <w:pPr>
        <w:spacing w:after="0" w:line="5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Should we fail to comply with all applicable FERC-administered statutes, rules, regulations and orders, we could be subject to substantial penalties and fines.</w:t>
      </w:r>
    </w:p>
    <w:p>
      <w:pPr>
        <w:spacing w:after="0" w:line="52"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Under the Energy Policy Act, FERC has civil penalty authority under the NGA to impose penalties for current violations of up to approximately $1.3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does transport crude oil in interstate commerce and, therefore, is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legislation adopted by Congress could have an adverse impact on our ability to hedge risks associated with our business.</w:t>
      </w:r>
    </w:p>
    <w:p>
      <w:pPr>
        <w:spacing w:after="0" w:line="11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regulations implementing the Dodd-Frank Act. Although the CFTC has finalized certain regulations, others remain to be finalized or implemented, and it is not possible at this time to predict when, or if, this will be accomplished.</w:t>
      </w:r>
    </w:p>
    <w:p>
      <w:pPr>
        <w:spacing w:after="0" w:line="72"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In 2011, the CFTC issued regulations to set position limits for certain futures and option contracts in the major energy markets and for swaps that are their economic equivalents. The initial position limits rule was vacated by the United States District Court for the District of Columbia in 2012. However, in 2013, the CFTC proposed new rules that would place limits on positions in certain core futures and equivalent swaps contracts for or linked to certain physical commodities, subject to exceptions for certain bona fide hedging transactions. In 2016, the CFTC decided to re-propose, rather than finalize, certain regulations, including limitations on speculative futures and swap positions. The CFTC has not acted on the re-proposed position limit regulations. As these new position limit rules are not yet final, the impact of those provisions on us is uncertain at this time. The Dodd-Frank Act could also result in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w:t>
      </w:r>
    </w:p>
    <w:p>
      <w:pPr>
        <w:spacing w:after="0" w:line="8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spacing w:after="0" w:line="68" w:lineRule="exact"/>
        <w:rPr>
          <w:sz w:val="20"/>
          <w:szCs w:val="20"/>
          <w:color w:val="auto"/>
        </w:rPr>
      </w:pPr>
    </w:p>
    <w:p>
      <w:pPr>
        <w:ind w:right="660" w:firstLine="405"/>
        <w:spacing w:after="0" w:line="266" w:lineRule="auto"/>
        <w:rPr>
          <w:sz w:val="20"/>
          <w:szCs w:val="20"/>
          <w:color w:val="auto"/>
        </w:rPr>
      </w:pPr>
      <w:r>
        <w:rPr>
          <w:rFonts w:ascii="Times New Roman" w:cs="Times New Roman" w:eastAsia="Times New Roman" w:hAnsi="Times New Roman"/>
          <w:sz w:val="18"/>
          <w:szCs w:val="18"/>
          <w:color w:val="auto"/>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price of our common stock has fluctuated substantially and may fluctuate substantially in the future.</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stock price has experienced volatility and could vary significantly as a result of a number of factors. In 2023, our stock price fluctuated between a high of $69.41 and a low of $42.04.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could affect our stock price or result in fluctuations in the market price or trading volume of our common stock include:</w:t>
      </w:r>
    </w:p>
    <w:p>
      <w:pPr>
        <w:spacing w:after="0" w:line="117"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anticipated operating and financial performance and drilling locations, including oil and natural gas reserves estimates;</w:t>
      </w:r>
    </w:p>
    <w:p>
      <w:pPr>
        <w:spacing w:after="0" w:line="11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of our financial indicators, such as net income per share, net income and cash flows, or those of companies that are perceived to be similar to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cash flows or earnings estimates or publication of reports by equity research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dividends or adjustments to our dividend policy;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consummation of acquisitions, dispositions or joint ventures by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reaction to our operations or plans, press releases,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or reports by industry analysts regarding the Company, its competitors or our industry;</w:t>
      </w:r>
    </w:p>
    <w:p>
      <w:pPr>
        <w:spacing w:after="0" w:line="117" w:lineRule="exact"/>
        <w:rPr>
          <w:rFonts w:ascii="Times New Roman" w:cs="Times New Roman" w:eastAsia="Times New Roman" w:hAnsi="Times New Roman"/>
          <w:sz w:val="18"/>
          <w:szCs w:val="18"/>
          <w:color w:val="auto"/>
        </w:rPr>
      </w:pPr>
    </w:p>
    <w:p>
      <w:pPr>
        <w:ind w:left="660" w:right="110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federal, state or local laws, rules or regulations that restrict our ability to conduct our operations, such as the Biden Administration Federal Lease Orders;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directors, officers or other shareholders, or the perception that such sales may occur;</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market conditions and oil and natural gas industry market conditions, including fluctuations in the price of oil, natural gas and NGLs;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or global health concerns, including the outbreak or resurgence of contagious or pandemic diseases, such as COVID-19 and its variants;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Annual Report;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involvement in or unfavorable resolution of litigation;</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exploration and development operations, our midstream business (including San Mateo) and the marketing of any oil, natural gas and NGLs we produce;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ours;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115"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Attention to ESG and conservation matters and a negative shift in market perception towards the oil and natural gas industry could adversely affect demand for oil and natural gas and our stock price.</w:t>
      </w:r>
    </w:p>
    <w:p>
      <w:pPr>
        <w:spacing w:after="0" w:line="5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Attention from governmental and regulatory bodies, investors, consumers and other stakeholders on ESG practices, together with changes in consumer, industrial and commercial behavior, investor and societal expectations on companies to address climate change and to make voluntary disclosures related to climate change and sustainability, preferences and attitudes with respect to the generation and consumption of energy, the use of hydrocarbons and the use of products manufactured with, or powered, by hydrocarbons, may result in the enactment of climate and ESG-related regulations, policies and initiatives at the government, regulator, corporate and/or investor community levels; technological advances with respect to the generation, transmission, storage and consumption of energy; and the development of, and increased demand from consumers for, lower-emission products and services. These developments may in the future result in increased costs (including increased costs associated with compliance, shareholder engagement, contracting and insurance) and reduced demand for products manufactured with, or powered by, petroleum products, as well as the demand for our products and services. Such developments could result in downward pressure on the stock prices of oil and natural gas companies, including ours.</w:t>
      </w:r>
    </w:p>
    <w:p>
      <w:pPr>
        <w:spacing w:after="0" w:line="8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addition, negative perceptions regarding our industry and reputational risks, including perceptions related to the sufficiency of our ESG program (which may include policies, practices and extralegal objectives related to climate change, environmental stewardship, social responsibility and corporate governance), may in the future adversely affect our ability to successfully carry out our business strategy by adversely affecting our access to capital. In particular, certain segments of the investor community have recently expressed negative sentiment towards investing in the oil and natural gas industry. In recent years prior to 2021, equity returns in the sector versus other industry sectors have led to lower oil and natural gas representation in certain key equity market indices. Some investors, including certain pension funds, sovereign wealth funds, university endowments, individual investors and family foundations, have stated policies to reduce or eliminate their investments in the oil and natural gas sector based on social and environmental considerations. Other significant investors and asset managers, both domestically and internationally, have published ESG guidelines and disclosure standards that companies in which they invest are expected to adopt or follow.</w:t>
      </w:r>
    </w:p>
    <w:p>
      <w:pPr>
        <w:spacing w:after="0" w:line="8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Certain other stakeholders have pressured commercial and investment banks and other capital providers to stop or limit funding of oil and natural gas projects and have pressured insurance underwriters to limit coverages to companies engaged in the extraction of fossil fuel reserves. Institutional lenders that provide financing to energy companies have also become more attentive to sustainable lending practices, and some may elect not to provide traditional energy producers or companies that support such producers with funding. With the continued volatility in oil and natural gas prices, and the possibility that interest rates will rise in the near term, increasing the cost of borrowing, certain investors have emphasized capital efficiency and free cash flow from earnings as key drivers for energy companies, especially those primarily focused in the shale plays. This may also result in a reduction of available capital funding for potential development projects, further impacting our future financial results. Furthermore, if we are unable to achieve the desired level of capital efficiency or free cash flow within the timeframe expected by the market, our stock price may be adversely affected.</w:t>
      </w:r>
    </w:p>
    <w:p>
      <w:pPr>
        <w:spacing w:after="0" w:line="84"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In addition, shareholder activism has been recently increasing in the oil and gas industry, and shareholders may attempt to effect changes to our business or governance, whether by shareholder proposals, public campaigns, proxy solicitations or otherwise. Organizations that provide information to investors on corporate governance and related matters have developed ratings processes for evaluating companies on their approach to ESG matters, and such ratings are used by some investors to inform their investment and voting decisions. Unfavorable ESG ratings and recent activism directed at shifting funding away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from companies with energy-related assets could lead to increased negative investor sentiment toward us and to the diversion of investment to other industries, which could have an adverse effect on our stock price and our access to and costs of capital.</w:t>
      </w:r>
    </w:p>
    <w:p>
      <w:pPr>
        <w:spacing w:after="0" w:line="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Future sales of shares of our common stock by existing shareholders and future offerings of our common stock by us could depress the price of our common stock.</w:t>
      </w:r>
    </w:p>
    <w:p>
      <w:pPr>
        <w:spacing w:after="0" w:line="52"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If our existing shareholders, including directors or officers, sell, or indicate an intent to sell, substantial amounts of our common stock in the public market, the trading price of our common stock could decline significantly.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spacing w:after="0" w:line="79"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 of shares of our common stock or convertible securities would have on the market price of our common stock.</w:t>
      </w:r>
    </w:p>
    <w:p>
      <w:pPr>
        <w:spacing w:after="0" w:line="66"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Our directors and executive officers own a significant percentage of our equity, which could give them influence in corporate transactions and other matters, and their interests could differ from other shareholders.</w:t>
      </w:r>
    </w:p>
    <w:p>
      <w:pPr>
        <w:spacing w:after="0" w:line="5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As of February 20, 2024, our directors and executive officers beneficially owned approximately 6.3% of our outstanding common stock. These shareholders could influence or control to some degree the outcome of matters requiring a shareholder 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 shareholders. In addition, due to their ownership interest in our common stock, our directors and executive officers may be able to remain entrenched in their positions.</w:t>
      </w:r>
    </w:p>
    <w:p>
      <w:pPr>
        <w:spacing w:after="0" w:line="7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Our Board can authorize the issuance of preferred stock, which could diminish the rights of holders of our common stock and make a change of control of the Company more difficult even if it might benefit our shareholders.</w:t>
      </w:r>
    </w:p>
    <w:p>
      <w:pPr>
        <w:spacing w:after="0" w:line="52"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Our Board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w:t>
      </w:r>
    </w:p>
    <w:p>
      <w:pPr>
        <w:spacing w:after="0" w:line="68" w:lineRule="exact"/>
        <w:rPr>
          <w:sz w:val="20"/>
          <w:szCs w:val="20"/>
          <w:color w:val="auto"/>
        </w:rPr>
      </w:pPr>
    </w:p>
    <w:p>
      <w:pPr>
        <w:ind w:right="640" w:firstLine="445"/>
        <w:spacing w:after="0" w:line="282" w:lineRule="auto"/>
        <w:rPr>
          <w:sz w:val="20"/>
          <w:szCs w:val="20"/>
          <w:color w:val="auto"/>
        </w:rPr>
      </w:pPr>
      <w:r>
        <w:rPr>
          <w:rFonts w:ascii="Times New Roman" w:cs="Times New Roman" w:eastAsia="Times New Roman" w:hAnsi="Times New Roman"/>
          <w:sz w:val="18"/>
          <w:szCs w:val="18"/>
          <w:color w:val="auto"/>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9"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We may have difficulty managing growth in our business, which could have a material adverse effect on our business, financial condition, results of operations and cash flows and our ability to execute our business plan in a timely fashion.</w:t>
      </w:r>
    </w:p>
    <w:p>
      <w:pPr>
        <w:spacing w:after="0" w:line="52"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Because of our size, growth in accordance with our business plans, if achieved, will place a significant strain on our financial, technical, operational and management resources. As and when we expand our activities, including our midstream business, through San Mateo, Pronto or otherwise,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landmen, midstream professionals, attorneys and financial and accounting professionals, could have a material adverse effect on our business, financial condition, results of operations and cash flows and our ability to execute our business plan in a timely fashion.</w:t>
      </w:r>
    </w:p>
    <w:p>
      <w:pPr>
        <w:spacing w:after="0" w:line="7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Our success depends, to a large extent, on our ability to retain our key personnel, including our chairman and chief executive officer, management and technical team and the members of our Board, and the loss of any key personnel or Board member could disrupt our business operations.</w:t>
      </w:r>
    </w:p>
    <w:p>
      <w:pPr>
        <w:spacing w:after="0" w:line="52"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Investors in our common stock must rely upon the ability, expertise, judgment and discretion of our management and the success of our technical team in identifying, evaluating and developing prospects and reserves. Our performance and success are dependent to a large extent on the efforts and continued employment of our management and technical personnel, including our Chairman and Chief Executive Officer, Joseph Wm. Foran. We do not believe that they could be quickly replaced with personnel of equal experience and capabilities, and their successors may not be as effective. We have entered into employment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agreements with Mr. Foran and other key personnel. However, these employment agreements do not ensure that these individuals will remain in our employment. If Mr. Foran or other key personnel resign or become unable to continue in their present roles and if they are not adequately replaced, our business operations could be adversely affected. With the exception of Mr. Foran, we do not maintain, nor do we plan to obtain, any insurance against the loss of any of these individuals.</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We have an active Board that meets at least quarterly throughout the year and is closely involved in our business and the determination of our operational strategies. Members of our Board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spacing w:after="0" w:line="72"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It has also been widely reported in the press and elsewhere that businesses have faced a more challenging hiring environment since the onset of the COVID-19 pandemic and the subsequent recovery, which has resulted in increased costs to attract skilled labor, such as higher wages or costs for contractors. We may experience employee turnover or labor shortages if our business requirements, compensation, benefits and/or perquisites are inconsistent with the expectations of current or prospective employees, or if workers pursue employment in fields with less volatility than in the energy industry. If we are unsuccessful in our efforts to attract and retain sufficient qualified personnel on terms acceptable to us, or do so at rates necessary to maintain our competitive position, our business could be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cyber incident could occur and result in information theft, data corruption, operational disruption or financial loss.</w:t>
      </w:r>
    </w:p>
    <w:p>
      <w:pPr>
        <w:spacing w:after="0" w:line="11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oil and natural gas industry is dependent on digital technologies to conduct certain exploration, development, production, gathering, processing and financial activities, including technologies that are managed by third-party service providers or other providers to our industry on whom we directly or indirectly rely to help us collect, host or process information. We depend on such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SCADA systems, control important processes and facilities that are critical to our operations.</w:t>
      </w:r>
    </w:p>
    <w:p>
      <w:pPr>
        <w:spacing w:after="0" w:line="7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While we and our third-party service providers commit resources to the design, implementation and monitoring of our information systems, there is no guarantee that these security measures will provide absolute security. Despite these security measures, we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 If any of such programs or systems were to fail or create erroneous information in our hardware or software network infrastructure or we were subject to cyberspace breaches, phishing schemes or attacks, possible consequences include financial losses, damage to our reputation and the inability to engage in any of the aforementioned activities. Any such consequence could have a material adverse effect on our business. In addition, any failure of our third-party providers’ computer systems, or those of our customers, suppliers or others with whom we do business, could materially disrupt our ability to operate our business.</w:t>
      </w:r>
    </w:p>
    <w:p>
      <w:pPr>
        <w:spacing w:after="0" w:line="84"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While we have experienced certain phishing schemes and efforts to access our network, we have not experienced any material losses due to cyber incidents. However, we may suffer such losses in the future. If our or our third-party providers’ systems for protecting against cyber incidents prove to be insufficient, we could be adversely affected by unauthorized access to proprietary information, which could lead to data corruption, communication interruption, exposure of our or third parties’ confidential or proprietary information, disruptions of our current or planned business operations or transactions, damage to our reputation or financial loss. Additionally, costs for insurance may also increase as a result of cybersecurity threats, and insurance against losses relating to cyber incidents may become more difficult to obtain.</w:t>
      </w:r>
    </w:p>
    <w:p>
      <w:pPr>
        <w:spacing w:after="0" w:line="7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As cyber threats continue to evolve, we may be required to expend additional resources to continue to modify and further enhance our protective systems or to investigate and remediate any vulnerabilities. In addition, the continuing and evolving threat of cybersecurity attacks has resulted in evolving legal and compliance matters, including increased regulatory focus on prevention, which could lead to increased regulatory compliance costs, insurance coverage cost or capital expenditures. Any failure by us to comply with any additional regulations could result in significant penalties and liability to us, and we cannot predict the potential impact to our business or the energy industry resulting from additional regulations. We may also be subject to regulatory investigations or litigation relating to cybersecurity issues.</w:t>
      </w:r>
    </w:p>
    <w:p>
      <w:pPr>
        <w:spacing w:after="0" w:line="7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Provisions of our certificate of formation, bylaws and Texas law may have anti-takeover effects that could prevent a change in control even if it might be beneficial to our shareholders.</w:t>
      </w:r>
    </w:p>
    <w:p>
      <w:pPr>
        <w:spacing w:after="0" w:line="52"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Our certificate of formation and bylaws contain certain provisions that may discourage, delay or prevent a merger or acquisition of the Company or other change in control transaction that our shareholders may consider favorable. These provisions include: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our Board to issue preferred stock without shareholder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of cumulative voting in the election of directors;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ability of shareholders to call special meetings to those owning at least 25% of our outstanding shares of common stock.</w:t>
      </w:r>
    </w:p>
    <w:p>
      <w:pPr>
        <w:spacing w:after="0" w:line="117"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 of the transaction by our Board before this person became an affiliated shareholder or approval of the holders of at least two-thirds of our outstanding voting shares not beneficially owned by the affiliated shareholder.</w:t>
      </w:r>
    </w:p>
    <w:p>
      <w:pPr>
        <w:spacing w:after="0" w:line="7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We operate in a litigious environment and may be involved in legal proceedings that could have a material adverse effect on our results of operations and financial condition.</w:t>
      </w:r>
    </w:p>
    <w:p>
      <w:pPr>
        <w:spacing w:after="0" w:line="52" w:lineRule="exact"/>
        <w:rPr>
          <w:sz w:val="20"/>
          <w:szCs w:val="20"/>
          <w:color w:val="auto"/>
        </w:rPr>
      </w:pPr>
    </w:p>
    <w:p>
      <w:pPr>
        <w:ind w:right="220" w:firstLine="445"/>
        <w:spacing w:after="0" w:line="254" w:lineRule="auto"/>
        <w:rPr>
          <w:sz w:val="20"/>
          <w:szCs w:val="20"/>
          <w:color w:val="auto"/>
        </w:rPr>
      </w:pPr>
      <w:r>
        <w:rPr>
          <w:rFonts w:ascii="Times New Roman" w:cs="Times New Roman" w:eastAsia="Times New Roman" w:hAnsi="Times New Roman"/>
          <w:sz w:val="18"/>
          <w:szCs w:val="18"/>
          <w:color w:val="auto"/>
        </w:rPr>
        <w:t>Like many oil and natural gas companies, we are from time to time involved in various legal and other proceedings in the ordinary course of business, such as title, royalty or contractual disputes, regulatory compliance matters and personal injury or property damage matters. Such legal proceedings are inherently uncertain and their results cannot be predicted. Regardless of the outcome, such proceedings could have a material adverse impact on us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our business practices, which could materially and adversely affect our business, operating results and financial condition. Accruals for such liability, penalties or sanctions may be insufficient. Judgments and estimates to determine accruals or range of losses related to legal and other proceedings could change from one period to the next, and such changes could be 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the importance of developing, implementing and maintaining cybersecurity measures to better safeguard our information systems and protect the confidentiality, integrity and availability of our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Material Risks and Integrated Overall Risk Management</w:t>
      </w:r>
    </w:p>
    <w:p>
      <w:pPr>
        <w:spacing w:after="0" w:line="241"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The Company has integrated cybersecurity into our broader risk management framework. Our risk management team works closely with our IT department to evaluate and address cybersecurity risks in alignment with our business objectives and operational needs. The Company requires the Board and employees to complete cybersecurity training related to the physical security of assets, data privacy and other information security policies and procedures.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 Third Parties on Risk Management</w:t>
      </w:r>
    </w:p>
    <w:p>
      <w:pPr>
        <w:spacing w:after="0" w:line="227"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the Company engages with a range of external experts, including cybersecurity consultants in evaluating and testing our risk management systems. Our collaboration with these third parties includes regular audits, threat assessments, penetration tests and consultation on security enhancements.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Oversee Third-Party Risk</w:t>
      </w:r>
    </w:p>
    <w:p>
      <w:pPr>
        <w:spacing w:after="0" w:line="241"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Because we are aware of the risks associated with third-party vendors, service providers and business partners, we have implemented processes to oversee and manage these risks. We conduct initial risk assessments of third-party providers before engagement. These assessments include due diligence reviews of third parties that have access to our networks, confidential information and information systems in order to assess the risks from cybersecurity threats. This approach is designed to mitigate risks related to data breaches or other security incidents originating from third parties.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not been subject to cybersecurity challenges that have materially impaired our operations or financial standing.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4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is aware of the critical nature of managing risks associated with cybersecurity threats and has established oversight mechanisms at the Board and management levels to ensure effective governance in managing risks associated with cybersecurity threats.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241"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The Board has oversight of cybersecurity risks and, specifically, the Audit Committee of the Board is charged with the oversight of the Company’s guidelines and policies to govern the process by which risk assessment and risk management are undertaken by management, including with respect to cybersecurity risks. Our Board is composed of members with diverse expertise, including risk management, technology and finance, which experience provides them with the skills needed to oversee cybersecurity risks effectively.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Managing Risk</w:t>
      </w:r>
    </w:p>
    <w:p>
      <w:pPr>
        <w:spacing w:after="0" w:line="241"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The Company’s IT Committee, which includes senior executives and other members of management, meets regularly to monitor and discuss cybersecurity issues. The Senior Vice President of Information Technology, the Executive Vice President and Chief Accounting Officer (“CAO”) and the Co-Chief Operating Officer (“COO”) play a pivotal role in informing the Board on cybersecurity risks. They provide comprehensive briefings to the Board on a regular basis, with a minimum frequency of once per year. These briefings encompass a broad range of topics, including:</w:t>
      </w:r>
    </w:p>
    <w:p>
      <w:pPr>
        <w:spacing w:after="0" w:line="208"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ind w:left="660" w:hanging="328"/>
        <w:spacing w:after="0" w:line="23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7"/>
          <w:szCs w:val="17"/>
          <w:color w:val="auto"/>
        </w:rPr>
        <w:t>In addition to our scheduled meetings, the Board, Senior Vice President of Information Technology, CAO and COO maintain an ongoing dialogue regarding emerging or potential cybersecurity risks. Together, they receive updates on significant developments in the cybersecurity domain, ensuring the Board’s oversight is proactive and responsive. The Board actively participates in strategic decisions related to cybersecurity, offering guidance and approval for major initiatives. This involvement ensures that cybersecurity considerations are integrated into the broader strategic objectives of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241"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the Senior Vice President of Information Technology. With over 35 years of experience in the information technology field, he brings a wealth of expertise to his role. His in-depth knowledge and experience are instrumental in developing and executing our cybersecurity strategies. Our Senior Vice President of Information Technology tests our compliance with standards, remediates known risks and leads our employee training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the Board</w:t>
      </w:r>
    </w:p>
    <w:p>
      <w:pPr>
        <w:spacing w:after="0" w:line="241"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The Senior Vice President of Information Technology regularly informs the Chief Executive Officer and COO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ensuring that they have comprehensive oversight and can provide guidance on critical cybersecurity issues.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241"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The Senior Vice President of Information Technology monitors the latest developments in cybersecurity, including potential threats and innovative risk management techniques. The Senior Vice President of Information Technology implements and oversees processes for the regular monitoring of our information systems. This includes the deployment of advanced security measures and regular system audits to identify potential vulnerabilities. In the event of a cybersecurity incident, the Senior Vice President of Information Technology is equipped with an incident response plan. This plan includes immediate actions to mitigate the impact and long-term strategies for remediation and prevention of future incidents.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See “Business” for descriptions of our properties. We also have various operating leases for rental of office space and office and field equipment. See Note 4 to the consolidated financial statements in this Annual Report for the future minimum rental payments. Such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60" w:lineRule="exact"/>
        <w:rPr>
          <w:sz w:val="20"/>
          <w:szCs w:val="20"/>
          <w:color w:val="auto"/>
        </w:rPr>
      </w:pPr>
    </w:p>
    <w:p>
      <w:pPr>
        <w:ind w:right="190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General Market Information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our common stock are traded on the NYSE under the symbol “MTDR.” Our shares have been traded on the NYSE since February 2,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trading on the NYSE, there was no established public trading market for our common stock.</w:t>
      </w:r>
    </w:p>
    <w:p>
      <w:pPr>
        <w:spacing w:after="0" w:line="9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On February 20, 2024, we had 119,519,883 shares of common stock outstanding held by approximately 350 record holders, excluding shareholders for whom shares are held in “nominee” or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In February 2023, April 2023 and July 2023, our Board declared quarterly cash dividends of $0.15 per share of common stock. In October 2023, the Board amended our dividend policy to increase the quarterly dividend to $0.20 per share of common stock and also declared a quarterly cash dividend of $0.20 per share of common stock. On February 13, 2024, the Board declared a quarterly cash dividend of $0.20 per share of common stock payable on March 13, 2024 to shareholders of record as of February 23, 2024. We expect that, based on current circumstances, comparable cash dividends will continue to be paid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securities authorized for issuance under our equity compensation plans as of December 31, 2023.</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9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to be</w:t>
            </w:r>
          </w:p>
        </w:tc>
        <w:tc>
          <w:tcPr>
            <w:tcW w:w="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6"/>
        </w:trPr>
        <w:tc>
          <w:tcPr>
            <w:tcW w:w="59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1"/>
                <w:szCs w:val="11"/>
                <w:color w:val="auto"/>
              </w:rPr>
            </w:pPr>
          </w:p>
        </w:tc>
        <w:tc>
          <w:tcPr>
            <w:tcW w:w="16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98"/>
        </w:trPr>
        <w:tc>
          <w:tcPr>
            <w:tcW w:w="5920" w:type="dxa"/>
            <w:vAlign w:val="bottom"/>
            <w:vMerge w:val="continue"/>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01"/>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r>
              <w:rPr>
                <w:rFonts w:ascii="Times New Roman" w:cs="Times New Roman" w:eastAsia="Times New Roman" w:hAnsi="Times New Roman"/>
                <w:sz w:val="9"/>
                <w:szCs w:val="9"/>
                <w:color w:val="auto"/>
              </w:rPr>
              <w:t>(1)(2)(3)</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830,377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8,422,916</w:t>
            </w:r>
          </w:p>
        </w:tc>
        <w:tc>
          <w:tcPr>
            <w:tcW w:w="0" w:type="dxa"/>
            <w:vAlign w:val="bottom"/>
          </w:tcPr>
          <w:p>
            <w:pPr>
              <w:spacing w:after="0"/>
              <w:rPr>
                <w:sz w:val="1"/>
                <w:szCs w:val="1"/>
                <w:color w:val="auto"/>
              </w:rPr>
            </w:pPr>
          </w:p>
        </w:tc>
      </w:tr>
      <w:tr>
        <w:trPr>
          <w:trHeight w:val="196"/>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5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830,377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8,422,916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60" w:right="480" w:hanging="331"/>
        <w:spacing w:after="0" w:line="302" w:lineRule="auto"/>
        <w:tabs>
          <w:tab w:leader="none" w:pos="45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has determined not to make any additional grants of awards under the Matador Resources Company Amended and Restated 2012 Long-Term Incentive Plan (the “2012 Incentive Plan”).</w:t>
      </w:r>
    </w:p>
    <w:p>
      <w:pPr>
        <w:spacing w:after="0" w:line="53" w:lineRule="exact"/>
        <w:rPr>
          <w:rFonts w:ascii="Times New Roman" w:cs="Times New Roman" w:eastAsia="Times New Roman" w:hAnsi="Times New Roman"/>
          <w:sz w:val="14"/>
          <w:szCs w:val="14"/>
          <w:color w:val="auto"/>
        </w:rPr>
      </w:pPr>
    </w:p>
    <w:p>
      <w:pPr>
        <w:ind w:left="460" w:right="340" w:hanging="331"/>
        <w:spacing w:after="0" w:line="282" w:lineRule="auto"/>
        <w:tabs>
          <w:tab w:leader="none" w:pos="45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Matador Resources Company 2019 Long-Term Incentive Plan (the “2019 Incentive Plan”) was adopted by our Board in April 2019 and approved by our shareholders on June 6, 2019. For a description of our 2019 Incentive Plan, see Note 9 to the consolidated financial statements in this Annual Report.</w:t>
      </w:r>
    </w:p>
    <w:p>
      <w:pPr>
        <w:spacing w:after="0" w:line="67" w:lineRule="exact"/>
        <w:rPr>
          <w:rFonts w:ascii="Times New Roman" w:cs="Times New Roman" w:eastAsia="Times New Roman" w:hAnsi="Times New Roman"/>
          <w:sz w:val="14"/>
          <w:szCs w:val="14"/>
          <w:color w:val="auto"/>
        </w:rPr>
      </w:pPr>
    </w:p>
    <w:p>
      <w:pPr>
        <w:ind w:left="460" w:right="120" w:hanging="331"/>
        <w:spacing w:after="0" w:line="302" w:lineRule="auto"/>
        <w:tabs>
          <w:tab w:leader="none" w:pos="45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Matador Resources Company 2022 Employee Stock Purchase Plan (the “ESPP”) was adopted by our Board in April 2022 and approved by our shareholders on June 10, 2022. For a description of our ESPP, see Note 9 to the consolidated financial statements in this Annual Report.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121"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return on a $100 investment in our common stock from December 31, 2018 through December 31, 2023, to that of the cumulative return on a $100 investment in the Russell 2000 Index and the Russell 2000 Energy Index for the same period. In calculating the cumulative return, reinvestment of dividends, if any, is assumed.</w:t>
      </w:r>
    </w:p>
    <w:p>
      <w:pPr>
        <w:spacing w:after="0" w:line="68" w:lineRule="exact"/>
        <w:rPr>
          <w:sz w:val="20"/>
          <w:szCs w:val="20"/>
          <w:color w:val="auto"/>
        </w:rPr>
      </w:pPr>
    </w:p>
    <w:p>
      <w:pPr>
        <w:ind w:firstLine="445"/>
        <w:spacing w:after="0" w:line="289" w:lineRule="auto"/>
        <w:rPr>
          <w:sz w:val="20"/>
          <w:szCs w:val="20"/>
          <w:color w:val="auto"/>
        </w:rPr>
      </w:pPr>
      <w:r>
        <w:rPr>
          <w:rFonts w:ascii="Times New Roman" w:cs="Times New Roman" w:eastAsia="Times New Roman" w:hAnsi="Times New Roman"/>
          <w:sz w:val="17"/>
          <w:szCs w:val="17"/>
          <w:color w:val="auto"/>
        </w:rPr>
        <w:t>This graph is not “soliciting material,” is not deemed filed with the SEC and is not to be incorporated by reference in any of our filings under the Securities Act or the Exchange Act, whether made before, on, or after the date hereof and irrespective of any general incorporation language in any such filing. This graph is included in accordance with the SEC’s disclosure rules. This historic stock performance is not indicative of future stock performance.</w:t>
      </w:r>
    </w:p>
    <w:p>
      <w:pPr>
        <w:spacing w:after="0" w:line="1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 Among</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Matador Resources Company, the Russell 2000 Index</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and the Russell 2000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5715</wp:posOffset>
            </wp:positionV>
            <wp:extent cx="5846445" cy="4114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644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by the Company or Affiliates</w:t>
      </w:r>
    </w:p>
    <w:p>
      <w:pPr>
        <w:spacing w:after="0" w:line="175" w:lineRule="exact"/>
        <w:rPr>
          <w:sz w:val="20"/>
          <w:szCs w:val="20"/>
          <w:color w:val="auto"/>
        </w:rPr>
      </w:pPr>
    </w:p>
    <w:p>
      <w:pPr>
        <w:ind w:right="460" w:firstLine="445"/>
        <w:spacing w:after="0" w:line="271" w:lineRule="auto"/>
        <w:rPr>
          <w:sz w:val="20"/>
          <w:szCs w:val="20"/>
          <w:color w:val="auto"/>
        </w:rPr>
      </w:pPr>
      <w:r>
        <w:rPr>
          <w:rFonts w:ascii="Times New Roman" w:cs="Times New Roman" w:eastAsia="Times New Roman" w:hAnsi="Times New Roman"/>
          <w:sz w:val="18"/>
          <w:szCs w:val="18"/>
          <w:color w:val="auto"/>
        </w:rPr>
        <w:t>During the quarter ended December 31, 2023, the Company re-acquired shares of common stock from certain employees in order to satisfy the employees’ tax liability in connection with the vesting of restricted stock.</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 2023 to October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2023 to November 30, 2023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 2023 to December 31, 2023</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4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Maximum Number</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640" w:type="dxa"/>
            <w:vAlign w:val="bottom"/>
          </w:tcPr>
          <w:p>
            <w:pPr>
              <w:jc w:val="right"/>
              <w:ind w:right="10"/>
              <w:spacing w:after="0" w:line="180" w:lineRule="exact"/>
              <w:rPr>
                <w:sz w:val="20"/>
                <w:szCs w:val="20"/>
                <w:color w:val="auto"/>
              </w:rPr>
            </w:pPr>
            <w:r>
              <w:rPr>
                <w:rFonts w:ascii="Times New Roman" w:cs="Times New Roman" w:eastAsia="Times New Roman" w:hAnsi="Times New Roman"/>
                <w:sz w:val="18"/>
                <w:szCs w:val="18"/>
                <w:b w:val="1"/>
                <w:bCs w:val="1"/>
                <w:color w:val="auto"/>
              </w:rPr>
              <w:t>of Shares that May</w:t>
            </w:r>
          </w:p>
        </w:tc>
        <w:tc>
          <w:tcPr>
            <w:tcW w:w="0" w:type="dxa"/>
            <w:vAlign w:val="bottom"/>
          </w:tcPr>
          <w:p>
            <w:pPr>
              <w:spacing w:after="0"/>
              <w:rPr>
                <w:sz w:val="1"/>
                <w:szCs w:val="1"/>
                <w:color w:val="auto"/>
              </w:rPr>
            </w:pPr>
          </w:p>
        </w:tc>
      </w:tr>
      <w:tr>
        <w:trPr>
          <w:trHeight w:val="184"/>
        </w:trPr>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7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176"/>
        </w:trPr>
        <w:tc>
          <w:tcPr>
            <w:tcW w:w="1720" w:type="dxa"/>
            <w:vAlign w:val="bottom"/>
            <w:gridSpan w:val="2"/>
            <w:vMerge w:val="continue"/>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the Plans or</w:t>
            </w:r>
          </w:p>
        </w:tc>
        <w:tc>
          <w:tcPr>
            <w:tcW w:w="0" w:type="dxa"/>
            <w:vAlign w:val="bottom"/>
          </w:tcPr>
          <w:p>
            <w:pPr>
              <w:spacing w:after="0"/>
              <w:rPr>
                <w:sz w:val="1"/>
                <w:szCs w:val="1"/>
                <w:color w:val="auto"/>
              </w:rPr>
            </w:pPr>
          </w:p>
        </w:tc>
      </w:tr>
      <w:tr>
        <w:trPr>
          <w:trHeight w:val="243"/>
        </w:trPr>
        <w:tc>
          <w:tcPr>
            <w:tcW w:w="17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6"/>
              </w:rPr>
              <w:t>Shares Purchased</w:t>
            </w:r>
            <w:r>
              <w:rPr>
                <w:rFonts w:ascii="Times New Roman" w:cs="Times New Roman" w:eastAsia="Times New Roman" w:hAnsi="Times New Roman"/>
                <w:sz w:val="23"/>
                <w:szCs w:val="23"/>
                <w:b w:val="1"/>
                <w:bCs w:val="1"/>
                <w:color w:val="auto"/>
                <w:w w:val="96"/>
                <w:vertAlign w:val="superscript"/>
              </w:rPr>
              <w:t>(1)</w:t>
            </w:r>
          </w:p>
        </w:tc>
        <w:tc>
          <w:tcPr>
            <w:tcW w:w="28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18"/>
        </w:trPr>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Pr>
          <w:p>
            <w:pPr>
              <w:spacing w:after="0"/>
              <w:rPr>
                <w:sz w:val="18"/>
                <w:szCs w:val="18"/>
                <w:color w:val="auto"/>
              </w:rPr>
            </w:pPr>
          </w:p>
        </w:tc>
        <w:tc>
          <w:tcPr>
            <w:tcW w:w="1640" w:type="dxa"/>
            <w:vAlign w:val="bottom"/>
            <w:tcBorders>
              <w:top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20" w:type="dxa"/>
            <w:vAlign w:val="bottom"/>
          </w:tcPr>
          <w:p>
            <w:pPr>
              <w:spacing w:after="0"/>
              <w:rPr>
                <w:sz w:val="20"/>
                <w:szCs w:val="20"/>
                <w:color w:val="auto"/>
              </w:rPr>
            </w:pP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-334010</wp:posOffset>
            </wp:positionV>
            <wp:extent cx="67722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-633730</wp:posOffset>
            </wp:positionV>
            <wp:extent cx="677227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3120" w:space="720"/>
            <w:col w:w="7360"/>
          </w:cols>
          <w:pgMar w:left="320" w:top="117" w:right="379" w:bottom="1440" w:gutter="0" w:footer="0" w:header="0"/>
          <w:type w:val="continuous"/>
        </w:sectPr>
      </w:pPr>
    </w:p>
    <w:p>
      <w:pPr>
        <w:spacing w:after="0" w:line="48" w:lineRule="exact"/>
        <w:rPr>
          <w:sz w:val="20"/>
          <w:szCs w:val="20"/>
          <w:color w:val="auto"/>
        </w:rPr>
      </w:pPr>
    </w:p>
    <w:p>
      <w:pPr>
        <w:ind w:left="460" w:hanging="331"/>
        <w:spacing w:after="0" w:line="282" w:lineRule="auto"/>
        <w:tabs>
          <w:tab w:leader="none" w:pos="45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Some of the key factors that could cause actual results to vary from our expectations include changes in oil or natural gas prices, the timing of planned capital expenditures, availability under our Credit Agreement and the San Mateo Credit Facility, uncertainties in estimating proved reserves and forecasting production results, operational factors affecting our oil and natural gas and midstream operations, the condition of the capital markets generally, as well as our ability to access them, the proximity to and capacity of gathering, processing and transportation facilities, availability and integration of acquisitions, uncertainties regarding environmental regulations or litigation and other legal or regulatory developments affecting our business, as well as those factors discussed below and elsewhere in this Annual Report, all of which are difficult to predict. In light of these risks, uncertainties and assumptions, the forward-looking events discussed may not occur. See “Cautionary Note Regarding Forward-Looking Statements.”</w:t>
      </w:r>
    </w:p>
    <w:p>
      <w:pPr>
        <w:spacing w:after="0" w:line="84" w:lineRule="exact"/>
        <w:rPr>
          <w:sz w:val="20"/>
          <w:szCs w:val="20"/>
          <w:color w:val="auto"/>
        </w:rPr>
      </w:pPr>
    </w:p>
    <w:p>
      <w:pPr>
        <w:ind w:right="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For a comparison of our results of operations for the years ended December 31, 2022 and December 31, 2021, see “Management’s Discussion and Analysis of Financial Condition and Results of Operations” in our Annual Report on Form 10-K for the year ended December 31, 2022, filed with the SEC on March 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Operational Highlights</w:t>
      </w:r>
    </w:p>
    <w:p>
      <w:pPr>
        <w:spacing w:after="0" w:line="11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began 2023 operating seven drilling rigs in the Delaware Basin. Following the closing of the Initial Advance Acquisition on April 12, 2023, we continued operating the drilling rig that Advance had been operating. Near the end of June 2023, we released this eighth operated drilling rig and continued operating seven drilling rigs in the Delaware Basin for the remainder of 2023. We added back an eighth operated drilling rig in the first quarter of 2024. We have built significant optionality into our drilling program, which should generally allow us to decrease or increase the number of rigs we operate as necessary based on changing commodity prices and other factors. We were able to achieve D/C/E capital expenditures for 2023 of $1.16 billion, which was below our estimated range for 2023 D/C/E capital expenditures of $1.18 to $1.32 billion as provided on February 21, 2023, and was in the middle of the revised estimated range of $1.10 to $1.22 billion, as provided on July 25, 2023.</w:t>
      </w:r>
    </w:p>
    <w:p>
      <w:pPr>
        <w:spacing w:after="0" w:line="8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completed and began producing oil and natural gas from 119 gross (94.0 net) operated and 103 gross (5.6 net) horizontal non-operated wells in the Delaware Basin. We did not conduct any operated drilling and completion activities on our leasehold properties in South Texas or Northwest Louisiana during 2023, although we did participate in the drilling and completion of 22 gross (0.4 net) non-operated Haynesville shale wells and one gross (0.4 net) non-operated South Texas well that began producing in 2023.</w:t>
      </w:r>
    </w:p>
    <w:p>
      <w:pPr>
        <w:spacing w:after="0" w:line="72" w:lineRule="exact"/>
        <w:rPr>
          <w:sz w:val="20"/>
          <w:szCs w:val="20"/>
          <w:color w:val="auto"/>
        </w:rPr>
      </w:pPr>
    </w:p>
    <w:p>
      <w:pPr>
        <w:ind w:right="340" w:firstLine="405"/>
        <w:spacing w:after="0" w:line="277" w:lineRule="auto"/>
        <w:rPr>
          <w:sz w:val="20"/>
          <w:szCs w:val="20"/>
          <w:color w:val="auto"/>
        </w:rPr>
      </w:pPr>
      <w:r>
        <w:rPr>
          <w:rFonts w:ascii="Times New Roman" w:cs="Times New Roman" w:eastAsia="Times New Roman" w:hAnsi="Times New Roman"/>
          <w:sz w:val="17"/>
          <w:szCs w:val="17"/>
          <w:color w:val="auto"/>
        </w:rPr>
        <w:t>Substantially all of our 2023 capital expenditures were directed to (i) the further delineation and development of our leasehold position in the Delaware Basin, including properties acquired in the Advance Acquisition, (ii) the acquisition, construction, installation and maintenance of midstream assets, (iii) our participation in non-operated wells drilled and completed in the Delaware Basin, with the exception of amounts allocated to limited operations in our South Texas and Haynesville shale positions, including certain non-operated well opportunities, and (iv) the acquisition of additional producing properties, leasehold and mineral interests prospective for the Wolfcamp, Bone Spring and other liquids-rich plays in the Delaware Basin.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Our average daily oil equivalent production for the year ended December 31, 2023 was 131,813 BOE per day, including 75,457 Bbl of oil per day and 338.1 MMcf of natural gas per day, an increase of 25%, as compared to 105,465 BOE per day, including 60,119 Bbl of oil per day and 272.1 MMcf of natural gas per day, for the year ended December 31, 2022. Our average daily oil production in 2023 was 75,457 Bbl of oil per day, an increase of 26%, as compared to 60,119 Bbl of oil per day in 2022. This increase in oil production was primarily a result of the Advance Acquisition and our ongoing delineation and development drilling activities in the Delaware Basin, which offset declining oil production in the Eagle Ford shale where we have not turned to sales any new operated wells since the second quarter of 2019. Our average daily natural gas production for the year ended December 31, 2023 was 338.1 MMcf per day, an increase of 24%, as compared to 272.1 MMcf per day in 2022. This increase in natural gas production was primarily attributable to the Advance Acquisition and our ongoing delineation and development drilling activities in the Delaware Basin. Oil production comprised 57% of our total production for each of the years ended December 31, 2023 and 2022.</w:t>
      </w:r>
    </w:p>
    <w:p>
      <w:pPr>
        <w:spacing w:after="0" w:line="8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our oil and natural gas revenues were $2.55 billion, a decrease of 12% from oil and natural gas revenues of $2.91 billion for the year ended December 31, 2022. Our oil revenues increased 1% to $2.14 billion, as compared to $2.11 billion for the year ended December 31, 2022. The increase in oil revenues resulted from the 26% increase in our oil production noted above, which was partially offset by a 19% decrease in the weighted average oil price realized for the year ended December 31, 2023 to $77.88 per Bbl, as compared to $96.32 per Bbl realized for the year ended December 31, 2022. Our natural gas revenues decreased 49% to $400.7 million, as compared to $792.1 million for the year ended December 31, 2022. The decrease in natural gas revenues resulted from a decrease in our weighted average realized natural gas price of $3.25 per Mcf in 2023, as compared to $7.98 per Mcf in 2022, which was partially offset by the 24% increase in natural gas production for the year ended December 31, 2023 noted above.</w:t>
      </w:r>
    </w:p>
    <w:p>
      <w:pPr>
        <w:spacing w:after="0" w:line="8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reported net income attributable to Matador shareholders of approximately $846.1 million, or $7.05 per diluted common share, on a GAAP basis for the year ended December 31, 2023, as compared to a net income of $1.21 billion, or $10.11 per diluted common share, for the year ended December 31, 2022. Adjusted EBITDA for the year ended December 31, 2023 was $1.85 billion, as compared to Adjusted EBITDA of $2.13 billion for the year ended December 31, 2022. Adjusted EBITDA is a non-GAAP financial measure. For a definition of Adjusted EBITDA and a reconciliation of Adjusted EBITDA to our net income and net cash provided by operating activities, see “Management’s Discussion and Analysis of Financial Condition and Results of Operations—Non-GAAP Financial Measures.”</w:t>
      </w:r>
    </w:p>
    <w:p>
      <w:pPr>
        <w:spacing w:after="0" w:line="7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At December 31, 2023, our estimated total proved oil and natural gas reserves were 460.1 million BOE, including 272.3 million Bbl of oil and 1.13 Tcf of natural gas, with a Standardized Measure of $6.11 billion and a PV-10 of $7.70 billion. At December 31, 2022, our estimated total proved oil and natural gas reserves were 356.7 million BOE, including 196.3 million Bbl of oil and 962.6 Bcf of natural gas, with a Standardized Measure of $6.98 billion and a PV-10 of $9.13 billion. Our estimated total proved reserves of 460.1 million BOE at December 31, 2023 represented a 29% year-over-year increase, as compared to 356.7 million BOE at December 31, 2022. Our estimated proved oil reserves were 272.3 million Bbl at December 31, 2023, an increase of 39%, as compared to 196.3 million Bbl at December 31, 2022, and our estimated proved natural gas reserves were 1.13 Tcf at December 31, 2023, an increase of 17%, as compared to 962.6 Bcf at December 31, 2022. Proved oil reserves comprised 59% of our total proved reserves at December 31, 2023, as compared to 55% at December 31, 2022. At December 31, 2023, 63% of our total proved reserves were proved developed reserves, as compared to 62% at December 31, 2022.</w:t>
      </w:r>
    </w:p>
    <w:p>
      <w:pPr>
        <w:spacing w:after="0" w:line="80" w:lineRule="exact"/>
        <w:rPr>
          <w:sz w:val="20"/>
          <w:szCs w:val="20"/>
          <w:color w:val="auto"/>
        </w:rPr>
      </w:pPr>
    </w:p>
    <w:p>
      <w:pPr>
        <w:ind w:right="260" w:firstLine="405"/>
        <w:spacing w:after="0" w:line="256" w:lineRule="auto"/>
        <w:rPr>
          <w:sz w:val="20"/>
          <w:szCs w:val="20"/>
          <w:color w:val="auto"/>
        </w:rPr>
      </w:pPr>
      <w:r>
        <w:rPr>
          <w:rFonts w:ascii="Times New Roman" w:cs="Times New Roman" w:eastAsia="Times New Roman" w:hAnsi="Times New Roman"/>
          <w:sz w:val="18"/>
          <w:szCs w:val="18"/>
          <w:color w:val="auto"/>
        </w:rPr>
        <w:t>Our proved oil and natural gas reserves in the Delaware Basin increased 31% to 452.6 million BOE at December 31, 2023, as compared to 346.8 million BOE at December 31, 2022, primarily as a result of the Advance Acquisition and our ongoing delineation and development operations there. At December 31, 2023, approximately 98% of our total proved oil and natural gas reserves were attributable to our properties in the Delaware Basin. Our proved oil reserves in the Delaware Basin increased 40% to 270.1 million Bbl at December 31, 2023, as compared to 193.5 million Bbl at December 31, 2022, and our proved natural gas reserves in the Delaware Basin increased 19% to 1.09 Tcf, as compared to 919.7 Bcf at December 31, 2022. Proved oil reserves comprised 60% of our Delaware Basin total proved reserves at December 31, 2023, as compared to 56% at December 31, 2022.</w:t>
      </w:r>
    </w:p>
    <w:p>
      <w:pPr>
        <w:spacing w:after="0" w:line="7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At both December 31, 2023 and December 31, 2022,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 PV-10 is a non-GAAP financial measure. For a reconciliation of PV-10 to Standardized Measure, see “Business—Estimated Proved Reserves.”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Midstream Highlights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San Mateo achieved strong operating results in 2023, highlighted by (i) free cash flow generation, (ii) increased midstream services revenues and</w:t>
      </w:r>
    </w:p>
    <w:p>
      <w:pPr>
        <w:spacing w:after="0" w:line="27" w:lineRule="exact"/>
        <w:rPr>
          <w:sz w:val="20"/>
          <w:szCs w:val="20"/>
          <w:color w:val="auto"/>
        </w:rPr>
      </w:pPr>
    </w:p>
    <w:p>
      <w:pPr>
        <w:ind w:right="120" w:firstLine="8"/>
        <w:spacing w:after="0" w:line="253" w:lineRule="auto"/>
        <w:tabs>
          <w:tab w:leader="none" w:pos="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natural gas gathering and processing volumes, produced water handling volumes and oil gathering and transportation volumes. Volumes for the years ended December 31, 2023 and 2022 do not include the full quantity of volumes that would have otherwise been delivered by certain San Mateo customers subject to minimum volume commitments (although partial deliveries were made in both years), but for which San Mateo recognized revenues during the years ended December 31, 2023 and 2022. San Mateo is owned 51% by us and 49% by our joint venture partner, Five Point.</w:t>
      </w:r>
    </w:p>
    <w:p>
      <w:pPr>
        <w:spacing w:after="0" w:line="12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During 2023, San Mateo closed new midstream transactions with oil and natural gas producers and other counterparties in Eddy County, New Mexico, which are expected to generate additional natural gas gathering and processing and water handling volumes in future periods. A majority of these new opportunities reflect additional business awarded to San Mateo by existing customers, which we believe is indicative of the quality of service San Mateo provides to all of its customers in the Delaware Basin.</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2023, San Mateo’s midstream system included:</w:t>
      </w:r>
    </w:p>
    <w:p>
      <w:pPr>
        <w:spacing w:after="0" w:line="158" w:lineRule="exact"/>
        <w:rPr>
          <w:sz w:val="20"/>
          <w:szCs w:val="20"/>
          <w:color w:val="auto"/>
        </w:rPr>
      </w:pPr>
    </w:p>
    <w:p>
      <w:pPr>
        <w:ind w:left="420" w:right="20" w:hanging="331"/>
        <w:spacing w:after="0" w:line="266" w:lineRule="auto"/>
        <w:tabs>
          <w:tab w:leader="none" w:pos="4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Natural Gas Assets</w:t>
      </w:r>
      <w:r>
        <w:rPr>
          <w:rFonts w:ascii="Times New Roman" w:cs="Times New Roman" w:eastAsia="Times New Roman" w:hAnsi="Times New Roman"/>
          <w:sz w:val="18"/>
          <w:szCs w:val="18"/>
          <w:color w:val="auto"/>
        </w:rPr>
        <w:t>: 460 MMcf per day of designed natural gas cryogenic processing capacity and approximately 160 miles of natural gas gathering pipelines in Eddy County, New Mexico and Loving County, Texas, including 43 miles of large diameter natural gas gathering lines spanning from the Stateline asset area to the Greater Stebbins Area in Eddy County, New Mexico;</w:t>
      </w:r>
    </w:p>
    <w:p>
      <w:pPr>
        <w:spacing w:after="0" w:line="108" w:lineRule="exact"/>
        <w:rPr>
          <w:rFonts w:ascii="Times New Roman" w:cs="Times New Roman" w:eastAsia="Times New Roman" w:hAnsi="Times New Roman"/>
          <w:sz w:val="18"/>
          <w:szCs w:val="18"/>
          <w:color w:val="auto"/>
        </w:rPr>
      </w:pPr>
    </w:p>
    <w:p>
      <w:pPr>
        <w:ind w:left="420" w:right="20" w:hanging="331"/>
        <w:spacing w:after="0" w:line="266" w:lineRule="auto"/>
        <w:tabs>
          <w:tab w:leader="none" w:pos="4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Oil Assets</w:t>
      </w:r>
      <w:r>
        <w:rPr>
          <w:rFonts w:ascii="Times New Roman" w:cs="Times New Roman" w:eastAsia="Times New Roman" w:hAnsi="Times New Roman"/>
          <w:sz w:val="18"/>
          <w:szCs w:val="18"/>
          <w:color w:val="auto"/>
        </w:rPr>
        <w:t>: three oil CDPs with over 100,000 Bbl of designed oil throughput capacity and approximately 100 miles of oil gathering and transportation pipelines in Eddy County, New Mexico and Loving County, Texas, as well as a 400,000-acre joint development area with Plains to gather our and other producers’ oil production in Eddy County, New Mexico; and</w:t>
      </w:r>
    </w:p>
    <w:p>
      <w:pPr>
        <w:spacing w:after="0" w:line="94" w:lineRule="exact"/>
        <w:rPr>
          <w:rFonts w:ascii="Times New Roman" w:cs="Times New Roman" w:eastAsia="Times New Roman" w:hAnsi="Times New Roman"/>
          <w:sz w:val="18"/>
          <w:szCs w:val="18"/>
          <w:color w:val="auto"/>
        </w:rPr>
      </w:pPr>
    </w:p>
    <w:p>
      <w:pPr>
        <w:ind w:left="420" w:right="120" w:hanging="331"/>
        <w:spacing w:after="0" w:line="282" w:lineRule="auto"/>
        <w:tabs>
          <w:tab w:leader="none" w:pos="4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Produced Water Assets</w:t>
      </w:r>
      <w:r>
        <w:rPr>
          <w:rFonts w:ascii="Times New Roman" w:cs="Times New Roman" w:eastAsia="Times New Roman" w:hAnsi="Times New Roman"/>
          <w:sz w:val="18"/>
          <w:szCs w:val="18"/>
          <w:color w:val="auto"/>
        </w:rPr>
        <w:t>: 16 commercial salt water disposal wells and associated facilities with designed produced water disposal capacity of 475,000 Bbl per day and approximately 175 miles of produced water gathering pipelines in Eddy County, New Mexico and Loving County, Texas.</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2023, Pronto closed new natural gas gathering and processing transactions with counterparties in Eddy and Lea Counties, New Mexico, which are expected to generate additional natural gas gathering and processing volumes in future periods. At December 31, 2023, Pronto’s midstream system included the Marlan Processing Plant, three compressor stations and approximately 70 miles of natural gas gathering pipelines in Eddy and Lea Counties, New Mexico, spanning from the northeastern portion of the Arrowhead asset area into the Ranger asset area. Pronto has also contracted to construct an additional natural gas processing plant with a designed inlet processing capacity of 200 MMcf per day, including a nitrogen rejection unit and additional related facilities to be located near the Marlan Processing Plant.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Capital Expenditure Budget</w:t>
      </w:r>
    </w:p>
    <w:p>
      <w:pPr>
        <w:spacing w:after="0" w:line="11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in 2024. We began 2023 operating seven drilling rigs in the Delaware Basin. Following the closing of the Initial Advance Acquisition on April 12, 2023, we continued operating the drilling rig that Advance had been operating. Near the end of June 2023, we released this eighth operated drilling rig and continued operating seven drilling rigs in the Delaware Basin for the remainder of 2023. We added back an eighth operated drilling rig in the first quarter of 2024. We have built significant optionality into our 2024 drilling program, which should generally allow us to decrease or increase the number of rigs we operate as necessary based on changing commodity prices and other factors. Our 2024 estimated capital expenditure budget consists of $1.10 to $1.30 billion for D/C/E capital expenditures and $200.0 to $250.0 million for midstream capital expenditures, which reflects our proportionate share of San Mateo’s estimated 2024 capital expenditures as well as the estimated 2024 capital expenditures for other wholly-owned midstream projects, including projects completed by Pronto. The midstream capital expenditure budget includes 100% of the costs associated with the Marlan Processing Plant expansion noted above, although, at February 20, 2024, we were continuing to evaluate potential partners in Pronto that would share in these capital expenditures and strategic opportunities. Substantially all of these 2024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South Texas and Haynesville shale. Our 2024 Delaware Basin operated drilling program is expected to focus on the continued development of our various asset areas throughout the Delaware Basin, with a continued emphasis on drilling and completing a high percentage of longer horizontal wells in 2024, including 99% with anticipated completed lateral lengths of one mile or greater.</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2023, we had $52.7 million in cash (excluding restricted cash) and $772.6 million in undrawn borrowing capacity under the Credit Agreement (after giving effect to outstanding letters of credit based upon our elected borrowing commitment of $1.325 billion). We expect to fund our</w:t>
      </w:r>
    </w:p>
    <w:p>
      <w:pPr>
        <w:spacing w:after="0" w:line="252" w:lineRule="auto"/>
        <w:rPr>
          <w:sz w:val="20"/>
          <w:szCs w:val="20"/>
          <w:color w:val="auto"/>
        </w:rPr>
      </w:pPr>
      <w:r>
        <w:rPr>
          <w:rFonts w:ascii="Times New Roman" w:cs="Times New Roman" w:eastAsia="Times New Roman" w:hAnsi="Times New Roman"/>
          <w:sz w:val="18"/>
          <w:szCs w:val="18"/>
          <w:color w:val="auto"/>
        </w:rPr>
        <w:t>2024 capital expenditures through a combination of cash on hand, operating cash flows and performance incentives paid to us by Five Point in connection with San Mateo. If capital expenditures were to exceed our operating cash flows in 2024, we expect to fund any excess capital expenditures, including for other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w:t>
      </w:r>
    </w:p>
    <w:p>
      <w:pPr>
        <w:spacing w:after="0" w:line="8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As we have done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during 2024,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2024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2024.</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revenues and production data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Data:</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3"/>
        </w:trPr>
        <w:tc>
          <w:tcPr>
            <w:tcW w:w="79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Revenues (in thousands):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Oil</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2,144,894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2,113,606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1,205,608</w:t>
            </w:r>
          </w:p>
        </w:tc>
      </w:tr>
      <w:tr>
        <w:trPr>
          <w:trHeight w:val="196"/>
        </w:trPr>
        <w:tc>
          <w:tcPr>
            <w:tcW w:w="79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Natural gas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400,705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792,132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494,934</w:t>
            </w:r>
          </w:p>
        </w:tc>
      </w:tr>
      <w:tr>
        <w:trPr>
          <w:trHeight w:val="203"/>
        </w:trPr>
        <w:tc>
          <w:tcPr>
            <w:tcW w:w="79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oil and natural gas revenues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2,545,599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2,905,738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1,700,542</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midstream services revenues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75,499</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of purchased natural gas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86,034</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 on derivatives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(220,105)</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gain on derivatives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21,011</w:t>
            </w:r>
          </w:p>
        </w:tc>
      </w:tr>
      <w:tr>
        <w:trPr>
          <w:trHeight w:val="189"/>
        </w:trPr>
        <w:tc>
          <w:tcPr>
            <w:tcW w:w="7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2,806,785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3,058,025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1,662,981</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Production Volumes:</w:t>
            </w:r>
            <w:r>
              <w:rPr>
                <w:rFonts w:ascii="Times New Roman" w:cs="Times New Roman" w:eastAsia="Times New Roman" w:hAnsi="Times New Roman"/>
                <w:sz w:val="18"/>
                <w:szCs w:val="18"/>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7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Oil (MBbl)</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17,840</w:t>
            </w:r>
          </w:p>
        </w:tc>
      </w:tr>
      <w:tr>
        <w:trPr>
          <w:trHeight w:val="210"/>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Natural gas (Bcf)</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203"/>
        </w:trPr>
        <w:tc>
          <w:tcPr>
            <w:tcW w:w="7980" w:type="dxa"/>
            <w:vAlign w:val="bottom"/>
          </w:tcPr>
          <w:p>
            <w:pPr>
              <w:ind w:left="880"/>
              <w:spacing w:after="0" w:line="202" w:lineRule="exact"/>
              <w:rPr>
                <w:sz w:val="20"/>
                <w:szCs w:val="20"/>
                <w:color w:val="auto"/>
              </w:rPr>
            </w:pPr>
            <w:r>
              <w:rPr>
                <w:rFonts w:ascii="Times New Roman" w:cs="Times New Roman" w:eastAsia="Times New Roman" w:hAnsi="Times New Roman"/>
                <w:sz w:val="14"/>
                <w:szCs w:val="14"/>
                <w:color w:val="auto"/>
              </w:rPr>
              <w:t>Total oil equivalent (MBOE)</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31,454</w:t>
            </w:r>
          </w:p>
        </w:tc>
      </w:tr>
      <w:tr>
        <w:trPr>
          <w:trHeight w:val="203"/>
        </w:trPr>
        <w:tc>
          <w:tcPr>
            <w:tcW w:w="7980" w:type="dxa"/>
            <w:vAlign w:val="bottom"/>
            <w:shd w:val="clear" w:color="auto" w:fill="CCEEFF"/>
          </w:tcPr>
          <w:p>
            <w:pPr>
              <w:ind w:left="880"/>
              <w:spacing w:after="0" w:line="202" w:lineRule="exact"/>
              <w:rPr>
                <w:sz w:val="20"/>
                <w:szCs w:val="20"/>
                <w:color w:val="auto"/>
              </w:rPr>
            </w:pPr>
            <w:r>
              <w:rPr>
                <w:rFonts w:ascii="Times New Roman" w:cs="Times New Roman" w:eastAsia="Times New Roman" w:hAnsi="Times New Roman"/>
                <w:sz w:val="14"/>
                <w:szCs w:val="14"/>
                <w:color w:val="auto"/>
              </w:rPr>
              <w:t>Average daily production (BOE/d)</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86,176</w:t>
            </w:r>
          </w:p>
        </w:tc>
      </w:tr>
      <w:tr>
        <w:trPr>
          <w:trHeight w:val="19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Sales Prices: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Oil, without realized derivatives (per Bbl)</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67.58</w:t>
            </w:r>
          </w:p>
        </w:tc>
      </w:tr>
      <w:tr>
        <w:trPr>
          <w:trHeight w:val="195"/>
        </w:trPr>
        <w:tc>
          <w:tcPr>
            <w:tcW w:w="7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Oil, with realized derivatives (per Bbl)</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w:t>
            </w:r>
          </w:p>
        </w:tc>
      </w:tr>
      <w:tr>
        <w:trPr>
          <w:trHeight w:val="210"/>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Natural gas, without realized derivatives (per Mcf)</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r>
      <w:tr>
        <w:trPr>
          <w:trHeight w:val="188"/>
        </w:trPr>
        <w:tc>
          <w:tcPr>
            <w:tcW w:w="7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Natural gas, with realized derivatives (per Mcf)</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3" w:lineRule="exact"/>
        <w:rPr>
          <w:sz w:val="20"/>
          <w:szCs w:val="20"/>
          <w:color w:val="auto"/>
        </w:rPr>
      </w:pPr>
    </w:p>
    <w:p>
      <w:pPr>
        <w:ind w:left="460" w:right="200" w:hanging="331"/>
        <w:spacing w:after="0" w:line="282" w:lineRule="auto"/>
        <w:tabs>
          <w:tab w:leader="none" w:pos="45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NGLs are included with our natural gas revenues.</w:t>
      </w:r>
    </w:p>
    <w:p>
      <w:pPr>
        <w:spacing w:after="0" w:line="67"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using a conversion ratio of one Bbl of oil per six Mcf of natural gas.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 as Compared to Year Ended December 31, 2022</w:t>
      </w:r>
    </w:p>
    <w:p>
      <w:pPr>
        <w:spacing w:after="0" w:line="10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Oil and natural gas revenues</w:t>
      </w:r>
      <w:r>
        <w:rPr>
          <w:rFonts w:ascii="Times New Roman" w:cs="Times New Roman" w:eastAsia="Times New Roman" w:hAnsi="Times New Roman"/>
          <w:sz w:val="18"/>
          <w:szCs w:val="18"/>
          <w:color w:val="auto"/>
        </w:rPr>
        <w:t>. Our oil and natural gas revenues decreased $360.1 million, or 12%, to $2.55 billion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as compared to $2.91 billion for the year ended December 31, 2022. Our oil revenues increased $31.3 million, or 1%, to $2.14 billion for the year ended December 31, 2023, as compared to $2.11 billion for the year ended December 31, 2022. This increase in oil revenues resulted from a 26% increase in our oil production to 27.5 million Bbl of oil for the year ended December 31, 2023, as compared to 21.9 million Bbl of oil for the year ended December 31, 2022, which was partially offset by a 19% decrease in the weighted average oil price realized for the year ended December 31, 2023 to $77.88 per Bbl, as compared to $96.32 per Bbl realized for the year ended December 31, 2022. The increase in oil production was primarily attributable to the Advance Acquisition and our ongoing delineation and development drilling activities in the Delaware Basin. Our natural gas revenues decreased by $391.4 million, or 49%, to $400.7 million for the year ended December 31, 2023, as compared to $792.1 million for the year ended December 31, 2022. The decrease in natural gas revenues was primarily attributable to the 59% decrease in the weighted average natural gas price realized for the year ended December 31, 2023 to $3.25 per Mcf, as compared to $7.98 per Mcf realized for the year ended December 31, 2022, which was partially offset by a 24% increase in our natural gas production to 123.4 Bcf for the year ended December 31, 2023, as compared to 99.3 Bcf for the year ended December 31, 2022. The increase in natural gas production was primarily attributable to the Advance Acquisition and our ongoing delineation and development drilling activities in the Delaware Basin.</w:t>
      </w:r>
    </w:p>
    <w:p>
      <w:pPr>
        <w:spacing w:after="0" w:line="133"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$31.5 million, or 35%, to $122.2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as compared to $90.6 million for the year ended December 31, 2022. Third-party midstream services revenues are those revenues from midstream operations related to third parties, including working interest owners in our operated wells. This increase was primarily attributable to (i) an increase in our third-party natural gas gathering, transportation and processing revenues to $65.9 million for the year ended December 31, 2023, as compared to $45.1 million for the year ended December 31, 2022, which includes $15.9 million associated with operating our Pronto midstream assets for the year ended December 31, 2023, as compared to $4.4 million for the year ended December 31, 2022, and (ii) an increase in third-party produced water disposal revenues to $45.3 million for the year ended December 31, 2023, as compared to $35.6 million for the year ended December 31,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445"/>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Sales of purchased natural gas. </w:t>
      </w:r>
      <w:r>
        <w:rPr>
          <w:rFonts w:ascii="Times New Roman" w:cs="Times New Roman" w:eastAsia="Times New Roman" w:hAnsi="Times New Roman"/>
          <w:sz w:val="17"/>
          <w:szCs w:val="17"/>
          <w:color w:val="auto"/>
        </w:rPr>
        <w:t>Our sales of purchased natural gas decreased $50.5 million, or 25%, to $149.9 million for the year ended December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31, 2023, as compared to $200.4 million for the year ended December 31, 2022. This decrease was primarily the result of the 65% decrease in realized natural gas prices, which was partially offset by a 117% increase in natural gas volumes sold during the year ended December 31, 2023. Sales of purchased natural gas primarily reflect those natural gas purchase transactions that we periodically enter into with third parties whereby we purchase natural gas and</w:t>
      </w:r>
    </w:p>
    <w:p>
      <w:pPr>
        <w:spacing w:after="0" w:line="1" w:lineRule="exact"/>
        <w:rPr>
          <w:sz w:val="20"/>
          <w:szCs w:val="20"/>
          <w:color w:val="auto"/>
        </w:rPr>
      </w:pPr>
    </w:p>
    <w:p>
      <w:pPr>
        <w:ind w:right="400" w:firstLine="8"/>
        <w:spacing w:after="0" w:line="255"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sell the natural gas to other purchasers or (ii) process the natural gas at Pronto’s Marlan Processing Plant or San Mateo’s Black River Processing Plant and subsequently sell the residue gas and NGLs to other purchasers. These revenues, and the expenses related to these transactions included in “Purchased natural gas,” are presented on a gross basis in our consolidated statements of income.</w:t>
      </w:r>
    </w:p>
    <w:p>
      <w:pPr>
        <w:spacing w:after="0" w:line="7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Realized loss on derivatives</w:t>
      </w:r>
      <w:r>
        <w:rPr>
          <w:rFonts w:ascii="Times New Roman" w:cs="Times New Roman" w:eastAsia="Times New Roman" w:hAnsi="Times New Roman"/>
          <w:sz w:val="18"/>
          <w:szCs w:val="18"/>
          <w:color w:val="auto"/>
        </w:rPr>
        <w:t>. Our realized net loss on derivatives was $9.6 million for the year ended December 31, 2023, as compared to a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loss of approximately $157.5 million for the year ended December 31, 2022. We realized a net loss of approximately $9.6 million related to our natural gas costless collar and natural gas basis differential swap contracts for the year ended December 31, 2023, resulting primarily from natural gas basis differentials that were above the strike price of our natural gas basis differential swap contracts, offset by natural gas prices that were below the floor prices of certain of our natural gas costless collar contracts. We realized a net loss of approximately $81.7 million related to our natural gas costless collar contracts for the year ended December 31, 2022, resulting primarily from natural gas prices that were above the ceiling prices of certain of our natural gas costless collar contracts. We realized a net loss of $73.9 million related to our oil costless collar contracts for the year ended December 31, 2022, resulting primarily from oil prices that were above the ceiling prices of certain of our oil costless collar contracts. We realized a net loss of $1.9 million from our oil basis differential swap contracts for the year ended December 31, 2022, resulting from oil basis differentials that were above the fixed prices of certain of our oil basis differential swap contracts. We realized an average loss on our natural gas derivatives of approximately $0.08 per Mcf of natural gas produced during the year ended December 31, 2023, as compared to an average loss on our natural gas derivatives of approximately $0.83 per Mcf of natural gas produced during the year ended December 31, 2022. Our total natural gas volumes hedged represented 2% and 61% of our total natural gas production for the years ended December 31, 2023 and 2022, respectively.</w:t>
      </w:r>
    </w:p>
    <w:p>
      <w:pPr>
        <w:spacing w:after="0" w:line="7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Unrealized (loss) gain on derivatives</w:t>
      </w:r>
      <w:r>
        <w:rPr>
          <w:rFonts w:ascii="Times New Roman" w:cs="Times New Roman" w:eastAsia="Times New Roman" w:hAnsi="Times New Roman"/>
          <w:sz w:val="18"/>
          <w:szCs w:val="18"/>
          <w:color w:val="auto"/>
        </w:rPr>
        <w:t>. Our unrealized loss on derivatives was approximately $1.3 million for the year ended December 31, 2023,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an unrealized gain of $18.8 million for the year ended December 31, 2022. During the year ended December 31, 2023, the aggregate net fair value of our open natural gas derivative contracts changed from a net asset of approximately $3.9 million to a net asset of approximately $2.7 million, resulting in an unrealized loss on derivatives of approximately $1.3 million for the year ended December 31, 2023. During the year ended December 31, 2022, the aggregate net fair value of our open oil and natural gas derivatives and oil basis differential swap contracts changed from a net liability of approximately $14.9 million to a net asset of approximately $3.9 million, resulting in an unrealized gain on derivatives of approximately $18.8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operating expenses and other income (expense)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Production taxes, transportation and processing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178,987</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Lease operating</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108,964</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Plant and other midstream services operating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61,459</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Purchased natural gas</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77,126</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344,905</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110,373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116,229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96,396</w:t>
            </w:r>
          </w:p>
        </w:tc>
      </w:tr>
      <w:tr>
        <w:trPr>
          <w:trHeight w:val="189"/>
        </w:trPr>
        <w:tc>
          <w:tcPr>
            <w:tcW w:w="84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1,597,463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1,298,755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869,905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1,209,322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1,759,270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793,076</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(74,687)</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w:t>
            </w:r>
          </w:p>
        </w:tc>
      </w:tr>
      <w:tr>
        <w:trPr>
          <w:trHeight w:val="189"/>
        </w:trPr>
        <w:tc>
          <w:tcPr>
            <w:tcW w:w="84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4"/>
                <w:szCs w:val="14"/>
                <w:color w:val="auto"/>
              </w:rPr>
              <w:t>Total other expense</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(112,937)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(73,596)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(77,730)</w:t>
            </w:r>
          </w:p>
        </w:tc>
      </w:tr>
      <w:tr>
        <w:trPr>
          <w:trHeight w:val="203"/>
        </w:trPr>
        <w:tc>
          <w:tcPr>
            <w:tcW w:w="8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1,685,674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715,346</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Deferred</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172,104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344,480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74,710</w:t>
            </w:r>
          </w:p>
        </w:tc>
      </w:tr>
      <w:tr>
        <w:trPr>
          <w:trHeight w:val="203"/>
        </w:trPr>
        <w:tc>
          <w:tcPr>
            <w:tcW w:w="8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399,357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74,710</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 in subsidiaries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(64,285)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(72,111)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(55,668)</w:t>
            </w: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Matador Resources Company 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1,214,206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584,968</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 per BOE: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Production taxes, transportation and processing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Lease operating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Plant and other midstream services operating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95"/>
        </w:trPr>
        <w:tc>
          <w:tcPr>
            <w:tcW w:w="8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210"/>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 as Compared to Year Ended December 31, 2022</w:t>
      </w:r>
    </w:p>
    <w:p>
      <w:pPr>
        <w:spacing w:after="0" w:line="10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and transportation and processing expenses decreased $17.7 million, or 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$264.5 million for the year ended December 31, 2023, as compared to $282.2 million for the year ended December 31, 2022. On a unit-of-production basis, our production taxes and transportation and processing expenses decreased 25% to $5.50 per BOE for the year ended December 31, 2023, as compared to $7.33 per BOE for the year ended December 31, 2022. These decreases were primarily attributable to the $22.7 million decrease in our production taxes to $200.2 million for the year ended December 31, 2023, as compared to $222.9 million for the year ended December 31, 2022, resulting from the $360.1 million decrease in oil and natural gas revenues for the year ended December 31, 2023, as compared to the year ended December 31, 2022, which was partially offset by the $5.0 million increase in transportation and processing expenses to $64.3 million for the year ended December 31, 2023, as compared to $59.3 million for the year ended December 31, 2022, primarily resulting from the 25% increase in total oil equivalent production between the respective periods.</w:t>
      </w:r>
    </w:p>
    <w:p>
      <w:pPr>
        <w:spacing w:after="0" w:line="67"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Lease operating expenses. </w:t>
      </w:r>
      <w:r>
        <w:rPr>
          <w:rFonts w:ascii="Times New Roman" w:cs="Times New Roman" w:eastAsia="Times New Roman" w:hAnsi="Times New Roman"/>
          <w:sz w:val="18"/>
          <w:szCs w:val="18"/>
          <w:color w:val="auto"/>
        </w:rPr>
        <w:t>Our lease operating expenses increased $86.6 million, or 55%, to $243.7 million for the year ended December 31, 2023,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$157.1 million for the year ended December 31, 2022. On a unit-of-production basis, our lease operating expenses increased 24% to $5.06 per BOE for the year ended December 31, 2023, as compared to $4.08 per BOE for the year ended December 31, 2022. These increases for the year ended December 31, 2023 were primarily attributable to the increased number of wells being operated by us, including 127 wells from the Advance Acquisition, and other operators (where we own a working interest) and to operating cost inflation during the year-ended December 31, 2023, as compared to the year ended December 31, 2022.</w:t>
      </w:r>
    </w:p>
    <w:p>
      <w:pPr>
        <w:spacing w:after="0" w:line="128" w:lineRule="exact"/>
        <w:rPr>
          <w:sz w:val="20"/>
          <w:szCs w:val="20"/>
          <w:color w:val="auto"/>
        </w:rPr>
      </w:pPr>
    </w:p>
    <w:p>
      <w:pPr>
        <w:ind w:right="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$33.4 million, or 35%, to $128.9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2023, as compared to $95.5 million for the year ended December 31, 2022. This increase was primarily attributable to increased throughput volumes at San Mateo and Pronto</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Matador and other customers, which resulted in (i) increased expenses associated with our expanded pipeline operations of $36.7 million for the year ended December 31, 2023, as compared to $24.9 million for the year ended December 31, 2022, (ii) increased expenses associated with our commercial produced water disposal operations of $53.6 million for the year ended December 31, 2023, as compared to $46.5 million for the year ended December 31, 2022, and (iii) increased expenses in connection with operating our Pronto midstream assets of $18.3 million for the year ended December 31, 2023, which assets were purchased on June 30, 2022, as compared to $8.3 million for the year ended December 31, 2022.</w:t>
      </w:r>
    </w:p>
    <w:p>
      <w:pPr>
        <w:spacing w:after="0" w:line="127"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$250.3 million, or 54%, to $716.7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2023, as compared to $466.3 million for the year ended December 31, 2022, primarily as a result of the Advance Acquisition and a 25% increase in our total oil equivalent production between the respective periods. On a unit-of-production basis, our depletion, depreciation and amortization expenses increased 23% to $14.90 per BOE for the year ended December 31, 2023, as compared to $12.11 per BOE for the year ended December 31, 2022, primarily as a result of the Advance Acquisition and an increase in actual costs and estimated future costs to drill, complete and equip our wells between the two periods.</w:t>
      </w:r>
    </w:p>
    <w:p>
      <w:pPr>
        <w:spacing w:after="0" w:line="128"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$5.9 million, or 5%, to $110.4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as compared to $116.2 million for the year ended December 31, 2022. Our general and administrative expenses on a unit-of-production basis decreased 24% to $2.29 per BOE for the year ended December 31, 2023, as compared to $3.02 per BOE for the year ended December 31, 2022, primarily as a result of the 25% increase in our total oil equivalent production between the two periods.</w:t>
      </w:r>
    </w:p>
    <w:p>
      <w:pPr>
        <w:spacing w:after="0" w:line="126"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year ended December 31, 2023, we incurred total interest expense of approximately $143.7 million. We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$22.2 million of our interest expense on certain qualifying projects for the year ended December 31, 2023 and expensed the remaining $121.5 million to operations. For the year ended December 31, 2022, we incurred total interest expense of approximately $77.2 million. We capitalized approximately $10.1 million of our interest expense on certain qualifying projects for the year ended December 31, 2022 and expensed the remaining $67.2 million to operations. The increase in interest expense for the year ended December 31, 2023 is a result of borrowings under the Credit Agreement that were used in connection with the Advance Acquisition, borrowings under the San Mateo Credit Facility, the issuance of the 2028 Notes in April 2023 and the significant increase in interest rates between the two periods.</w:t>
      </w:r>
    </w:p>
    <w:p>
      <w:pPr>
        <w:spacing w:after="0" w:line="12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Total income tax provision. </w:t>
      </w:r>
      <w:r>
        <w:rPr>
          <w:rFonts w:ascii="Times New Roman" w:cs="Times New Roman" w:eastAsia="Times New Roman" w:hAnsi="Times New Roman"/>
          <w:sz w:val="18"/>
          <w:szCs w:val="18"/>
          <w:color w:val="auto"/>
        </w:rPr>
        <w:t>We recorded a current income tax provision of $13.9 million and a deferred income tax provision of $172.1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Our effective income tax rate of 18% for the year ended December 31, 2023 differed from the U.S. federal statutory rate due primarily to recognizing research and experimental expenditure tax credits of $74.0 million, which were partially offset by permanent differences between book and taxable income and state taxes, primarily in New Mexico. We recorded a current income tax provision of $54.9 million and a deferred income tax provision of $344.5 million for the year ended December 31, 2022. Our effective income tax rate of 25% for the year ended December 31, 2022 differed from the U.S. federal statutory rate due primarily to permanent differences between book and taxable income and state taxes, primarily in New Mexico.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during 2024 and for the foreseeable future to be, for the acquisition, exploration and development of oil and natural gas properties and for midstream investments. In April 2023, we closed the Initial Advance Acquisition that was funded through a combination of cash on hand and borrowings under our Credit Agreement. In addition, on April 11, 2023, we issued and sold $500.0 million in aggregate principal amount of 2028 Notes. We used the net proceeds from the sale of the 2028 Notes of approximately $487.6 million, after deducting the initial purchasers’ discounts and estimated offering expenses, to partially repay borrowings under our Credit Agreement. We expect to fund our 2024 capital expenditures through a combination of cash on hand, operating cash flows and performance incentives paid to us by Five Point in connection with San Mateo. If capital expenditures were to exceed our operating cash flows in 2024, we expect to fund any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82"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At December 31, 2023, we had cash totaling $52.7 million and restricted cash totaling $53.6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2023, we had (i) $699.2 million of outstanding 5.875% senior notes due September 2026 (the “2026 Notes”), (ii) $500.0 million of outstanding 2028 Notes, (iii) $500.0 million of borrowings outstanding under the Credit Agreement and (iv) approximately $52.3 million in outstanding letters of credit issued pursuant to the Credit Agreement.</w:t>
      </w:r>
    </w:p>
    <w:p>
      <w:pPr>
        <w:spacing w:after="0" w:line="68"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In March 2023, the lenders under our Credit Agreement completed their review of our proved oil and natural gas reserves, and, as a result, we and our lenders entered into an amendment to the Fourth Amended and Restated Credit Agreement, which amended the Credit Agreement to, among other things: (i) reaffirm the borrowing base at $2.25 billion, (ii) increase the elected borrowing commitment from $775.0 million to $1.25 billion and (iii) maintain the maximum facility amount at $1.50 billion. This March 2023 redetermination constituted the regularly scheduled May 1 redetermination.</w:t>
      </w:r>
    </w:p>
    <w:p>
      <w:pPr>
        <w:spacing w:after="0" w:line="72"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color w:val="auto"/>
        </w:rPr>
        <w:t>In October 2023, the lenders under our Credit Agreement completed their review of the our proved oil and natural gas reserves, and, as a result, we and our lenders entered into an amendment to the Fourth Amended and Restated Credit Agreement, which amended the Credit Agreement to, among other things: (i) increase the borrowing base from $2.25 billion to $2.50 billion, (ii) increase the elected borrowing commitment from $1.25 billion to</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$1.325 billion and (iii) increase the maximum facility amount from $1.50 billion to $2.00 billion. This October 2023 redetermination constituted the regularly scheduled November 1 redetermination. Borrowings under the Credit Agreement are limited to the lowest of the borrowing base, the maximum facility amount and the elected borrowing commitment (subject to compliance with the covenants noted below). The Credit Agreement matures October 31, 2026.</w:t>
      </w:r>
    </w:p>
    <w:p>
      <w:pPr>
        <w:spacing w:after="0" w:line="8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 million of unrestricted cash and cash equivalents) divided by a rolling four quarter EBITDA calculation, of 3.50 to 1.0 or less at the end of each fiscal quarter. We believe that we were in compliance with the terms of the Credit Agreement at December 31, 2023.</w:t>
      </w:r>
    </w:p>
    <w:p>
      <w:pPr>
        <w:spacing w:after="0" w:line="75"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2023, San Mateo had $522.0 million in borrowings outstanding under the San Mateo Credit Facility and approximately $9.0 million in outstanding letters of credit issued pursuant to the San Mateo Credit Facility. In October 2023, the lenders under the San Mateo Credit Facility increased the lender commitments from $485.0 million to $535.0 million. The San Mateo Credit Facility matures December 9, 2026.</w:t>
      </w:r>
    </w:p>
    <w:p>
      <w:pPr>
        <w:spacing w:after="0" w:line="6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San Mateo Credit Facility is non-recourse with respect to Matador and its other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December 31, 2023.</w:t>
      </w:r>
    </w:p>
    <w:p>
      <w:pPr>
        <w:spacing w:after="0" w:line="8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February 2023, April 2023 and July 2023, our Board declared quarterly cash dividends of $0.15 per share of common stock. In October 2023, the Board amended our dividend policy to increase the quarterly dividend to $0.20 per share of common stock and also declared a quarterly cash dividend of $0.20 per share of common stock. On February 13, 2024, the Board declared a quarterly cash dividend of $0.20 per share of common stock payable on March 13, 2024 to shareholders of record as of February 23, 2024.</w:t>
      </w:r>
    </w:p>
    <w:p>
      <w:pPr>
        <w:spacing w:after="0" w:line="7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in 2024. We began 2024 operating seven contracted drilling rigs in the Delaware Basin and added an eighth operated drilling rig in the first quarter of 2024. We have built significant optionality into our drilling program, which should generally allow us to decrease or increase the number of rigs we operate as necessary based on changing commodity prices and other factors. Our 2024 estimated capital expenditure budget consists of $1.10 to $1.30 billion for D/C/E capital expenditures and $200.0 to $250.0 million for midstream capital expenditures, which reflects our proportionate share of San Mateo’s estimated 2024 capital expenditures as well as the estimated 2024 capital expenditures for other wholly-owned midstream projects, including projects completed by Pronto. The midstream capital expenditure budget includes 100% of the costs associated with the Marlan Processing Plant expansion noted above, although, at February 20, 2024, we were continuing to evaluate potential partners in Pronto that would share in these capital expenditures and strategic opportunities. Substantially all of these 2024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South Texas and the Haynesville shale. Our 2024 Delaware Basin operated drilling program is expected to focus on the continued development of our various asset areas throughout the Delaware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Basin, with a continued emphasis on drilling and completing a high percentage of longer horizontal wells, including 99% with anticipated completed lateral lengths of greater than one mile.</w:t>
      </w:r>
    </w:p>
    <w:p>
      <w:pPr>
        <w:spacing w:after="0" w:line="54"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As we have done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during 2024,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2024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2024.</w:t>
      </w:r>
    </w:p>
    <w:p>
      <w:pPr>
        <w:spacing w:after="0" w:line="84"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2024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8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2024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2024 and the hedges we currently have in place. For a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12 to the consolidated financial statements in this Annual Report for a summary of our open derivative financial instruments at December 31, 2023.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Factors—Risks Related to our Operations—Drilling for and producing oil, natural gas and NGLs is highly speculative and involves a high degree of operational and financial risk, with many uncertainties that could adversely affect our business,” “Risk Factors—Risks Related to our Operations—Our identified drilling locations are scheduled over several years, making them susceptible to uncertainties that could materially alter the occurrence or timing of their drilling” and “Risk Factors—Risks Related to Laws and Regulations— Approximately 32%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952"/>
        </w:trPr>
        <w:tc>
          <w:tcPr>
            <w:tcW w:w="7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Our cash flows for the years ended December 31, 2023, 2022 and 2021 are presented below.</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13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1,053,355</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(729,265)</w:t>
            </w: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(328,553)</w:t>
            </w: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460,410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72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2,127,156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1,051,973</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520" w:hanging="331"/>
        <w:spacing w:after="0" w:line="302" w:lineRule="auto"/>
        <w:tabs>
          <w:tab w:leader="none" w:pos="4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income and net cash provided by operating activities, see “—Non-GAAP Financial Measures”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decreased by $110.9 million to $1.87 billion for the year ended December 31, 2023, as compared to net cash provided by operating activities of $1.98 billion for the year ended December 31, 2022. Excluding changes in operating assets and liabilities, net cash provided by operating activities decreased to $1.82 billion for the year ended December 31, 2023 from $2.10 billion for the year ended December 31, 2022. This decrease was primarily attributable to lower realized oil and natural gas prices for the year ended December 31, 2023, as compared to the year ended December 31, 2022, which was partially offset by the 25% increase in total oil equivalent production during 2023, as compared to 2022. Changes in our operating assets and liabilities between December 31, 2022 and December 31, 2023 resulted in a net increase of approximately $168.0 million in net cash provided by operating activities for the year ended December 31, 2023, as compared to the year ended December 31, 2022.</w:t>
      </w:r>
    </w:p>
    <w:p>
      <w:pPr>
        <w:spacing w:after="0" w:line="8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Our operating cash flows are sensitive to a number of variables, including changes in our production and the volatility of oil and natural gas prices between reporting periods. Regional and worldwide economic activity, the actions of OPEC+ and other large state-controlled oil producers, weather, infrastructure capacity to reach markets and other variable factors significantly impact the prices of oil and natural gas. These factors are beyond our control and are difficult to predict. From time to time,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jc w:val="both"/>
        <w:ind w:right="60" w:firstLine="445"/>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increased by $2.17 billion to $3.21 billion for the year ended December 31, 2023 from $1.04 billion for the year ended December 31, 2022. This increase in net cash used in investing activities was primarily due to (i) an increase between the periods of $1.68 billion in expenditures related to the Advance Acquisition, (ii) an increase between the periods of $421.0 million in D/C/E capital expenditures primarily attributable to our operated and non-operated drilling, completion and equipping activities in the Delaware Basin and (iii) an increase between the periods of</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$85.7 million in midstream capital expenditures. These increases were partially offset by a decrease of $75.8 million related to the Pronto Acquisition in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increased $1.38 billion to $902.3 million for the year ended December 31, 2023, from net cash used in financing activities of $480.9 million for the year ended December 31, 2022. During the year ended December 31, 2023, our net cash provided by financing activities was primarily attributable to (i) proceeds from the issuance of the 2028 Notes of $494.8 million, (ii) net borrowings under our Credit Agreement of $500.0 million and (iii) net borrowings under the San Mateo Credit Facility of $57.0 million, which were partially offset by (x) dividends paid of $77.2 million and (y) net distributions related to non-controlling interest owners of less-than-wholly-owned subsidiaries of $15.6 million. During the year ended December 31, 2022, our net cash used in financing activities was primarily attributable to (i) the repurchase of an aggregate principal of $350.8 million of the 2026 Notes for $344.3 million, (ii) net repayments under our Credit Agreement of $100.0 million, (iii) net distributions related to non-controlling interest owners of less-than-wholly-owned subsidiaries of $57.7 million and (iv) dividends paid of $35.2 million, which were partially offset by net borrowings under the San Mateo Credit Facility of $80.0 million.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See Note 7 to the consolidated financial statements in this Annual Report for a summary of our debt, including the Credit Agreement, the San Mateo Credit Facility, the 2026 Notes and the 2028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Guarantor Financial Information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2023, Matador’s outstanding senior notes registered under the Securities Act consisted of the 2026 Notes. The 2026 Notes are jointly and severally guaranteed by certain subsidiaries of Matador (the “Guarantor Subsidiaries”) on a full and unconditional basis (except for customary release provisions). At December 31, 2023, the Guarantor Subsidiaries were each 100% owned by Matador. Matador is a parent holding company and has no independent assets or operations, and there are no significant restrictions on the ability of Matador to obtain funds from the Guarantor Subsidiaries by dividend or loan. Neither San Mateo nor Pronto is a Guarantor Subsidiary of the 2026 Notes.</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Matador (as issuer of the 2026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8"/>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619,716</w:t>
            </w:r>
          </w:p>
        </w:tc>
      </w:tr>
      <w:tr>
        <w:trPr>
          <w:trHeight w:val="229"/>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5,867,130</w:t>
            </w:r>
          </w:p>
        </w:tc>
      </w:tr>
      <w:tr>
        <w:trPr>
          <w:trHeight w:val="230"/>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64,759</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684,159</w:t>
            </w:r>
          </w:p>
        </w:tc>
      </w:tr>
      <w:tr>
        <w:trPr>
          <w:trHeight w:val="229"/>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1,684,627</w:t>
            </w:r>
          </w:p>
        </w:tc>
      </w:tr>
      <w:tr>
        <w:trPr>
          <w:trHeight w:val="234"/>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701,153</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Income</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2,550,755</w:t>
            </w:r>
          </w:p>
        </w:tc>
      </w:tr>
      <w:tr>
        <w:trPr>
          <w:trHeight w:val="23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1,499,363</w:t>
            </w:r>
          </w:p>
        </w:tc>
      </w:tr>
      <w:tr>
        <w:trPr>
          <w:trHeight w:val="223"/>
        </w:trPr>
        <w:tc>
          <w:tcPr>
            <w:tcW w:w="9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1,051,392</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(80,325)</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(186,026)</w:t>
            </w:r>
          </w:p>
        </w:tc>
      </w:tr>
      <w:tr>
        <w:trPr>
          <w:trHeight w:val="223"/>
        </w:trPr>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785,041</w:t>
            </w:r>
          </w:p>
        </w:tc>
      </w:tr>
      <w:tr>
        <w:trPr>
          <w:trHeight w:val="20"/>
        </w:trPr>
        <w:tc>
          <w:tcPr>
            <w:tcW w:w="9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06" w:lineRule="exact"/>
        <w:rPr>
          <w:sz w:val="20"/>
          <w:szCs w:val="20"/>
          <w:color w:val="auto"/>
        </w:rPr>
      </w:pPr>
    </w:p>
    <w:p>
      <w:pPr>
        <w:ind w:right="280" w:firstLine="445"/>
        <w:spacing w:after="0" w:line="256" w:lineRule="auto"/>
        <w:rPr>
          <w:sz w:val="20"/>
          <w:szCs w:val="20"/>
          <w:color w:val="auto"/>
        </w:rPr>
      </w:pPr>
      <w:r>
        <w:rPr>
          <w:rFonts w:ascii="Times New Roman" w:cs="Times New Roman" w:eastAsia="Times New Roman" w:hAnsi="Times New Roman"/>
          <w:sz w:val="18"/>
          <w:szCs w:val="18"/>
          <w:color w:val="auto"/>
        </w:rPr>
        <w:t>We define Adjusted EBITDA attributable to Matador shareholders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133"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26"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income (loss) or net cash provided by operating activities as determined in accordance with GAAP or as a primary indicator of our operating performance or liquidity. Certain items excluded from Adjusted EBITDA are significant components of understanding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108" w:lineRule="exact"/>
        <w:rPr>
          <w:sz w:val="20"/>
          <w:szCs w:val="20"/>
          <w:color w:val="auto"/>
        </w:rPr>
      </w:pPr>
    </w:p>
    <w:p>
      <w:pPr>
        <w:ind w:right="26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income and net cash provided by operating activities, respectively.</w:t>
      </w:r>
    </w:p>
    <w:p>
      <w:pPr>
        <w:ind w:left="8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6"/>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Adjusted EBITDA Reconciliation to Net Income: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Matador Resources Company shareholders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846,074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1,214,206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584,968</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 in subsidiaries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55,668</w:t>
            </w:r>
          </w:p>
        </w:tc>
      </w:tr>
      <w:tr>
        <w:trPr>
          <w:trHeight w:val="189"/>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1,286,317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640,636</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74,687</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74,710</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344,905</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(gain) on derivatives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(21,011)</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9,039</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on impairment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expense related to contingent consideration and other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w:t>
            </w:r>
          </w:p>
        </w:tc>
      </w:tr>
      <w:tr>
        <w:trPr>
          <w:trHeight w:val="203"/>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Consolidated Adjusted EBITDA</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2,224,158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1,126,850</w:t>
            </w:r>
          </w:p>
        </w:tc>
      </w:tr>
      <w:tr>
        <w:trPr>
          <w:trHeight w:val="19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Adjusted EBITDA attributable to non-controlling interest in subsidiaries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(74,877)</w:t>
            </w:r>
          </w:p>
        </w:tc>
      </w:tr>
      <w:tr>
        <w:trPr>
          <w:trHeight w:val="221"/>
        </w:trPr>
        <w:tc>
          <w:tcPr>
            <w:tcW w:w="81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Adjusted EBITDA attributable to Matador Resources Company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1,849,547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2,127,156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1,051,973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6"/>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Adjusted EBITDA Reconciliation to Net Cash Provided by Operating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1,867,828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1,978,739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1,053,355</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operating assets and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 of non-cash portion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71,028</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provision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non-cash and non-recurring expense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attributable to non-controlling interest in subsidiaries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(98,075)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(74,877)</w:t>
            </w:r>
          </w:p>
        </w:tc>
      </w:tr>
      <w:tr>
        <w:trPr>
          <w:trHeight w:val="190"/>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 attributable to Matador Resources Company shareholders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1,849,547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2,127,156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1,051,973</w:t>
            </w:r>
          </w:p>
        </w:tc>
      </w:tr>
      <w:tr>
        <w:trPr>
          <w:trHeight w:val="27"/>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we reported net income attributable to Matador shareholders of $846.1 million, as compared to $1.21 billion for the year ended December 31, 2022. This decrease primarily resulted from lower realized oil and natural gas prices, partially offset by higher oil and natural gas production, for the year ended December 31, 2023, as compared to the year ended December 31, 2022. In addition, we had increased depletion, depreciation and amortization expenses of $716.7 million for the year ended December 31, 2023, as compared to $466.3 million for the year ended December 31, 2022, and increased interest expense of $121.5 million for the year ended December 31, 2023, as compared to $67.2 million for the year ended December 31, 2022. This was partially offset by an income tax provision of $186.0 million for the year ended December 31, 2023, as compared to an income tax provision of $399.4 million for the year ended December 31, 2022.</w:t>
      </w:r>
    </w:p>
    <w:p>
      <w:pPr>
        <w:spacing w:after="0" w:line="81"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decreased $277.6 million to $1.85 billion for the year ended December 31, 2023, as compared to $2.13 billion for the year ended December 31, 2022. This decrease was primarily attributable to lower realized oil and natural gas prices, partially offset by higher oil and natural gas production noted above for the year ended December 31, 2023, as compared to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From time-to-time, we enter into off-balance sheet arrangements and transactions that can give rise to material off-balance sheet obligations. As of December 31, 2023,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Company has no transactions, arrangements or other relationships with unconsolidated entities or other persons that are reasonably likely to materially affect our liquidity or availability of or requirements for capital resources. See “—Obligations and Commitments” below and Note 14 to the consolidated financial statements in this Annual Report for more information regarding our off-balance sheet arrangements. Such information is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6"/>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14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8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1"/>
                <w:szCs w:val="11"/>
                <w:color w:val="auto"/>
              </w:rPr>
            </w:pPr>
          </w:p>
        </w:tc>
        <w:tc>
          <w:tcPr>
            <w:tcW w:w="9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99"/>
              </w:rPr>
              <w:t>More Than 5</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6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Borrowings, including letters of credit</w:t>
            </w:r>
            <w:r>
              <w:rPr>
                <w:rFonts w:ascii="Times New Roman" w:cs="Times New Roman" w:eastAsia="Times New Roman" w:hAnsi="Times New Roman"/>
                <w:sz w:val="18"/>
                <w:szCs w:val="18"/>
                <w:color w:val="auto"/>
                <w:vertAlign w:val="superscript"/>
              </w:rPr>
              <w:t>(1)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1,083,317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1,083,317</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Senior unsecured notes</w:t>
            </w:r>
            <w:r>
              <w:rPr>
                <w:rFonts w:ascii="Times New Roman" w:cs="Times New Roman" w:eastAsia="Times New Roman" w:hAnsi="Times New Roman"/>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1,199,191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leases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Non-operated drilling commitments</w:t>
            </w:r>
            <w:r>
              <w:rPr>
                <w:rFonts w:ascii="Times New Roman" w:cs="Times New Roman" w:eastAsia="Times New Roman" w:hAnsi="Times New Roman"/>
                <w:sz w:val="18"/>
                <w:szCs w:val="18"/>
                <w:color w:val="auto"/>
                <w:vertAlign w:val="superscript"/>
              </w:rPr>
              <w:t>(3)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Drilling rig contracts</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Asset retirement obligations</w:t>
            </w:r>
            <w:r>
              <w:rPr>
                <w:rFonts w:ascii="Times New Roman" w:cs="Times New Roman" w:eastAsia="Times New Roman" w:hAnsi="Times New Roman"/>
                <w:sz w:val="18"/>
                <w:szCs w:val="18"/>
                <w:color w:val="auto"/>
                <w:vertAlign w:val="superscript"/>
              </w:rPr>
              <w:t>(5)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80,889</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Transportation, gathering, processing and disposal agreements with non-affiliates</w:t>
            </w:r>
            <w:r>
              <w:rPr>
                <w:rFonts w:ascii="Times New Roman" w:cs="Times New Roman" w:eastAsia="Times New Roman" w:hAnsi="Times New Roman"/>
                <w:sz w:val="18"/>
                <w:szCs w:val="18"/>
                <w:color w:val="auto"/>
                <w:vertAlign w:val="superscript"/>
              </w:rPr>
              <w:t>(6)</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132,073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170,678</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Transportation, gathering, processing and disposal agreements with San Mateo</w:t>
            </w:r>
            <w:r>
              <w:rPr>
                <w:rFonts w:ascii="Times New Roman" w:cs="Times New Roman" w:eastAsia="Times New Roman" w:hAnsi="Times New Roman"/>
                <w:sz w:val="18"/>
                <w:szCs w:val="18"/>
                <w:color w:val="auto"/>
                <w:vertAlign w:val="superscript"/>
              </w:rPr>
              <w:t>(7)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107,466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Midstream contracts</w:t>
            </w:r>
            <w:r>
              <w:rPr>
                <w:rFonts w:ascii="Times New Roman" w:cs="Times New Roman" w:eastAsia="Times New Roman" w:hAnsi="Times New Roman"/>
                <w:sz w:val="18"/>
                <w:szCs w:val="18"/>
                <w:color w:val="auto"/>
                <w:vertAlign w:val="superscript"/>
              </w:rPr>
              <w:t>(8)</w:t>
            </w: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162,692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109,979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4"/>
        </w:trPr>
        <w:tc>
          <w:tcPr>
            <w:tcW w:w="5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contractual cash obligations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3,361,899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247,220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2,121,197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741,915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251,567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40" w:hanging="331"/>
        <w:spacing w:after="0" w:line="266" w:lineRule="auto"/>
        <w:tabs>
          <w:tab w:leader="none" w:pos="45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December 31, 2023, we had $500.0 million in borrowings outstanding under the Credit Agreement and approximately $52.3 million in outstanding letters of credit issued pursuant to the Credit Agreement. The Credit Agreement matures October 31, 2026. At December 31, 2023 San Mateo had $522.0 million of borrowings outstanding under the San Mateo Credit Facility and approximately $9.0 million in outstanding letters of credit issued pursuant to the San Mateo Credit Facility. The San Mateo Credit Facility matures December 9, 2026. Assuming the amounts outstanding and interest rates of 7.21% and 7.71%, respectively, for the Credit Agreement and the San Mateo Credit Facility at December 31, 2023, the interest expense for such facilities is expected to be approximately $36.6 million and $40.8 million, respectively, each year until maturity.</w:t>
      </w:r>
    </w:p>
    <w:p>
      <w:pPr>
        <w:spacing w:after="0" w:line="255" w:lineRule="exact"/>
        <w:rPr>
          <w:rFonts w:ascii="Times New Roman" w:cs="Times New Roman" w:eastAsia="Times New Roman" w:hAnsi="Times New Roman"/>
          <w:sz w:val="14"/>
          <w:szCs w:val="14"/>
          <w:color w:val="auto"/>
        </w:rPr>
      </w:pPr>
    </w:p>
    <w:p>
      <w:pPr>
        <w:ind w:left="460" w:right="80" w:hanging="331"/>
        <w:spacing w:after="0" w:line="281" w:lineRule="auto"/>
        <w:tabs>
          <w:tab w:leader="none" w:pos="45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$699.2 million of outstanding 2026 Notes as of December 31, 2023 is expected to be approximately $41.1 million each year until maturity. Interest expense on the $500.0 million of outstanding 2028 Notes as of December 31, 2023 is expected to be approximately $34.4 million each year until maturity.</w:t>
      </w:r>
    </w:p>
    <w:p>
      <w:pPr>
        <w:spacing w:after="0" w:line="55"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we had outstanding commitments to participate in the drilling and completion of various non-operated wells.</w:t>
      </w:r>
    </w:p>
    <w:p>
      <w:pPr>
        <w:spacing w:after="0" w:line="122" w:lineRule="exact"/>
        <w:rPr>
          <w:rFonts w:ascii="Times New Roman" w:cs="Times New Roman" w:eastAsia="Times New Roman" w:hAnsi="Times New Roman"/>
          <w:sz w:val="14"/>
          <w:szCs w:val="14"/>
          <w:color w:val="auto"/>
        </w:rPr>
      </w:pPr>
    </w:p>
    <w:p>
      <w:pPr>
        <w:ind w:left="460" w:right="280" w:hanging="331"/>
        <w:spacing w:after="0" w:line="302" w:lineRule="auto"/>
        <w:tabs>
          <w:tab w:leader="none" w:pos="45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we enter into contracts with third parties for such drilling rigs. See Note 14 to the consolidated financial statements in this Annual Report for more information regarding these contractual commitments.</w:t>
      </w:r>
    </w:p>
    <w:p>
      <w:pPr>
        <w:spacing w:after="0" w:line="53" w:lineRule="exact"/>
        <w:rPr>
          <w:rFonts w:ascii="Times New Roman" w:cs="Times New Roman" w:eastAsia="Times New Roman" w:hAnsi="Times New Roman"/>
          <w:sz w:val="14"/>
          <w:szCs w:val="14"/>
          <w:color w:val="auto"/>
        </w:rPr>
      </w:pPr>
    </w:p>
    <w:p>
      <w:pPr>
        <w:ind w:left="440" w:hanging="311"/>
        <w:spacing w:after="0"/>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discounted cash flow estimates for future asset retirement obligations at December 31, 2023.</w:t>
      </w:r>
    </w:p>
    <w:p>
      <w:pPr>
        <w:spacing w:after="0" w:line="122" w:lineRule="exact"/>
        <w:rPr>
          <w:rFonts w:ascii="Times New Roman" w:cs="Times New Roman" w:eastAsia="Times New Roman" w:hAnsi="Times New Roman"/>
          <w:sz w:val="14"/>
          <w:szCs w:val="14"/>
          <w:color w:val="auto"/>
        </w:rPr>
      </w:pPr>
    </w:p>
    <w:p>
      <w:pPr>
        <w:jc w:val="both"/>
        <w:ind w:left="460" w:right="120" w:hanging="331"/>
        <w:spacing w:after="0" w:line="268" w:lineRule="auto"/>
        <w:tabs>
          <w:tab w:leader="none" w:pos="45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14 to the consolidated financial statements in this Annual Report for more information about these contractual commitments.</w:t>
      </w:r>
    </w:p>
    <w:p>
      <w:pPr>
        <w:spacing w:after="0" w:line="77" w:lineRule="exact"/>
        <w:rPr>
          <w:rFonts w:ascii="Times New Roman" w:cs="Times New Roman" w:eastAsia="Times New Roman" w:hAnsi="Times New Roman"/>
          <w:sz w:val="14"/>
          <w:szCs w:val="14"/>
          <w:color w:val="auto"/>
        </w:rPr>
      </w:pPr>
    </w:p>
    <w:p>
      <w:pPr>
        <w:ind w:left="460" w:hanging="331"/>
        <w:spacing w:after="0" w:line="268" w:lineRule="auto"/>
        <w:tabs>
          <w:tab w:leader="none" w:pos="45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dedicated to San Mateo our current and certain future leasehold interests in the Rustler Breaks asset area and the Wolf portion of the West Texas asset area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14 to the consolidated financial statements in this Annual Report for more information regarding these contractual commitments.</w:t>
      </w:r>
    </w:p>
    <w:p>
      <w:pPr>
        <w:spacing w:after="0" w:line="252" w:lineRule="exact"/>
        <w:rPr>
          <w:rFonts w:ascii="Times New Roman" w:cs="Times New Roman" w:eastAsia="Times New Roman" w:hAnsi="Times New Roman"/>
          <w:sz w:val="14"/>
          <w:szCs w:val="14"/>
          <w:color w:val="auto"/>
        </w:rPr>
      </w:pPr>
    </w:p>
    <w:p>
      <w:pPr>
        <w:ind w:left="460" w:right="20" w:hanging="331"/>
        <w:spacing w:after="0" w:line="271" w:lineRule="auto"/>
        <w:tabs>
          <w:tab w:leader="none" w:pos="45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we had outstanding commitments related to the construction and installation of Pronto’s additional natural gas processing plant with a designed inlet processing capacity of 200 MMcf per day, including a nitrogen rejection unit and additional related facilities, in addition to commitments to purchase 11 compressors to be utilized in San Mateo and Pronto operations.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firstLine="445"/>
        <w:spacing w:after="0" w:line="277" w:lineRule="auto"/>
        <w:rPr>
          <w:sz w:val="20"/>
          <w:szCs w:val="20"/>
          <w:color w:val="auto"/>
        </w:rPr>
      </w:pPr>
      <w:r>
        <w:rPr>
          <w:rFonts w:ascii="Times New Roman" w:cs="Times New Roman" w:eastAsia="Times New Roman" w:hAnsi="Times New Roman"/>
          <w:sz w:val="17"/>
          <w:szCs w:val="17"/>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the ongoing military conflicts between Russia and Ukraine and Israel and Hamas, political instability in China, military conflict and political instability in the Middle East, the actions of OPEC+, weather, pipeline capacity constraints, inventory storage levels, oil and natural gas price differentials and other factors.</w:t>
      </w:r>
    </w:p>
    <w:p>
      <w:pPr>
        <w:spacing w:after="0" w:line="60"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80"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oil prices averaged $77.60 per Bbl, as compared to $94.33 per Bbl in 2022, ranging from a low of $66.74 per Bbl in mid-March to a high of $93.68 per Bbl in late September, based upon the WTI oil futures contract price for the earliest delivery date. We realized a weighted average oil price of $77.88 per Bbl (with no realized gains or losses from oil derivatives) for our oil production for the year ended December 31, 2023, as compared to $96.32 per Bbl ($92.87 per Bbl including realized losses from oil derivatives) for the year ended December 31, 2022. At February 20, 2024, the WTI oil futures contract price for the earliest delivery date had increased from year-end 2023, closing at $78.18 per Bbl, and was also higher compared to $76.34 per Bbl on February 17, 2023.</w:t>
      </w:r>
    </w:p>
    <w:p>
      <w:pPr>
        <w:spacing w:after="0" w:line="7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Natural gas prices decreased significantly during 2023. For the year ended December 31, 2023, natural gas prices averaged $2.66 per MMBtu, as compared to $6.54 per MMBtu in 2022, based upon the NYMEX Henry Hub natural gas futures contract price for the earliest delivery date. During 2023, natural gas prices ranged from a high of $4.17 per MMBtu in early January to a low of $1.99 per MMBtu in late March. As a result of milder-than-expected winter weather and high storage levels, natural gas prices declined over the course of the fourth quarter of 2023, finishing the year at $2.51 per MMBtu. We report production volumes in two streams, oil and natural gas (which includes both dry gas and NGLs). NGL prices were also lower in 2023 as compared to 2022, which contributed to lower realized weighted average natural gas prices for the year ended December 31, 2023. We realized a weighted average natural gas price of $3.25 per Mcf ($3.17 per Mcf including realized losses from natural gas derivatives) for our natural gas production for the year ended December 31, 2023, as compared to $7.98 per Mcf ($7.15 per Mcf including realized losses from natural gas derivatives) for the year ended December 31, 2022. At February 20, 2024, the NYMEX Henry Hub natural gas futures contract price for the earliest delivery date had decreased further from year-end 2023, closing at $1.58 per MMBtu, and was also lower as compared to $2.28 per MMBtu at February 17, 2023.</w:t>
      </w:r>
    </w:p>
    <w:p>
      <w:pPr>
        <w:spacing w:after="0" w:line="8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December 31, 2023,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Midland-Cushing (Oklahoma) oil price differential has been highly volatile in recent years. At February 20, 2024, this oil price differential was approximately +$1.64 per Bbl. At February 20, 2024, we had no derivative contracts in place to mitigate our exposure to this Midland-Cushing (Oklahoma) oil price differential for 2024.</w:t>
      </w:r>
    </w:p>
    <w:p>
      <w:pPr>
        <w:spacing w:after="0" w:line="68"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Certain volumes of our Delaware Basin natural gas production are exposed to the Waha-Henry Hub basis differential, which has also been highly volatile in recent years. In 2022, concerns about natural gas pipeline takeaway capacity out of the Delaware Basin began to increase, particularly beginning in the latter half of 2022 and into 2023. As a result, the Waha-Henry Hub basis differential began to widen. The Waha-Henry Hub basis differential averaged ($1.00) per MMBtu for the year ended December 31, 2023. Between December 31, 2023 and February 20, 2024, this natural gas price differential narrowed to approximately ($0.80) per MMBtu. A significant portion of our Delaware Basin natural gas production, however, is sold at Houston Ship Channel pricing and is not exposed to Waha pricing. During 2022 and 2023, we typically realized a narrower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8% of our reported natural gas production for the year ended December 31, 2023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7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year ended December 31, 2023, we incurred realized losses on our natural gas basis differential derivative contracts of approximately $9.6 million resulting primarily from natural gas basis differentials that were above the strike price of our natural gas basis differential swap contracts, offset by natural gas prices that were below the floor prices of certain of our natural gas costless collar contracts. At December 31, 2023, we had derivative natural gas basis differential swap contracts in place to mitigate our exposure to the Waha-Henry Hub basis differential for approximately 11.0 Bcf of our anticipated natural gas production in each of 2024 and 2025.</w:t>
      </w:r>
    </w:p>
    <w:p>
      <w:pPr>
        <w:spacing w:after="0" w:line="80"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we may temporarily shut in certain high gas-oil ratio wells and take other actions to mitigate the impact on our realized natural gas prices and results.</w:t>
      </w:r>
    </w:p>
    <w:p>
      <w:pPr>
        <w:spacing w:after="0" w:line="7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As a result of the increases in oil prices during 2022 and 2023, we have at times experienced inflation in the costs of certain oilfield services, including diesel, steel, labor, trucking, sand, personnel and completion costs, among others. Should oil prices remain at their current levels or increase, we may be subject to additional service cost inflation in future periods, which may increase our costs to drill, complete, equip and operate wells. In addition, supply chain disruptions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spacing w:after="0" w:line="81"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recorded a current income tax provision of $13.9 million and a deferred income tax provision of $172.1 million for the year ended December 31, 2023. Our effective income tax rate of 18% for the year ended December 31, 2023 differed from the U.S. federal statutory rate due primarily to recognizing research and experimental expenditure tax credits of $74.0 million, which were partially offset by permanent differences between book and taxable income and state taxes, primarily in New Mexico. At February 20, 2024, given our current projections, we expect to continue to pay federal income taxes and state income taxes in New Mexico of between 5% and 10% of 2024 pretax book income, but we do not expect to be subject to the Corporate Alternative Minimum Tax (the “CAMT”) in 2024. We could be subject to the CAMT in future years, which would require us to pay minimum cash tax payments of 15% of annual adjusted pretax book income.</w:t>
      </w:r>
    </w:p>
    <w:p>
      <w:pPr>
        <w:spacing w:after="0" w:line="8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require upstream and midstream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operators to reduce natural gas waste by a fixed amount each year and achieve a 98% natural gas capture rate by the end of 2026. The NMED has implemented similar rules and regulations. These and other laws, rules and regulations, including any federal legislation, regulations or orders intended to limit or restrict oil and natural gas operations on federal lands, if enacted, could have a material adverse impact on our business, financial condition, results of operations and cash flows. See “Business—Regulation.”</w:t>
      </w:r>
    </w:p>
    <w:p>
      <w:pPr>
        <w:spacing w:after="0" w:line="72"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In January 2021, President Biden signed an executive order instructing the Department of the Interior to pause new oil and natural gas leases on public lands pending completion of a comprehensive review and consideration of federal oil and natural gas permitting and leasing practices, which has lapsed. In 2019, 2020 and 2021, an environmental group filed multiple lawsuits in federal district courts in New Mexico and the District of Columbia challenging certain BLM lease sales, including lease sales in which we purchased leases in New Mexico. 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BLM indicated that the Lease Sale Litigation or the Social Cost of Carbon Litigation could delay lease sales and the approval of drilling permits. The impact of federal actions and lawsuits related to the oil and natural gas industry remains unclear, and should other limitations or prohibitions be imposed or continue to be applied, our operations on federal lands could be adversely impacted. Such limitations or prohibitions would almost certainly impact our future drilling and completion plans and could materially impact our production volumes, revenues, reserves, cash flows and availability under our Credit Agreement. See “Risk Factors—Risks Related to Laws and Regulations—Approximately 32%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7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 in some jurisdictions relating to the location and operation of underground injection wells. In addition, a number of lawsuits have been filed in some states against others in our industry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such wells, in the area of seismic events based on the magnitude, timing and proximity of the seismic event.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 our Credit Agreement. The adoption of such legislation and regulations could also decrease our and San Mateo’s revenues and result in increased costs and additional operating restrictions for San Mateo as well.</w:t>
      </w:r>
    </w:p>
    <w:p>
      <w:pPr>
        <w:spacing w:after="0" w:line="8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Certain segments of the investor community have recently expressed negative sentiment towards investing in the oil and natural gas industry. In recent years prior to 2021, equity returns in the sector versus other industry sectors have led to lower oil and natural gas representation in certain key equity market indices and some investors, including certain pension funds, sovereign wealth funds, university endowments and family foundations, have stated policies to reduce or eliminate their investments in the oil and natural gas sector based on social and environmental considerations.</w:t>
      </w:r>
    </w:p>
    <w:p>
      <w:pPr>
        <w:spacing w:after="0" w:line="7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 or estimates by our management. See Note 2 to the consolidated financial statements in this Annual Report for further details on our accounting policies at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Properties</w:t>
      </w:r>
    </w:p>
    <w:p>
      <w:pPr>
        <w:spacing w:after="0" w:line="11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We use the full-cost method of accounting for our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spacing w:after="0" w:line="7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Capitalized costs of oil and natural gas properties are amortized using the unit-of-production method based upon production and estimates of proved reserves quantities.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the determination that the well is not productive.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Ceiling Test</w:t>
      </w:r>
    </w:p>
    <w:p>
      <w:pPr>
        <w:spacing w:after="0" w:line="11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54" w:lineRule="exact"/>
        <w:rPr>
          <w:sz w:val="20"/>
          <w:szCs w:val="20"/>
          <w:color w:val="auto"/>
        </w:rPr>
      </w:pPr>
    </w:p>
    <w:p>
      <w:pPr>
        <w:ind w:right="120" w:firstLine="453"/>
        <w:spacing w:after="0" w:line="282" w:lineRule="auto"/>
        <w:tabs>
          <w:tab w:leader="none" w:pos="6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10%, of future net revenues of proved oil and natural gas reserves, reduced by the estimated costs of developing these reserves, plus</w:t>
      </w:r>
    </w:p>
    <w:p>
      <w:pPr>
        <w:spacing w:after="0" w:line="53"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unproved and unevaluated property costs not being amortized, plus</w:t>
      </w:r>
    </w:p>
    <w:p>
      <w:pPr>
        <w:spacing w:after="0" w:line="117"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of cost or estimated fair value of unproved and unevaluated properties included in the costs being amortized, if any, less</w:t>
      </w:r>
    </w:p>
    <w:p>
      <w:pPr>
        <w:spacing w:after="0" w:line="117"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tax effects related to the properties involved.</w:t>
      </w:r>
    </w:p>
    <w:p>
      <w:pPr>
        <w:spacing w:after="0" w:line="117"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Any excess of our net capitalized costs above the cost center ceiling as described above is charged to operations as a full-cost ceiling impairment. Our derivative instruments are not considered in the ceiling test computation as we do not designate these instruments as hedge instruments for accounting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Reserves Quantities and Standardized Measure of Future Net Revenue</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but not limited to, oil and natural gas prices, development expenditures, operating expenses, capital expenditures and taxes.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Factors—Risks Related to our Financial Condition—Our oil and natural gas reserves are estimated and may not reflect the actual volumes of oil and natural gas we will recover, and significant inaccuracies in these reserves estimates or underlying assumptions will materially affect the quantities and present value of our reserves” and “Risk Factors—Risks Related to our Financial Condition—We may be required to write down the carrying value of our proved properties under accounting rules, and these write-downs could adversely affect our financial condition.”</w:t>
      </w:r>
    </w:p>
    <w:p>
      <w:pPr>
        <w:spacing w:after="0" w:line="8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Estimates of proved oil and natural gas reserves are key inputs used for the calculations of depletion, the ceiling test and the fair value assigned to proved oil and natural gas reserves acquired in a business combination. The estimated present value of future net cash flows from proved oil and natural gas reserves is highly dependent upon the quantities of proved reserves, the estimation of which requires substantial judgment. Oil and natural gas reserves are estimated using then-current operating and economic conditions, with no provision for price and cost escalations in future periods except by contractual arrangements. The associated commodity prices and the applicable discount rate used to determine the fair value assigned to proved oil and natural gas reserves acquired in a business combination are based upon a variety of factors on the date of acquisition. The associated commodity prices and the applicable discount rate used in estimates for depletion and the ceiling test are in accordance with guidelines established by the SEC. Under these guidelines, future net revenues are calculated using prices that represent the arithmetic averages of the first-day-of-the-month oil and natural gas prices for the previous 12-month period, and a 10% discount factor is used to determine the present value of future net revenues.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 deferred tax assets where the likelihood of realizing an income tax benefit in the future does not meet the more likely than not criteria for recognition.</w:t>
      </w:r>
    </w:p>
    <w:p>
      <w:pPr>
        <w:spacing w:after="0" w:line="75" w:lineRule="exact"/>
        <w:rPr>
          <w:sz w:val="20"/>
          <w:szCs w:val="20"/>
          <w:color w:val="auto"/>
        </w:rPr>
      </w:pPr>
    </w:p>
    <w:p>
      <w:pPr>
        <w:jc w:val="both"/>
        <w:ind w:right="180" w:firstLine="445"/>
        <w:spacing w:after="0" w:line="261" w:lineRule="auto"/>
        <w:rPr>
          <w:sz w:val="20"/>
          <w:szCs w:val="20"/>
          <w:color w:val="auto"/>
        </w:rPr>
      </w:pPr>
      <w:r>
        <w:rPr>
          <w:rFonts w:ascii="Times New Roman" w:cs="Times New Roman" w:eastAsia="Times New Roman" w:hAnsi="Times New Roman"/>
          <w:sz w:val="18"/>
          <w:szCs w:val="18"/>
          <w:color w:val="auto"/>
        </w:rPr>
        <w:t>We account for uncertainty in income taxes by recognizing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Accounting</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Periodically we acquire assets and assume liabilities in transactions accounted for as business combinations, such as the Advance Acquisition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9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estimating the fair value of assets acquired and liabilities assumed in these transactions, including the Advance Acquisition, we must make a number of estimates and assumptions and may engage third-party valuation experts. The most significant assumptions relate to the estimated fair values of oil and natural gas properties. Significant judgments and assumptions are inherent in these estimates and include, among other things, estimates of future production volumes, estimates of future commodity prices, expected development and operating costs, an estimate of a market-based weighted average cost of capital rate and recent market comparable transactions for unproved acreage.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 to the consolidated financial statements in this Annual Report for a description of recent accounting pronouncements.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spacing w:after="0" w:line="66" w:lineRule="exact"/>
        <w:rPr>
          <w:sz w:val="20"/>
          <w:szCs w:val="20"/>
          <w:color w:val="auto"/>
        </w:rPr>
      </w:pPr>
    </w:p>
    <w:p>
      <w:pPr>
        <w:jc w:val="both"/>
        <w:ind w:right="2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6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w:t>
      </w:r>
    </w:p>
    <w:p>
      <w:pPr>
        <w:spacing w:after="0" w:line="8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We record all derivative financial instruments at fair value. The fair value of our derivative financial instruments is determined using purchase and sale information available for similarly traded securities. At December 31, 2023, Bank of America was the counterparty for our derivative instruments. We have considered the credit standing of the counterparty in determining the fair value of our derivative financial instruments.</w:t>
      </w:r>
    </w:p>
    <w:p>
      <w:pPr>
        <w:spacing w:after="0" w:line="6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2023, we had natural gas basis differential swap contracts open and in place to mitigate our exposure to natural gas price volatility, with a specific term (calculation period), notional quantity (volume hedged) and fixed price.</w:t>
      </w:r>
    </w:p>
    <w:p>
      <w:pPr>
        <w:spacing w:after="0" w:line="54" w:lineRule="exact"/>
        <w:rPr>
          <w:sz w:val="20"/>
          <w:szCs w:val="20"/>
          <w:color w:val="auto"/>
        </w:rPr>
      </w:pPr>
    </w:p>
    <w:p>
      <w:pPr>
        <w:ind w:right="900" w:firstLine="445"/>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in this Annual Report for a summary of our open derivative financial instruments at December 31, 2023. Such information is incorporated herein by reference.</w:t>
      </w:r>
    </w:p>
    <w:p>
      <w:pPr>
        <w:spacing w:after="0" w:line="5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Effect of Derivatives Legislation. </w:t>
      </w:r>
      <w:r>
        <w:rPr>
          <w:rFonts w:ascii="Times New Roman" w:cs="Times New Roman" w:eastAsia="Times New Roman" w:hAnsi="Times New Roman"/>
          <w:sz w:val="18"/>
          <w:szCs w:val="18"/>
          <w:color w:val="auto"/>
        </w:rPr>
        <w:t>The Dodd-Frank Act, among other things, established federal oversight and regulation of certain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including commodity hedges of the type we use. The Dodd-Frank Act requires the CFTC and the SEC to promulgate rules and regulations implementing the Dodd-Frank Act. Although the CFTC has finalized certain 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See “Risk Factors—Risks Related to Laws and Regulations— Derivatives legislation adopted by Congress could have an adverse impact on our ability to hedge risks associated with our business.”</w:t>
      </w:r>
    </w:p>
    <w:p>
      <w:pPr>
        <w:spacing w:after="0" w:line="80"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do not and have not used interest rate derivatives to alter interest rate exposure in an attempt to reduce interest rate expense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debt. At December 31, 2023, we had $500.0 million of outstanding borrowings under our Credit Agreement at an interest rate of 7.21%, $699.2 million of outstanding 2026 Notes at a coupon rate of 5.875%, $500.0 million of outstanding 2028 Notes at a coupon rate of 6.875% and $522.0 million of outstanding borrowings under the San Mateo Credit Facility at an interest rate of 7.71%. If we incur additional indebtedness in the future and at higher interest rates, we may use interest rate derivatives. Interest rate derivatives would be used solely to modify interest rate exposure and not to modify the overall leverage of the debt portfolio.</w:t>
      </w:r>
    </w:p>
    <w:p>
      <w:pPr>
        <w:spacing w:after="0" w:line="74"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Counterparty and customer credit risk. </w:t>
      </w:r>
      <w:r>
        <w:rPr>
          <w:rFonts w:ascii="Times New Roman" w:cs="Times New Roman" w:eastAsia="Times New Roman" w:hAnsi="Times New Roman"/>
          <w:sz w:val="18"/>
          <w:szCs w:val="18"/>
          <w:color w:val="auto"/>
        </w:rPr>
        <w:t>Joint interest receivables arise from billing entities that own partial interests in the wells we operate.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participate in our wells primarily based on their ownership in leases on which we wish to drill. We have limited ability to control participation in our wells. We are also subject to credit risk due to concentration of our oil and natural gas receivables with several significant customers and San Mateo and Pronto are subject to the credit risk of their customers. The inability or failure of our, San Mateo’s or Pronto’s significant customers to meet their obligations or their</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insolvency or liquidation may adversely affect our financial condition, results of operations and cash flows. In addition, our derivative arrangements expose us to credit risk in the event of nonperformance by our counterparties.</w:t>
      </w:r>
    </w:p>
    <w:p>
      <w:pPr>
        <w:spacing w:after="0" w:line="54"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 circumstances. This evaluation requires us to conduct the due diligence necessary to determine credit terms and credit limits, which may include (i) reviewing a counterparty’s credit rating, latest financial information and, in the case of a customer with which we have receivables, its historical payment record and the financial ability of its parent company to make payment if the customer cannot and (ii) undertaking the due diligence necessary to determine credit terms and credit limits. The counterparty on our derivative financial instruments in place at February 20, 2024 was Bank of America, which is also a lender (or affiliate thereof) under our Credit Agreement.</w:t>
      </w:r>
    </w:p>
    <w:p>
      <w:pPr>
        <w:spacing w:after="0" w:line="79"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Impact of inflation</w:t>
      </w:r>
      <w:r>
        <w:rPr>
          <w:rFonts w:ascii="Times New Roman" w:cs="Times New Roman" w:eastAsia="Times New Roman" w:hAnsi="Times New Roman"/>
          <w:sz w:val="18"/>
          <w:szCs w:val="18"/>
          <w:color w:val="auto"/>
        </w:rPr>
        <w:t>. Inflation in the United States has become much more significant in recent years. We do not know how long these inflationary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pressures may persist or the impact they may have on our business moving forward.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the Eagle Ford shale play and the Haynesville shale play. See “Risk Factors—Risks Related to our Financial Condition—Our industry and the broader U.S. economy have experienced higher than expected inflationary pressures in recent years related to increases in oil and natural gas prices, continued supply chain disruptions, labor shortages and geopolitical instability, among other pressures. Should these conditions persist, it may impact our ability to procure services, materials and equipment on a cost-effective basis, or at all, and, as a result, our business, financial condition, results of operations and cash flows could be materially and adversely affected” and “Risk Factors—Risks Related to our Operations—The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financial statements appear at the end of this Annual Report beginning on page F-1.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December 31, 2023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there were no changes in our internal controls that have materially affected or are reasonably likely to have a material effect on our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940" w:firstLine="445"/>
        <w:spacing w:after="0" w:line="282" w:lineRule="auto"/>
        <w:rPr>
          <w:sz w:val="20"/>
          <w:szCs w:val="20"/>
          <w:color w:val="auto"/>
        </w:rPr>
      </w:pPr>
      <w:r>
        <w:rPr>
          <w:rFonts w:ascii="Times New Roman" w:cs="Times New Roman" w:eastAsia="Times New Roman" w:hAnsi="Times New Roman"/>
          <w:sz w:val="18"/>
          <w:szCs w:val="18"/>
          <w:color w:val="auto"/>
        </w:rPr>
        <w:t>KPMG, our independent registered public accounting firm, has issued an attestation report on our controls over financial reporting as of December 31, 2023 as included herein.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Considerations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Matador Resources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Matador Resources Company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changes in shareholders’ equity, and cash flows for each of the years in the three-year period ended December 31, 2023, and the related notes (collectively, the consolidated financial statements), and our report dated February 27, 2024 expressed an unqualified opinion on those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3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3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40" w:firstLine="567"/>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60" w:firstLine="567"/>
        <w:spacing w:after="0" w:line="261" w:lineRule="auto"/>
        <w:rPr>
          <w:sz w:val="20"/>
          <w:szCs w:val="20"/>
          <w:color w:val="auto"/>
        </w:rPr>
      </w:pPr>
      <w:r>
        <w:rPr>
          <w:rFonts w:ascii="Times New Roman" w:cs="Times New Roman" w:eastAsia="Times New Roman" w:hAnsi="Times New Roman"/>
          <w:sz w:val="18"/>
          <w:szCs w:val="18"/>
          <w:color w:val="auto"/>
        </w:rPr>
        <w:t>The information required in response to this Item 10 is incorporated herein by reference to our definitive proxy statement for our 2024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60"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11 is incorporated herein by reference to our Definitive Proxy Statement under the caption “Executive Compensation.”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Certain information regarding securities authorized for issuance under our equity compensation plans is included under the caption “Equity Compensation Plan Information” in Part II, Item 5 of this Annual Report and is incorporated herein by reference. Other information required in response to this Item 12 is incorporated herein by reference to our Definitive Proxy Statement under the caption “Security Ownership of Certain Beneficial Owners and Management.”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13 is incorporated herein by reference to our Definitive Proxy Statement under the captions “Transactions with Related Persons” and “Corporate Governance—Independence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14 is incorporated herein by reference to our Definitive Proxy Statement under the caption “Proposal 4—Ratification of Appointment of KPMG LLP.”</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firstLine="453"/>
        <w:spacing w:after="0" w:line="261" w:lineRule="auto"/>
        <w:tabs>
          <w:tab w:leader="none" w:pos="6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Consolidated Financial Statements, Report of Independent Registered Public Accounting Firm, Consolidated Balance Sheets as of December 31, 2023 and 2022, Consolidated Statements of Income for the Years Ended December 31, 2023, 2022 and 2021, Consolidated Statements of Changes in Shareholders’ Equity for the Years Ended December 31, 2023, 2022 and 2021 and Consolidated Statements of Cash Flows for the Years Ended December 31, 2023, 2022 and 2021.</w:t>
      </w:r>
    </w:p>
    <w:p>
      <w:pPr>
        <w:spacing w:after="0" w:line="69" w:lineRule="exact"/>
        <w:rPr>
          <w:rFonts w:ascii="Times New Roman" w:cs="Times New Roman" w:eastAsia="Times New Roman" w:hAnsi="Times New Roman"/>
          <w:sz w:val="18"/>
          <w:szCs w:val="18"/>
          <w:color w:val="auto"/>
        </w:rPr>
      </w:pPr>
    </w:p>
    <w:p>
      <w:pPr>
        <w:ind w:right="160" w:firstLine="453"/>
        <w:spacing w:after="0" w:line="284" w:lineRule="auto"/>
        <w:tabs>
          <w:tab w:leader="none" w:pos="6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other schedules for which provision is made in the applicable accounting regulations of the SEC are omitted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required information is either not applicable, not required or is shown in the respective financial statements or in the notes thereto.</w:t>
      </w:r>
    </w:p>
    <w:p>
      <w:pPr>
        <w:spacing w:after="0" w:line="5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exhibits required to be filed by this Item 15 are set forth in the Exhibit Index included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1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8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064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37" w:lineRule="exact"/>
        <w:rPr>
          <w:sz w:val="20"/>
          <w:szCs w:val="20"/>
          <w:color w:val="auto"/>
        </w:rPr>
      </w:pPr>
    </w:p>
    <w:p>
      <w:pPr>
        <w:ind w:left="820" w:right="539" w:hanging="633"/>
        <w:spacing w:after="0" w:line="22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114">
        <w:r>
          <w:rPr>
            <w:rFonts w:ascii="Times New Roman" w:cs="Times New Roman" w:eastAsia="Times New Roman" w:hAnsi="Times New Roman"/>
            <w:sz w:val="18"/>
            <w:szCs w:val="18"/>
            <w:u w:val="single" w:color="auto"/>
            <w:color w:val="0000FF"/>
          </w:rPr>
          <w:t>Securities Purchase Agreement, dated January 24, 2023, by and among MRC Hat Mesa, LLC, MRC Energy Company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(solely for the limited purposes stated therein), AEP EnCap HoldCo, LLC, Ameradvance Management LLC and Advance</w:t>
        </w:r>
      </w:hyperlink>
    </w:p>
    <w:p>
      <w:pPr>
        <w:spacing w:after="0" w:line="2" w:lineRule="exact"/>
        <w:rPr>
          <w:sz w:val="20"/>
          <w:szCs w:val="20"/>
          <w:color w:val="auto"/>
        </w:rPr>
      </w:pPr>
    </w:p>
    <w:p>
      <w:pPr>
        <w:ind w:left="820" w:right="879"/>
        <w:spacing w:after="0" w:line="226"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Energy Partners Holdings, LLC (incorporated by reference to Exhibit 2.1 to the Current Report on Form 8-K filed on</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January 24, 2023).</w:t>
        </w:r>
      </w:hyperlink>
    </w:p>
    <w:p>
      <w:pPr>
        <w:spacing w:after="0" w:line="49" w:lineRule="exact"/>
        <w:rPr>
          <w:sz w:val="20"/>
          <w:szCs w:val="20"/>
          <w:color w:val="auto"/>
        </w:rPr>
      </w:pPr>
    </w:p>
    <w:p>
      <w:pPr>
        <w:ind w:left="820" w:right="799" w:hanging="588"/>
        <w:spacing w:after="0" w:line="263" w:lineRule="auto"/>
        <w:tabs>
          <w:tab w:leader="none" w:pos="8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0000FF"/>
        </w:rPr>
        <w:t>Amendment No. 1 to Securities Purchase Agreement, dated April 5, 2023, by and among MRC Hat Mesa, LLC, AEP EnCap HoldCo, LLC, Ameradvance Management LLC and Advance Energy Partners Holdings, LLC (filed herewith).</w:t>
      </w:r>
    </w:p>
    <w:p>
      <w:pPr>
        <w:spacing w:after="0" w:line="44" w:lineRule="exact"/>
        <w:rPr>
          <w:sz w:val="20"/>
          <w:szCs w:val="20"/>
          <w:color w:val="auto"/>
        </w:rPr>
      </w:pPr>
    </w:p>
    <w:p>
      <w:pPr>
        <w:ind w:left="820" w:right="459" w:hanging="633"/>
        <w:spacing w:after="0" w:line="236" w:lineRule="auto"/>
        <w:tabs>
          <w:tab w:leader="none" w:pos="8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0000FF"/>
        </w:rPr>
        <w:t>Waiver and Release Agreement and Amendment No. 2 to Securities Purchase Agreement, dated December 1, 2023, by and among MRC Hat Mesa, LLC, AEP EnCap HoldCo, LLC, Ameradvance Management LLC and Advance Energy Partners</w:t>
      </w:r>
    </w:p>
    <w:p>
      <w:pPr>
        <w:ind w:left="820"/>
        <w:spacing w:after="0"/>
        <w:rPr>
          <w:sz w:val="20"/>
          <w:szCs w:val="20"/>
          <w:color w:val="auto"/>
        </w:rPr>
      </w:pPr>
      <w:r>
        <w:rPr>
          <w:rFonts w:ascii="Times New Roman" w:cs="Times New Roman" w:eastAsia="Times New Roman" w:hAnsi="Times New Roman"/>
          <w:sz w:val="18"/>
          <w:szCs w:val="18"/>
          <w:u w:val="single" w:color="auto"/>
          <w:color w:val="0000FF"/>
        </w:rPr>
        <w:t>Holdings, LLC (filed herewith).</w:t>
      </w:r>
    </w:p>
    <w:p>
      <w:pPr>
        <w:spacing w:after="0" w:line="57" w:lineRule="exact"/>
        <w:rPr>
          <w:sz w:val="20"/>
          <w:szCs w:val="20"/>
          <w:color w:val="auto"/>
        </w:rPr>
      </w:pPr>
    </w:p>
    <w:p>
      <w:pPr>
        <w:ind w:left="820" w:right="499" w:hanging="58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15">
        <w:r>
          <w:rPr>
            <w:rFonts w:ascii="Times New Roman" w:cs="Times New Roman" w:eastAsia="Times New Roman" w:hAnsi="Times New Roman"/>
            <w:sz w:val="18"/>
            <w:szCs w:val="18"/>
            <w:u w:val="single" w:color="auto"/>
            <w:color w:val="0000FF"/>
          </w:rPr>
          <w:t>Amended and Restated Certificate of Formation of Matador Resources Company (incorporated by reference to Exhibit 3.2</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to the Quarterly Report on Form 10-Q for the quarter ended June 30, 2017).</w:t>
        </w:r>
      </w:hyperlink>
    </w:p>
    <w:p>
      <w:pPr>
        <w:spacing w:after="0" w:line="64" w:lineRule="exact"/>
        <w:rPr>
          <w:sz w:val="20"/>
          <w:szCs w:val="20"/>
          <w:color w:val="auto"/>
        </w:rPr>
      </w:pPr>
    </w:p>
    <w:p>
      <w:pPr>
        <w:ind w:left="820" w:right="379" w:hanging="588"/>
        <w:spacing w:after="0" w:line="22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16">
        <w:r>
          <w:rPr>
            <w:rFonts w:ascii="Times New Roman" w:cs="Times New Roman" w:eastAsia="Times New Roman" w:hAnsi="Times New Roman"/>
            <w:sz w:val="18"/>
            <w:szCs w:val="18"/>
            <w:u w:val="single" w:color="auto"/>
            <w:color w:val="0000FF"/>
          </w:rPr>
          <w:t>Certificate of Amendment to the Amended and Restated Certificate of Formation of Matador Resources Company dated</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April 2, 2015 (incorporated by reference to Exhibit 3.3 to the Quarterly Report on Form 10-Q for the quarter ended June 30,</w:t>
        </w:r>
      </w:hyperlink>
    </w:p>
    <w:p>
      <w:pPr>
        <w:spacing w:after="0" w:line="2"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2017).</w:t>
        </w:r>
      </w:hyperlink>
    </w:p>
    <w:p>
      <w:pPr>
        <w:spacing w:after="0" w:line="57" w:lineRule="exact"/>
        <w:rPr>
          <w:sz w:val="20"/>
          <w:szCs w:val="20"/>
          <w:color w:val="auto"/>
        </w:rPr>
      </w:pPr>
    </w:p>
    <w:p>
      <w:pPr>
        <w:jc w:val="right"/>
        <w:ind w:left="240" w:right="419"/>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3.3    </w:t>
      </w:r>
      <w:hyperlink r:id="rId117">
        <w:r>
          <w:rPr>
            <w:rFonts w:ascii="Times New Roman" w:cs="Times New Roman" w:eastAsia="Times New Roman" w:hAnsi="Times New Roman"/>
            <w:sz w:val="18"/>
            <w:szCs w:val="18"/>
            <w:u w:val="single" w:color="auto"/>
            <w:color w:val="0000FF"/>
          </w:rPr>
          <w:t>Certificate of Amendment to the Amended and Restated Certificate of Formation of Matador Resources Company effective</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June 2, 2017 (incorporated by reference to Exhibit 3.4 to the Quarterly Report on Form 10-Q for the quarter ended June 30,</w:t>
        </w:r>
      </w:hyperlink>
    </w:p>
    <w:p>
      <w:pPr>
        <w:spacing w:after="0" w:line="2"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2017).</w:t>
        </w:r>
      </w:hyperlink>
    </w:p>
    <w:p>
      <w:pPr>
        <w:spacing w:after="0" w:line="57" w:lineRule="exact"/>
        <w:rPr>
          <w:sz w:val="20"/>
          <w:szCs w:val="20"/>
          <w:color w:val="auto"/>
        </w:rPr>
      </w:pPr>
    </w:p>
    <w:p>
      <w:pPr>
        <w:ind w:left="820" w:right="599" w:hanging="58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18">
        <w:r>
          <w:rPr>
            <w:rFonts w:ascii="Times New Roman" w:cs="Times New Roman" w:eastAsia="Times New Roman" w:hAnsi="Times New Roman"/>
            <w:sz w:val="18"/>
            <w:szCs w:val="18"/>
            <w:u w:val="single" w:color="auto"/>
            <w:color w:val="0000FF"/>
          </w:rPr>
          <w:t>Amended and Restated Bylaws of Matador Resources Company, as amended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the Current Report on Form 8-K filed on February 22, 2018).</w:t>
        </w:r>
      </w:hyperlink>
    </w:p>
    <w:p>
      <w:pPr>
        <w:spacing w:after="0" w:line="64" w:lineRule="exact"/>
        <w:rPr>
          <w:sz w:val="20"/>
          <w:szCs w:val="20"/>
          <w:color w:val="auto"/>
        </w:rPr>
      </w:pPr>
    </w:p>
    <w:p>
      <w:pPr>
        <w:ind w:left="820" w:right="839" w:hanging="58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19">
        <w:r>
          <w:rPr>
            <w:rFonts w:ascii="Times New Roman" w:cs="Times New Roman" w:eastAsia="Times New Roman" w:hAnsi="Times New Roman"/>
            <w:sz w:val="18"/>
            <w:szCs w:val="18"/>
            <w:u w:val="single" w:color="auto"/>
            <w:color w:val="0000FF"/>
          </w:rPr>
          <w:t>Form of Common Stock Certificate (incorporated by reference to Exhibit 4.1 to Amendment No. 4 to the Registration</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Statement on Form S-1 filed on January 19, 2012).</w:t>
        </w:r>
      </w:hyperlink>
    </w:p>
    <w:p>
      <w:pPr>
        <w:spacing w:after="0" w:line="64" w:lineRule="exact"/>
        <w:rPr>
          <w:sz w:val="20"/>
          <w:szCs w:val="20"/>
          <w:color w:val="auto"/>
        </w:rPr>
      </w:pPr>
    </w:p>
    <w:p>
      <w:pPr>
        <w:ind w:left="820" w:right="379" w:hanging="588"/>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20">
        <w:r>
          <w:rPr>
            <w:rFonts w:ascii="Times New Roman" w:cs="Times New Roman" w:eastAsia="Times New Roman" w:hAnsi="Times New Roman"/>
            <w:sz w:val="17"/>
            <w:szCs w:val="17"/>
            <w:u w:val="single" w:color="auto"/>
            <w:color w:val="0000FF"/>
          </w:rPr>
          <w:t>Indenture, dated as of August 21, 2018, by and among Matador Resources Company, the subsidiary guarantors party thereto</w:t>
        </w:r>
      </w:hyperlink>
      <w:r>
        <w:rPr>
          <w:rFonts w:ascii="Times New Roman" w:cs="Times New Roman" w:eastAsia="Times New Roman" w:hAnsi="Times New Roman"/>
          <w:sz w:val="17"/>
          <w:szCs w:val="17"/>
          <w:u w:val="single" w:color="auto"/>
          <w:color w:val="0000FF"/>
        </w:rPr>
        <w:t xml:space="preserve"> </w:t>
      </w:r>
      <w:hyperlink r:id="rId120">
        <w:r>
          <w:rPr>
            <w:rFonts w:ascii="Times New Roman" w:cs="Times New Roman" w:eastAsia="Times New Roman" w:hAnsi="Times New Roman"/>
            <w:sz w:val="17"/>
            <w:szCs w:val="17"/>
            <w:u w:val="single" w:color="auto"/>
            <w:color w:val="0000FF"/>
          </w:rPr>
          <w:t>and Wells Fargo Bank, National Association, as trustee (incorporated by reference to Exhibit 4.1 to the Current Report on</w:t>
        </w:r>
      </w:hyperlink>
    </w:p>
    <w:p>
      <w:pPr>
        <w:ind w:left="82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Form 8-K filed on August 21, 2018).</w:t>
        </w:r>
      </w:hyperlink>
    </w:p>
    <w:p>
      <w:pPr>
        <w:spacing w:after="0" w:line="57" w:lineRule="exact"/>
        <w:rPr>
          <w:sz w:val="20"/>
          <w:szCs w:val="20"/>
          <w:color w:val="auto"/>
        </w:rPr>
      </w:pPr>
    </w:p>
    <w:p>
      <w:pPr>
        <w:ind w:left="820" w:right="619" w:hanging="588"/>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21">
        <w:r>
          <w:rPr>
            <w:rFonts w:ascii="Times New Roman" w:cs="Times New Roman" w:eastAsia="Times New Roman" w:hAnsi="Times New Roman"/>
            <w:sz w:val="17"/>
            <w:szCs w:val="17"/>
            <w:u w:val="single" w:color="auto"/>
            <w:color w:val="0000FF"/>
          </w:rPr>
          <w:t>First Supplemental Indenture, dated as of February 27, 2019, by and among Matador Resources Company, WR Permian,</w:t>
        </w:r>
      </w:hyperlink>
      <w:r>
        <w:rPr>
          <w:rFonts w:ascii="Times New Roman" w:cs="Times New Roman" w:eastAsia="Times New Roman" w:hAnsi="Times New Roman"/>
          <w:sz w:val="17"/>
          <w:szCs w:val="17"/>
          <w:u w:val="single" w:color="auto"/>
          <w:color w:val="0000FF"/>
        </w:rPr>
        <w:t xml:space="preserve"> </w:t>
      </w:r>
      <w:hyperlink r:id="rId121">
        <w:r>
          <w:rPr>
            <w:rFonts w:ascii="Times New Roman" w:cs="Times New Roman" w:eastAsia="Times New Roman" w:hAnsi="Times New Roman"/>
            <w:sz w:val="17"/>
            <w:szCs w:val="17"/>
            <w:u w:val="single" w:color="auto"/>
            <w:color w:val="0000FF"/>
          </w:rPr>
          <w:t>LLC, the subsidiary guarantors party thereto and Wells Fargo Bank, National Association, as trustee (incorporated by</w:t>
        </w:r>
      </w:hyperlink>
    </w:p>
    <w:p>
      <w:pPr>
        <w:ind w:left="82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reference to Exhibit 4.3 to the Annual Report on Form 10-K for the year ended December 31, 2018).</w:t>
        </w:r>
      </w:hyperlink>
    </w:p>
    <w:p>
      <w:pPr>
        <w:spacing w:after="0" w:line="57" w:lineRule="exact"/>
        <w:rPr>
          <w:sz w:val="20"/>
          <w:szCs w:val="20"/>
          <w:color w:val="auto"/>
        </w:rPr>
      </w:pPr>
    </w:p>
    <w:p>
      <w:pPr>
        <w:ind w:left="820" w:right="759" w:hanging="588"/>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22">
        <w:r>
          <w:rPr>
            <w:rFonts w:ascii="Times New Roman" w:cs="Times New Roman" w:eastAsia="Times New Roman" w:hAnsi="Times New Roman"/>
            <w:sz w:val="17"/>
            <w:szCs w:val="17"/>
            <w:u w:val="single" w:color="auto"/>
            <w:color w:val="0000FF"/>
          </w:rPr>
          <w:t>Second Supplemental Indenture, dated as of December 14, 2021, by and among Matador Resources Company, the</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subsidiary guarantors party thereto and Computershare Trust Company, N. A., as agent for Wells Fargo Bank, National</w:t>
        </w:r>
      </w:hyperlink>
    </w:p>
    <w:p>
      <w:pPr>
        <w:ind w:left="820" w:right="499"/>
        <w:spacing w:after="0" w:line="226"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Association, as trustee (incorporated by reference to Exhibit 4.1 to the Current Report on Form 8-K filed on December 14,</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2021).</w:t>
        </w:r>
      </w:hyperlink>
    </w:p>
    <w:p>
      <w:pPr>
        <w:spacing w:after="0" w:line="49" w:lineRule="exact"/>
        <w:rPr>
          <w:sz w:val="20"/>
          <w:szCs w:val="20"/>
          <w:color w:val="auto"/>
        </w:rPr>
      </w:pPr>
    </w:p>
    <w:p>
      <w:pPr>
        <w:ind w:left="820" w:right="519" w:hanging="588"/>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123">
        <w:r>
          <w:rPr>
            <w:rFonts w:ascii="Times New Roman" w:cs="Times New Roman" w:eastAsia="Times New Roman" w:hAnsi="Times New Roman"/>
            <w:sz w:val="17"/>
            <w:szCs w:val="17"/>
            <w:u w:val="single" w:color="auto"/>
            <w:color w:val="0000FF"/>
          </w:rPr>
          <w:t>Indenture, dated as of April 11, 2023, by and among Matador Resources Company, the subsidiary guarantors party thereto</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and Computershare Trust Company, N.A., as trustee (incorporated by reference to Exhibit 4.1 to the Current Report on</w:t>
        </w:r>
      </w:hyperlink>
    </w:p>
    <w:p>
      <w:pPr>
        <w:ind w:left="82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Form 8-K filed on April 11, 2023).</w:t>
        </w:r>
      </w:hyperlink>
    </w:p>
    <w:p>
      <w:pPr>
        <w:spacing w:after="0" w:line="57" w:lineRule="exact"/>
        <w:rPr>
          <w:sz w:val="20"/>
          <w:szCs w:val="20"/>
          <w:color w:val="auto"/>
        </w:rPr>
      </w:pPr>
    </w:p>
    <w:p>
      <w:pPr>
        <w:ind w:left="820" w:right="699" w:hanging="588"/>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124">
        <w:r>
          <w:rPr>
            <w:rFonts w:ascii="Times New Roman" w:cs="Times New Roman" w:eastAsia="Times New Roman" w:hAnsi="Times New Roman"/>
            <w:sz w:val="17"/>
            <w:szCs w:val="17"/>
            <w:u w:val="single" w:color="auto"/>
            <w:color w:val="0000FF"/>
          </w:rPr>
          <w:t>Third Supplemental Indenture, dated as of July 25, 2023, by and among Matador Resources Company, MRC Hat Mesa,</w:t>
        </w:r>
      </w:hyperlink>
      <w:r>
        <w:rPr>
          <w:rFonts w:ascii="Times New Roman" w:cs="Times New Roman" w:eastAsia="Times New Roman" w:hAnsi="Times New Roman"/>
          <w:sz w:val="17"/>
          <w:szCs w:val="17"/>
          <w:u w:val="single" w:color="auto"/>
          <w:color w:val="0000FF"/>
        </w:rPr>
        <w:t xml:space="preserve"> </w:t>
      </w:r>
      <w:hyperlink r:id="rId124">
        <w:r>
          <w:rPr>
            <w:rFonts w:ascii="Times New Roman" w:cs="Times New Roman" w:eastAsia="Times New Roman" w:hAnsi="Times New Roman"/>
            <w:sz w:val="17"/>
            <w:szCs w:val="17"/>
            <w:u w:val="single" w:color="auto"/>
            <w:color w:val="0000FF"/>
          </w:rPr>
          <w:t>LLC, the subsidiary guarantors party thereto and Computershare Trust Company, N.A., as trustee (incorporated by</w:t>
        </w:r>
      </w:hyperlink>
    </w:p>
    <w:p>
      <w:pPr>
        <w:ind w:left="82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reference to Exhibit 4.2 to the Quarterly Report on Form 10-Q for the quarter ended June 30, 2023).</w:t>
        </w:r>
      </w:hyperlink>
    </w:p>
    <w:p>
      <w:pPr>
        <w:spacing w:after="0" w:line="57" w:lineRule="exact"/>
        <w:rPr>
          <w:sz w:val="20"/>
          <w:szCs w:val="20"/>
          <w:color w:val="auto"/>
        </w:rPr>
      </w:pPr>
    </w:p>
    <w:p>
      <w:pPr>
        <w:ind w:left="820" w:right="779" w:hanging="588"/>
        <w:spacing w:after="0" w:line="236"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125">
        <w:r>
          <w:rPr>
            <w:rFonts w:ascii="Times New Roman" w:cs="Times New Roman" w:eastAsia="Times New Roman" w:hAnsi="Times New Roman"/>
            <w:sz w:val="17"/>
            <w:szCs w:val="17"/>
            <w:u w:val="single" w:color="auto"/>
            <w:color w:val="0000FF"/>
          </w:rPr>
          <w:t>First Supplemental Indenture, dated as of July 25, 2023, by and among Matador Resources Company, MRC Hat Mesa,</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LLC, the subsidiary guarantors party thereto and Computershare Trust Company, N.A., as trustee (incorporated by</w:t>
        </w:r>
      </w:hyperlink>
    </w:p>
    <w:p>
      <w:pPr>
        <w:ind w:left="82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reference to Exhibit 4.3 to the Quarterly Report on Form 10-Q for the quarter ended June 30, 2023).</w:t>
        </w:r>
      </w:hyperlink>
    </w:p>
    <w:p>
      <w:pPr>
        <w:spacing w:after="0" w:line="57" w:lineRule="exact"/>
        <w:rPr>
          <w:sz w:val="20"/>
          <w:szCs w:val="20"/>
          <w:color w:val="auto"/>
        </w:rPr>
      </w:pPr>
    </w:p>
    <w:p>
      <w:pPr>
        <w:ind w:left="820" w:right="779" w:hanging="58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126">
        <w:r>
          <w:rPr>
            <w:rFonts w:ascii="Times New Roman" w:cs="Times New Roman" w:eastAsia="Times New Roman" w:hAnsi="Times New Roman"/>
            <w:sz w:val="18"/>
            <w:szCs w:val="18"/>
            <w:u w:val="single" w:color="auto"/>
            <w:color w:val="0000FF"/>
          </w:rPr>
          <w:t>Description of Capital Stock (incorporated by reference to Exhibit 4.4 to the Annual Report on Form 10-K for the year</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ended December 31, 2019).</w:t>
        </w:r>
      </w:hyperlink>
    </w:p>
    <w:p>
      <w:pPr>
        <w:spacing w:after="0" w:line="64" w:lineRule="exact"/>
        <w:rPr>
          <w:sz w:val="20"/>
          <w:szCs w:val="20"/>
          <w:color w:val="auto"/>
        </w:rPr>
      </w:pPr>
    </w:p>
    <w:p>
      <w:pPr>
        <w:jc w:val="center"/>
        <w:ind w:right="739"/>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127">
        <w:r>
          <w:rPr>
            <w:rFonts w:ascii="Times New Roman" w:cs="Times New Roman" w:eastAsia="Times New Roman" w:hAnsi="Times New Roman"/>
            <w:sz w:val="18"/>
            <w:szCs w:val="18"/>
            <w:u w:val="single" w:color="auto"/>
            <w:color w:val="0000FF"/>
          </w:rPr>
          <w:t>Employment Agreement between Matador Resources Company and Joseph Wm. Foran (incorporated by reference to</w:t>
        </w:r>
      </w:hyperlink>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FF"/>
          </w:rPr>
          <w:t>Exhibit 10.3 to Amendment No. 1 to the Registration Statement on Form S-1 filed on November 14, 2011).</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20" w:right="1039" w:hanging="67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29">
        <w:r>
          <w:rPr>
            <w:rFonts w:ascii="Times New Roman" w:cs="Times New Roman" w:eastAsia="Times New Roman" w:hAnsi="Times New Roman"/>
            <w:sz w:val="18"/>
            <w:szCs w:val="18"/>
            <w:u w:val="single" w:color="auto"/>
            <w:color w:val="0000FF"/>
          </w:rPr>
          <w:t>First Amendment to the Employment Agreement between Matador Resources Company and Joseph Wm. Foran</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(incorporated by reference to Exhibit 10.8 to Amendment No. 1 to the Registration Statement on Form S-1 filed on</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November 14, 2011).</w:t>
        </w:r>
      </w:hyperlink>
    </w:p>
    <w:p>
      <w:pPr>
        <w:spacing w:after="0" w:line="63" w:lineRule="exact"/>
        <w:rPr>
          <w:rFonts w:ascii="Times New Roman" w:cs="Times New Roman" w:eastAsia="Times New Roman" w:hAnsi="Times New Roman"/>
          <w:sz w:val="18"/>
          <w:szCs w:val="18"/>
          <w:u w:val="single" w:color="auto"/>
          <w:color w:val="0000FF"/>
        </w:rPr>
      </w:pPr>
    </w:p>
    <w:p>
      <w:pPr>
        <w:ind w:left="820" w:right="939" w:hanging="67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30">
        <w:r>
          <w:rPr>
            <w:rFonts w:ascii="Times New Roman" w:cs="Times New Roman" w:eastAsia="Times New Roman" w:hAnsi="Times New Roman"/>
            <w:sz w:val="18"/>
            <w:szCs w:val="18"/>
            <w:u w:val="single" w:color="auto"/>
            <w:color w:val="0000FF"/>
          </w:rPr>
          <w:t>Second Amendment to the Employment Agreement between Matador Resources Company and Joseph Wm. Foran</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(incorporated by reference to Exhibit 10.12 to Amendment No. 2 to the Registration Statement on Form S-1 filed on</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December 30, 2011).</w:t>
        </w:r>
      </w:hyperlink>
    </w:p>
    <w:p>
      <w:pPr>
        <w:spacing w:after="0" w:line="63" w:lineRule="exact"/>
        <w:rPr>
          <w:rFonts w:ascii="Times New Roman" w:cs="Times New Roman" w:eastAsia="Times New Roman" w:hAnsi="Times New Roman"/>
          <w:sz w:val="18"/>
          <w:szCs w:val="18"/>
          <w:u w:val="single" w:color="auto"/>
          <w:color w:val="0000FF"/>
        </w:rPr>
      </w:pPr>
    </w:p>
    <w:p>
      <w:pPr>
        <w:ind w:left="820" w:right="419" w:hanging="67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31">
        <w:r>
          <w:rPr>
            <w:rFonts w:ascii="Times New Roman" w:cs="Times New Roman" w:eastAsia="Times New Roman" w:hAnsi="Times New Roman"/>
            <w:sz w:val="18"/>
            <w:szCs w:val="18"/>
            <w:u w:val="single" w:color="auto"/>
            <w:color w:val="0000FF"/>
          </w:rPr>
          <w:t>Form of Employment Agreement between Matador Resources Company and Craig N. Adams (incorporated by reference to</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Exhibit 10.51 to the Annual Report on Form 10-K for the year ended December 31, 2013).</w:t>
        </w:r>
      </w:hyperlink>
    </w:p>
    <w:p>
      <w:pPr>
        <w:spacing w:after="0" w:line="52" w:lineRule="exact"/>
        <w:rPr>
          <w:sz w:val="20"/>
          <w:szCs w:val="20"/>
          <w:color w:val="auto"/>
        </w:rPr>
      </w:pPr>
    </w:p>
    <w:p>
      <w:pPr>
        <w:ind w:left="140"/>
        <w:spacing w:after="0"/>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32">
        <w:r>
          <w:rPr>
            <w:rFonts w:ascii="Times New Roman" w:cs="Times New Roman" w:eastAsia="Times New Roman" w:hAnsi="Times New Roman"/>
            <w:sz w:val="17"/>
            <w:szCs w:val="17"/>
            <w:u w:val="single" w:color="auto"/>
            <w:color w:val="0000FF"/>
          </w:rPr>
          <w:t>Form of Employment Agreement between Matador Resources Company and Van H. Singleton, II, effective February 5,</w:t>
        </w:r>
      </w:hyperlink>
    </w:p>
    <w:p>
      <w:pPr>
        <w:ind w:left="820"/>
        <w:spacing w:after="0" w:line="203"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2015 (incorporated by reference to Exhibit 10.52 to the Annual Report on Form 10-K for the year ended December 31,</w:t>
        </w:r>
      </w:hyperlink>
    </w:p>
    <w:p>
      <w:pPr>
        <w:ind w:left="82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2014).</w:t>
        </w:r>
      </w:hyperlink>
    </w:p>
    <w:p>
      <w:pPr>
        <w:spacing w:after="0" w:line="70" w:lineRule="exact"/>
        <w:rPr>
          <w:sz w:val="20"/>
          <w:szCs w:val="20"/>
          <w:color w:val="auto"/>
        </w:rPr>
      </w:pPr>
    </w:p>
    <w:p>
      <w:pPr>
        <w:jc w:val="both"/>
        <w:ind w:left="820" w:right="379" w:hanging="67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33">
        <w:r>
          <w:rPr>
            <w:rFonts w:ascii="Times New Roman" w:cs="Times New Roman" w:eastAsia="Times New Roman" w:hAnsi="Times New Roman"/>
            <w:sz w:val="18"/>
            <w:szCs w:val="18"/>
            <w:u w:val="single" w:color="auto"/>
            <w:color w:val="0000FF"/>
          </w:rPr>
          <w:t>Form of Employment Agreement between Matador Resources Company and each of Billy E. Goodwin and G. Gregg Krug,</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effective February 19, 2016 (incorporated by reference to Exhibit 10.1 to the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ended March 31, 2017).</w:t>
        </w:r>
      </w:hyperlink>
    </w:p>
    <w:p>
      <w:pPr>
        <w:spacing w:after="0" w:line="63" w:lineRule="exact"/>
        <w:rPr>
          <w:rFonts w:ascii="Times New Roman" w:cs="Times New Roman" w:eastAsia="Times New Roman" w:hAnsi="Times New Roman"/>
          <w:sz w:val="18"/>
          <w:szCs w:val="18"/>
          <w:u w:val="single" w:color="auto"/>
          <w:color w:val="0000FF"/>
        </w:rPr>
      </w:pPr>
    </w:p>
    <w:p>
      <w:pPr>
        <w:ind w:left="820" w:right="799" w:hanging="678"/>
        <w:spacing w:after="0" w:line="263"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34">
        <w:r>
          <w:rPr>
            <w:rFonts w:ascii="Times New Roman" w:cs="Times New Roman" w:eastAsia="Times New Roman" w:hAnsi="Times New Roman"/>
            <w:sz w:val="17"/>
            <w:szCs w:val="17"/>
            <w:u w:val="single" w:color="auto"/>
            <w:color w:val="0000FF"/>
          </w:rPr>
          <w:t>First Amendment to the Employment Agreement between Matador Resources Company and Billy E. Goodwin</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(incorporated by reference to Exhibit 10.1 to the Quarterly Report on Form 10-Q for the quarter ended June 30, 2018).</w:t>
        </w:r>
      </w:hyperlink>
    </w:p>
    <w:p>
      <w:pPr>
        <w:spacing w:after="0" w:line="44" w:lineRule="exact"/>
        <w:rPr>
          <w:sz w:val="20"/>
          <w:szCs w:val="20"/>
          <w:color w:val="auto"/>
        </w:rPr>
      </w:pPr>
    </w:p>
    <w:p>
      <w:pPr>
        <w:ind w:left="820" w:right="499" w:hanging="678"/>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35">
        <w:r>
          <w:rPr>
            <w:rFonts w:ascii="Times New Roman" w:cs="Times New Roman" w:eastAsia="Times New Roman" w:hAnsi="Times New Roman"/>
            <w:sz w:val="18"/>
            <w:szCs w:val="18"/>
            <w:u w:val="single" w:color="auto"/>
            <w:color w:val="0000FF"/>
          </w:rPr>
          <w:t>First Amendment to the Employment Agreement between Matador Resources Company and G. Gregg Krug (incorporated</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by reference to Exhibit 10.4 to the Quarterly Report on Form 10-Q for the quarter ended June 30, 2019).</w:t>
        </w:r>
      </w:hyperlink>
    </w:p>
    <w:p>
      <w:pPr>
        <w:spacing w:after="0" w:line="199" w:lineRule="exact"/>
        <w:rPr>
          <w:sz w:val="20"/>
          <w:szCs w:val="20"/>
          <w:color w:val="auto"/>
        </w:rPr>
      </w:pPr>
    </w:p>
    <w:p>
      <w:pPr>
        <w:ind w:left="820" w:right="399" w:hanging="678"/>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36">
        <w:r>
          <w:rPr>
            <w:rFonts w:ascii="Times New Roman" w:cs="Times New Roman" w:eastAsia="Times New Roman" w:hAnsi="Times New Roman"/>
            <w:sz w:val="18"/>
            <w:szCs w:val="18"/>
            <w:u w:val="single" w:color="auto"/>
            <w:color w:val="0000FF"/>
          </w:rPr>
          <w:t>Form of Employment Agreement between Matador Resources Company and each of Michael D. Frenzel, W. Thomas</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Elsener and Brian J. Willey (incorporated by reference to Exhibit 10.1 to the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ended September 20, 2022).</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37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37">
        <w:r>
          <w:rPr>
            <w:rFonts w:ascii="Times New Roman" w:cs="Times New Roman" w:eastAsia="Times New Roman" w:hAnsi="Times New Roman"/>
            <w:sz w:val="18"/>
            <w:szCs w:val="18"/>
            <w:u w:val="single" w:color="auto"/>
            <w:color w:val="0000FF"/>
          </w:rPr>
          <w:t>Form of Indemnification Agreement between Matador Resources Company and each of the directors and executive officers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thereof (incorporated by reference to Exhibit 10.22 to Amendment No. 1 to the Registration Statement on Form S-1 filed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November 14, 2011).</w:t>
        </w:r>
      </w:hyperlink>
    </w:p>
    <w:p>
      <w:pPr>
        <w:spacing w:after="0" w:line="63" w:lineRule="exact"/>
        <w:rPr>
          <w:rFonts w:ascii="Times New Roman" w:cs="Times New Roman" w:eastAsia="Times New Roman" w:hAnsi="Times New Roman"/>
          <w:sz w:val="18"/>
          <w:szCs w:val="18"/>
          <w:u w:val="single" w:color="auto"/>
          <w:color w:val="0000FF"/>
        </w:rPr>
      </w:pPr>
    </w:p>
    <w:p>
      <w:pPr>
        <w:ind w:left="820" w:right="559" w:hanging="675"/>
        <w:spacing w:after="0" w:line="22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38">
        <w:r>
          <w:rPr>
            <w:rFonts w:ascii="Times New Roman" w:cs="Times New Roman" w:eastAsia="Times New Roman" w:hAnsi="Times New Roman"/>
            <w:sz w:val="17"/>
            <w:szCs w:val="17"/>
            <w:u w:val="single" w:color="auto"/>
            <w:color w:val="0000FF"/>
          </w:rPr>
          <w:t>Second Amended and Restated Pledge and Security Agreement, by and among MRC Energy Company, Longwood</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Gathering and Disposal Systems GP, Inc. and Royal Bank of Canada, as Administrative Agent, dated as of September 28,</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2012 (incorporated by reference to Exhibit 10.49 to the Annual Report on Form 10-K for the year ended December 31,</w:t>
        </w:r>
      </w:hyperlink>
    </w:p>
    <w:p>
      <w:pPr>
        <w:ind w:left="82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2012).</w:t>
        </w:r>
      </w:hyperlink>
    </w:p>
    <w:p>
      <w:pPr>
        <w:spacing w:after="0" w:line="57" w:lineRule="exact"/>
        <w:rPr>
          <w:rFonts w:ascii="Times New Roman" w:cs="Times New Roman" w:eastAsia="Times New Roman" w:hAnsi="Times New Roman"/>
          <w:sz w:val="17"/>
          <w:szCs w:val="17"/>
          <w:u w:val="single" w:color="auto"/>
          <w:color w:val="0000FF"/>
        </w:rPr>
      </w:pPr>
    </w:p>
    <w:p>
      <w:pPr>
        <w:ind w:left="820" w:right="579" w:hanging="678"/>
        <w:spacing w:after="0" w:line="22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39">
        <w:r>
          <w:rPr>
            <w:rFonts w:ascii="Times New Roman" w:cs="Times New Roman" w:eastAsia="Times New Roman" w:hAnsi="Times New Roman"/>
            <w:sz w:val="17"/>
            <w:szCs w:val="17"/>
            <w:u w:val="single" w:color="auto"/>
            <w:color w:val="0000FF"/>
          </w:rPr>
          <w:t>Second Amended, Restated and Consolidated Unconditional Guaranty, by and among MRC Permian Company, MRC</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Rockies Company, Matador Production Company, Longwood Gathering and Disposal Systems GP, Inc., Longwood</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Gathering and Disposal Systems, LP, Matador Resources Company and Royal Bank of Canada, as Administrative Agent,</w:t>
        </w:r>
      </w:hyperlink>
    </w:p>
    <w:p>
      <w:pPr>
        <w:ind w:left="820" w:right="379"/>
        <w:spacing w:after="0" w:line="226"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dated as of September 28, 2012 (incorporated by reference to Exhibit 10.50 to the Annual Report on Form 10-K for the year</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ended December 31, 2012).</w:t>
        </w:r>
      </w:hyperlink>
    </w:p>
    <w:p>
      <w:pPr>
        <w:spacing w:after="0" w:line="63" w:lineRule="exact"/>
        <w:rPr>
          <w:sz w:val="20"/>
          <w:szCs w:val="20"/>
          <w:color w:val="auto"/>
        </w:rPr>
      </w:pPr>
    </w:p>
    <w:p>
      <w:pPr>
        <w:ind w:left="820" w:right="439" w:hanging="678"/>
        <w:spacing w:after="0" w:line="21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40">
        <w:r>
          <w:rPr>
            <w:rFonts w:ascii="Times New Roman" w:cs="Times New Roman" w:eastAsia="Times New Roman" w:hAnsi="Times New Roman"/>
            <w:sz w:val="18"/>
            <w:szCs w:val="18"/>
            <w:u w:val="single" w:color="auto"/>
            <w:color w:val="0000FF"/>
          </w:rPr>
          <w:t>Fourth Amended and Restated Credit Agreement, dated as of November 18, 2021, by and among MRC Energy Company,</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as Borrower, the Lending Entities from time to time parties thereto, as Lenders, and Royal Bank of Canada, as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Administrative Agent (incorporated by reference to Exhibit 10.1 to the Current Report on Form 8-K filed on November 18,</w:t>
        </w:r>
      </w:hyperlink>
    </w:p>
    <w:p>
      <w:pPr>
        <w:spacing w:after="0" w:line="1" w:lineRule="exact"/>
        <w:rPr>
          <w:rFonts w:ascii="Times New Roman" w:cs="Times New Roman" w:eastAsia="Times New Roman" w:hAnsi="Times New Roman"/>
          <w:sz w:val="18"/>
          <w:szCs w:val="18"/>
          <w:u w:val="single" w:color="auto"/>
          <w:color w:val="0000FF"/>
        </w:rPr>
      </w:pPr>
    </w:p>
    <w:p>
      <w:pPr>
        <w:ind w:left="82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2021).</w:t>
        </w:r>
      </w:hyperlink>
    </w:p>
    <w:p>
      <w:pPr>
        <w:spacing w:after="0" w:line="97" w:lineRule="exact"/>
        <w:rPr>
          <w:rFonts w:ascii="Times New Roman" w:cs="Times New Roman" w:eastAsia="Times New Roman" w:hAnsi="Times New Roman"/>
          <w:sz w:val="18"/>
          <w:szCs w:val="18"/>
          <w:u w:val="single" w:color="auto"/>
          <w:color w:val="0000FF"/>
        </w:rPr>
      </w:pPr>
    </w:p>
    <w:p>
      <w:pPr>
        <w:ind w:left="820" w:right="539" w:hanging="678"/>
        <w:spacing w:after="0" w:line="21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41">
        <w:r>
          <w:rPr>
            <w:rFonts w:ascii="Times New Roman" w:cs="Times New Roman" w:eastAsia="Times New Roman" w:hAnsi="Times New Roman"/>
            <w:sz w:val="18"/>
            <w:szCs w:val="18"/>
            <w:u w:val="single" w:color="auto"/>
            <w:color w:val="0000FF"/>
          </w:rPr>
          <w:t>First Amendment to Fourth Amended and Restated Credit Agreement dated as of April 25, 2022, by and among MRC</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Energy Company, as Borrower, the lending entities from time to time parties thereto as Lenders, and Royal Bank of</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Canada, as Administrative Agent (incorporated by reference to Exhibit 10.1 to the Quarterly Report on Form 10-Q for the</w:t>
        </w:r>
      </w:hyperlink>
    </w:p>
    <w:p>
      <w:pPr>
        <w:spacing w:after="0" w:line="1" w:lineRule="exact"/>
        <w:rPr>
          <w:rFonts w:ascii="Times New Roman" w:cs="Times New Roman" w:eastAsia="Times New Roman" w:hAnsi="Times New Roman"/>
          <w:sz w:val="18"/>
          <w:szCs w:val="18"/>
          <w:u w:val="single" w:color="auto"/>
          <w:color w:val="0000FF"/>
        </w:rPr>
      </w:pPr>
    </w:p>
    <w:p>
      <w:pPr>
        <w:ind w:left="82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quarter ended March 31, 2022).</w:t>
        </w:r>
      </w:hyperlink>
    </w:p>
    <w:p>
      <w:pPr>
        <w:spacing w:after="0" w:line="57" w:lineRule="exact"/>
        <w:rPr>
          <w:rFonts w:ascii="Times New Roman" w:cs="Times New Roman" w:eastAsia="Times New Roman" w:hAnsi="Times New Roman"/>
          <w:sz w:val="18"/>
          <w:szCs w:val="18"/>
          <w:u w:val="single" w:color="auto"/>
          <w:color w:val="0000FF"/>
        </w:rPr>
      </w:pPr>
    </w:p>
    <w:p>
      <w:pPr>
        <w:jc w:val="both"/>
        <w:ind w:left="820" w:right="479" w:hanging="678"/>
        <w:spacing w:after="0" w:line="22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42">
        <w:r>
          <w:rPr>
            <w:rFonts w:ascii="Times New Roman" w:cs="Times New Roman" w:eastAsia="Times New Roman" w:hAnsi="Times New Roman"/>
            <w:sz w:val="17"/>
            <w:szCs w:val="17"/>
            <w:u w:val="single" w:color="auto"/>
            <w:color w:val="0000FF"/>
          </w:rPr>
          <w:t>Second Amendment to Fourth Amended and Restated Credit Agreement, dated as of March 31, 2023, by and among MRC</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Energy Company, as Borrower, the lending entities from time to time parties thereto as Lenders, Royal Bank of Canada, as</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resigning Administrative Agent, and Truist Bank, as successor Administrative Agent (incorporated by reference to Exhibit</w:t>
        </w:r>
      </w:hyperlink>
    </w:p>
    <w:p>
      <w:pPr>
        <w:ind w:left="82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10.1 to the Current Report on Form 8-K filed on April 3, 2023).</w:t>
        </w:r>
      </w:hyperlink>
    </w:p>
    <w:p>
      <w:pPr>
        <w:spacing w:after="0" w:line="57" w:lineRule="exact"/>
        <w:rPr>
          <w:rFonts w:ascii="Times New Roman" w:cs="Times New Roman" w:eastAsia="Times New Roman" w:hAnsi="Times New Roman"/>
          <w:sz w:val="17"/>
          <w:szCs w:val="17"/>
          <w:u w:val="single" w:color="auto"/>
          <w:color w:val="0000FF"/>
        </w:rPr>
      </w:pPr>
    </w:p>
    <w:p>
      <w:pPr>
        <w:ind w:left="820" w:right="699" w:hanging="678"/>
        <w:spacing w:after="0" w:line="22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43">
        <w:r>
          <w:rPr>
            <w:rFonts w:ascii="Times New Roman" w:cs="Times New Roman" w:eastAsia="Times New Roman" w:hAnsi="Times New Roman"/>
            <w:sz w:val="17"/>
            <w:szCs w:val="17"/>
            <w:u w:val="single" w:color="auto"/>
            <w:color w:val="0000FF"/>
          </w:rPr>
          <w:t>Third Amendment to Fourth Amended and Restated Credit Agreement, dated as of April 10, 2023, by and among MRC</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Energy Company, as Borrower, the lending entities from time to time parties thereto as Lenders, and Truist Bank, as</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Administrative Agent (incorporated by reference to Exhibit 10.2 to the Quarterly Report on Form 10-Q for the quarter</w:t>
        </w:r>
      </w:hyperlink>
    </w:p>
    <w:p>
      <w:pPr>
        <w:ind w:left="82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ended March 31, 2023).</w:t>
        </w:r>
      </w:hyperlink>
    </w:p>
    <w:p>
      <w:pPr>
        <w:spacing w:after="0" w:line="57" w:lineRule="exact"/>
        <w:rPr>
          <w:rFonts w:ascii="Times New Roman" w:cs="Times New Roman" w:eastAsia="Times New Roman" w:hAnsi="Times New Roman"/>
          <w:sz w:val="17"/>
          <w:szCs w:val="17"/>
          <w:u w:val="single" w:color="auto"/>
          <w:color w:val="0000FF"/>
        </w:rPr>
      </w:pPr>
    </w:p>
    <w:p>
      <w:pPr>
        <w:ind w:left="820" w:right="419" w:hanging="678"/>
        <w:spacing w:after="0" w:line="21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44">
        <w:r>
          <w:rPr>
            <w:rFonts w:ascii="Times New Roman" w:cs="Times New Roman" w:eastAsia="Times New Roman" w:hAnsi="Times New Roman"/>
            <w:sz w:val="18"/>
            <w:szCs w:val="18"/>
            <w:u w:val="single" w:color="auto"/>
            <w:color w:val="0000FF"/>
          </w:rPr>
          <w:t>Fourth Amendment to Fourth Amended and Restated Credit Agreement, dated as of October 19, 2023, by and among MRC</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Energy Company, as Borrower, the lending entities from time to time parties thereto as Lenders, and Truist Bank, as</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Administrative Agent (incorporated by reference to Exhibit 10.1 to the Current Report on Form 8-K filed on October 19,</w:t>
        </w:r>
      </w:hyperlink>
    </w:p>
    <w:p>
      <w:pPr>
        <w:spacing w:after="0" w:line="1" w:lineRule="exact"/>
        <w:rPr>
          <w:rFonts w:ascii="Times New Roman" w:cs="Times New Roman" w:eastAsia="Times New Roman" w:hAnsi="Times New Roman"/>
          <w:sz w:val="18"/>
          <w:szCs w:val="18"/>
          <w:u w:val="single" w:color="auto"/>
          <w:color w:val="0000FF"/>
        </w:rPr>
      </w:pPr>
    </w:p>
    <w:p>
      <w:pPr>
        <w:ind w:left="82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2023).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4"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20" w:right="69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46">
        <w:r>
          <w:rPr>
            <w:rFonts w:ascii="Times New Roman" w:cs="Times New Roman" w:eastAsia="Times New Roman" w:hAnsi="Times New Roman"/>
            <w:sz w:val="18"/>
            <w:szCs w:val="18"/>
            <w:u w:val="single" w:color="auto"/>
            <w:color w:val="0000FF"/>
          </w:rPr>
          <w:t>Matador Resources Company Nonqualified Deferred Compensation Plan for Non-Employee Directors (incorporated by</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reference to Exhibit 10.59 to the Annual Report on Form 10-K for the year ended December 31, 2015).</w:t>
        </w:r>
      </w:hyperlink>
    </w:p>
    <w:p>
      <w:pPr>
        <w:spacing w:after="0" w:line="64" w:lineRule="exact"/>
        <w:rPr>
          <w:sz w:val="20"/>
          <w:szCs w:val="20"/>
          <w:color w:val="auto"/>
        </w:rPr>
      </w:pPr>
    </w:p>
    <w:p>
      <w:pPr>
        <w:ind w:left="820" w:right="67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47">
        <w:r>
          <w:rPr>
            <w:rFonts w:ascii="Times New Roman" w:cs="Times New Roman" w:eastAsia="Times New Roman" w:hAnsi="Times New Roman"/>
            <w:sz w:val="18"/>
            <w:szCs w:val="18"/>
            <w:u w:val="single" w:color="auto"/>
            <w:color w:val="0000FF"/>
          </w:rPr>
          <w:t>Matador Resources Company Annual Cash Incentive Plan, effective as of January 1, 2019 (incorporated by reference to</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Exhibit 10.66 to the Annual Report on Form 10-K for the year ended December 31, 2018).</w:t>
        </w:r>
      </w:hyperlink>
    </w:p>
    <w:p>
      <w:pPr>
        <w:spacing w:after="0" w:line="64" w:lineRule="exact"/>
        <w:rPr>
          <w:sz w:val="20"/>
          <w:szCs w:val="20"/>
          <w:color w:val="auto"/>
        </w:rPr>
      </w:pPr>
    </w:p>
    <w:p>
      <w:pPr>
        <w:ind w:left="820" w:right="41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48">
        <w:r>
          <w:rPr>
            <w:rFonts w:ascii="Times New Roman" w:cs="Times New Roman" w:eastAsia="Times New Roman" w:hAnsi="Times New Roman"/>
            <w:sz w:val="18"/>
            <w:szCs w:val="18"/>
            <w:u w:val="single" w:color="auto"/>
            <w:color w:val="0000FF"/>
          </w:rPr>
          <w:t>Amended and Restated 2012 Long-Term Incentive Plan (incorporated by reference to Exhibit 10.2 to the Current Report 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Form 8-K filed on June 11, 2015).</w:t>
        </w:r>
      </w:hyperlink>
    </w:p>
    <w:p>
      <w:pPr>
        <w:spacing w:after="0" w:line="64" w:lineRule="exact"/>
        <w:rPr>
          <w:sz w:val="20"/>
          <w:szCs w:val="20"/>
          <w:color w:val="auto"/>
        </w:rPr>
      </w:pPr>
    </w:p>
    <w:p>
      <w:pPr>
        <w:ind w:left="820" w:right="75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49">
        <w:r>
          <w:rPr>
            <w:rFonts w:ascii="Times New Roman" w:cs="Times New Roman" w:eastAsia="Times New Roman" w:hAnsi="Times New Roman"/>
            <w:sz w:val="18"/>
            <w:szCs w:val="18"/>
            <w:u w:val="single" w:color="auto"/>
            <w:color w:val="0000FF"/>
          </w:rPr>
          <w:t>Amendment Number One to the Matador Resources Company Amended and Restated 2012 Long-Term Incentive Plan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(incorporated by reference to Exhibit 10.1 to the Quarterly Report on Form 10-Q for the quarter ended September 30,</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2017).</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53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50">
        <w:r>
          <w:rPr>
            <w:rFonts w:ascii="Times New Roman" w:cs="Times New Roman" w:eastAsia="Times New Roman" w:hAnsi="Times New Roman"/>
            <w:sz w:val="18"/>
            <w:szCs w:val="18"/>
            <w:u w:val="single" w:color="auto"/>
            <w:color w:val="0000FF"/>
          </w:rPr>
          <w:t>Form of Nonqualified Stock Option Agreement relating to the Matador Resources Company Amended and Restated 2012</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Long-Term Incentive Plan for employees without employment agreements (incorporated by reference to Exhibit 10.53 to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the Annual Report on Form 10-K for the year ended December 31, 2015).</w:t>
        </w:r>
      </w:hyperlink>
    </w:p>
    <w:p>
      <w:pPr>
        <w:spacing w:after="0" w:line="63" w:lineRule="exact"/>
        <w:rPr>
          <w:rFonts w:ascii="Times New Roman" w:cs="Times New Roman" w:eastAsia="Times New Roman" w:hAnsi="Times New Roman"/>
          <w:sz w:val="18"/>
          <w:szCs w:val="18"/>
          <w:u w:val="single" w:color="auto"/>
          <w:color w:val="0000FF"/>
        </w:rPr>
      </w:pPr>
    </w:p>
    <w:p>
      <w:pPr>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51">
        <w:r>
          <w:rPr>
            <w:rFonts w:ascii="Times New Roman" w:cs="Times New Roman" w:eastAsia="Times New Roman" w:hAnsi="Times New Roman"/>
            <w:sz w:val="18"/>
            <w:szCs w:val="18"/>
            <w:u w:val="single" w:color="auto"/>
            <w:color w:val="0000FF"/>
          </w:rPr>
          <w:t>Form of Restricted Stock Award Agreement relating to the Matador Resources Company Amended and Restated 2012</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Long-Term Incentive Plan for employees without employment agreements (incorporated by reference to Exhibit 10.54 to</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the Annual Report on Form 10-K for the year ended December 31, 2015).</w:t>
        </w:r>
      </w:hyperlink>
    </w:p>
    <w:p>
      <w:pPr>
        <w:spacing w:after="0" w:line="63" w:lineRule="exact"/>
        <w:rPr>
          <w:rFonts w:ascii="Times New Roman" w:cs="Times New Roman" w:eastAsia="Times New Roman" w:hAnsi="Times New Roman"/>
          <w:sz w:val="18"/>
          <w:szCs w:val="18"/>
          <w:u w:val="single" w:color="auto"/>
          <w:color w:val="0000FF"/>
        </w:rPr>
      </w:pPr>
    </w:p>
    <w:p>
      <w:pPr>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52">
        <w:r>
          <w:rPr>
            <w:rFonts w:ascii="Times New Roman" w:cs="Times New Roman" w:eastAsia="Times New Roman" w:hAnsi="Times New Roman"/>
            <w:sz w:val="18"/>
            <w:szCs w:val="18"/>
            <w:u w:val="single" w:color="auto"/>
            <w:color w:val="0000FF"/>
          </w:rPr>
          <w:t>Form of Restricted Stock Unit Award Agreement for deferred delivery relating to the Matador Resources Company 2012</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Long-Term Incentive Plan (incorporated by reference to Exhibit 10.63 to the Annual Report on Form 10-K for the year</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ended December 31, 2016).</w:t>
        </w:r>
      </w:hyperlink>
    </w:p>
    <w:p>
      <w:pPr>
        <w:spacing w:after="0" w:line="63" w:lineRule="exact"/>
        <w:rPr>
          <w:rFonts w:ascii="Times New Roman" w:cs="Times New Roman" w:eastAsia="Times New Roman" w:hAnsi="Times New Roman"/>
          <w:sz w:val="18"/>
          <w:szCs w:val="18"/>
          <w:u w:val="single" w:color="auto"/>
          <w:color w:val="0000FF"/>
        </w:rPr>
      </w:pPr>
    </w:p>
    <w:p>
      <w:pPr>
        <w:ind w:left="820" w:right="51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53">
        <w:r>
          <w:rPr>
            <w:rFonts w:ascii="Times New Roman" w:cs="Times New Roman" w:eastAsia="Times New Roman" w:hAnsi="Times New Roman"/>
            <w:sz w:val="18"/>
            <w:szCs w:val="18"/>
            <w:u w:val="single" w:color="auto"/>
            <w:color w:val="0000FF"/>
          </w:rPr>
          <w:t>Form of Restricted Stock Unit Award Agreement for Annual Grants with delayed delivery relating to the Matador</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Resources Company Amended and Restated 2012 Long-Term Incentive Plan (incorporated by reference to Exhibit 10.4 to</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the Quarterly Report on Form 10-Q for the quarter ended June 30, 2017).</w:t>
        </w:r>
      </w:hyperlink>
    </w:p>
    <w:p>
      <w:pPr>
        <w:spacing w:after="0" w:line="63" w:lineRule="exact"/>
        <w:rPr>
          <w:rFonts w:ascii="Times New Roman" w:cs="Times New Roman" w:eastAsia="Times New Roman" w:hAnsi="Times New Roman"/>
          <w:sz w:val="18"/>
          <w:szCs w:val="18"/>
          <w:u w:val="single" w:color="auto"/>
          <w:color w:val="0000FF"/>
        </w:rPr>
      </w:pPr>
    </w:p>
    <w:p>
      <w:pPr>
        <w:ind w:left="820" w:right="55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54">
        <w:r>
          <w:rPr>
            <w:rFonts w:ascii="Times New Roman" w:cs="Times New Roman" w:eastAsia="Times New Roman" w:hAnsi="Times New Roman"/>
            <w:sz w:val="18"/>
            <w:szCs w:val="18"/>
            <w:u w:val="single" w:color="auto"/>
            <w:color w:val="0000FF"/>
          </w:rPr>
          <w:t>Form of Restricted Stock Unit Award Agreement for director awards with deferred delivery under the Matador Resources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Company Amended and Restated 2012 Long-Term Incentive Plan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45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55">
        <w:r>
          <w:rPr>
            <w:rFonts w:ascii="Times New Roman" w:cs="Times New Roman" w:eastAsia="Times New Roman" w:hAnsi="Times New Roman"/>
            <w:sz w:val="18"/>
            <w:szCs w:val="18"/>
            <w:u w:val="single" w:color="auto"/>
            <w:color w:val="0000FF"/>
          </w:rPr>
          <w:t>Form of Nonqualified Stock Option Agreement for awards under the Matador Resources Company Amended and Restated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2012 Long-Term Incentive Plan for employees without employment agreements (incorporated by reference to Exhibit 10.4</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to the 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45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56">
        <w:r>
          <w:rPr>
            <w:rFonts w:ascii="Times New Roman" w:cs="Times New Roman" w:eastAsia="Times New Roman" w:hAnsi="Times New Roman"/>
            <w:sz w:val="18"/>
            <w:szCs w:val="18"/>
            <w:u w:val="single" w:color="auto"/>
            <w:color w:val="0000FF"/>
          </w:rPr>
          <w:t>Form of Nonqualified Stock Option Agreement for awards under the Matador Resources Company Amended and Restated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2012 Long-Term Incentive Plan for employees with employment agreements (incorporated by reference to Exhibit 10.5 to</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the 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ind w:left="820" w:right="47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57">
        <w:r>
          <w:rPr>
            <w:rFonts w:ascii="Times New Roman" w:cs="Times New Roman" w:eastAsia="Times New Roman" w:hAnsi="Times New Roman"/>
            <w:sz w:val="18"/>
            <w:szCs w:val="18"/>
            <w:u w:val="single" w:color="auto"/>
            <w:color w:val="0000FF"/>
          </w:rPr>
          <w:t>Form of Restricted Stock Award Agreement for awards under the Matador Resources Company Amended and Restated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2012 Long-Term Incentive Plan for employees without employment agreements (incorporated by reference to Exhibit 10.6</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to the 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ind w:left="820" w:right="51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58">
        <w:r>
          <w:rPr>
            <w:rFonts w:ascii="Times New Roman" w:cs="Times New Roman" w:eastAsia="Times New Roman" w:hAnsi="Times New Roman"/>
            <w:sz w:val="18"/>
            <w:szCs w:val="18"/>
            <w:u w:val="single" w:color="auto"/>
            <w:color w:val="0000FF"/>
          </w:rPr>
          <w:t>Form of Restricted Stock Award Agreement for awards under the Matador Resources Company Amended and Restated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2012 Long-Term Incentive Plan for employees with employment agreements (incorporated by reference to Exhibit 10.7 to</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the Quarterly Report on Form 10-Q for the quarter ended September 30, 2017).</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47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59">
        <w:r>
          <w:rPr>
            <w:rFonts w:ascii="Times New Roman" w:cs="Times New Roman" w:eastAsia="Times New Roman" w:hAnsi="Times New Roman"/>
            <w:sz w:val="18"/>
            <w:szCs w:val="18"/>
            <w:u w:val="single" w:color="auto"/>
            <w:color w:val="0000FF"/>
          </w:rPr>
          <w:t>Form of Phantom Unit Award Agreement for awards under the Matador Resources Company Amended and Restated 2012</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Long-Term Incentive Plan for employees with employment agreements (incorporated by reference to Exhibit 10.67 to the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Annual Report on Form 10-K for the year ended December 31, 2018).</w:t>
        </w:r>
      </w:hyperlink>
    </w:p>
    <w:p>
      <w:pPr>
        <w:spacing w:after="0" w:line="63" w:lineRule="exact"/>
        <w:rPr>
          <w:rFonts w:ascii="Times New Roman" w:cs="Times New Roman" w:eastAsia="Times New Roman" w:hAnsi="Times New Roman"/>
          <w:sz w:val="18"/>
          <w:szCs w:val="18"/>
          <w:u w:val="single" w:color="auto"/>
          <w:color w:val="0000FF"/>
        </w:rPr>
      </w:pPr>
    </w:p>
    <w:p>
      <w:pPr>
        <w:ind w:left="820" w:right="3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60">
        <w:r>
          <w:rPr>
            <w:rFonts w:ascii="Times New Roman" w:cs="Times New Roman" w:eastAsia="Times New Roman" w:hAnsi="Times New Roman"/>
            <w:sz w:val="18"/>
            <w:szCs w:val="18"/>
            <w:u w:val="single" w:color="auto"/>
            <w:color w:val="0000FF"/>
          </w:rPr>
          <w:t>Form of Performance Stock Unit Award Agreement for awards under the Matador Resources Company Amended and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Restated 2012 Long-Term Incentive Plan for employees with employment agreements (incorporated by reference to Exhibit</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10.68 to the Annual Report on Form 10-K for the year ended December 31, 2018).</w:t>
        </w:r>
      </w:hyperlink>
    </w:p>
    <w:p>
      <w:pPr>
        <w:spacing w:after="0" w:line="63" w:lineRule="exact"/>
        <w:rPr>
          <w:rFonts w:ascii="Times New Roman" w:cs="Times New Roman" w:eastAsia="Times New Roman" w:hAnsi="Times New Roman"/>
          <w:sz w:val="18"/>
          <w:szCs w:val="18"/>
          <w:u w:val="single" w:color="auto"/>
          <w:color w:val="0000FF"/>
        </w:rPr>
      </w:pPr>
    </w:p>
    <w:p>
      <w:pPr>
        <w:ind w:left="820" w:right="37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61">
        <w:r>
          <w:rPr>
            <w:rFonts w:ascii="Times New Roman" w:cs="Times New Roman" w:eastAsia="Times New Roman" w:hAnsi="Times New Roman"/>
            <w:sz w:val="18"/>
            <w:szCs w:val="18"/>
            <w:u w:val="single" w:color="auto"/>
            <w:color w:val="0000FF"/>
          </w:rPr>
          <w:t>Matador Resources Company 2019 Long-Term Incentive Plan (incorporated by reference to Exhibit 99.1 to the Registration</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Statement on Form S-8 filed on June 6, 2019).</w:t>
        </w:r>
      </w:hyperlink>
    </w:p>
    <w:p>
      <w:pPr>
        <w:spacing w:after="0" w:line="64" w:lineRule="exact"/>
        <w:rPr>
          <w:sz w:val="20"/>
          <w:szCs w:val="20"/>
          <w:color w:val="auto"/>
        </w:rPr>
      </w:pPr>
    </w:p>
    <w:p>
      <w:pPr>
        <w:ind w:left="820" w:right="55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62">
        <w:r>
          <w:rPr>
            <w:rFonts w:ascii="Times New Roman" w:cs="Times New Roman" w:eastAsia="Times New Roman" w:hAnsi="Times New Roman"/>
            <w:sz w:val="18"/>
            <w:szCs w:val="18"/>
            <w:u w:val="single" w:color="auto"/>
            <w:color w:val="0000FF"/>
          </w:rPr>
          <w:t>First Amendment to Matador Resources Company 2019 Long-Term Incentive Plan effective April 21, 1011 (incorporated</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by reference to Exhibit 10.1 to the Current Report on Form 8-K filed on June 16, 2022).</w:t>
        </w:r>
      </w:hyperlink>
    </w:p>
    <w:p>
      <w:pPr>
        <w:spacing w:after="0" w:line="64" w:lineRule="exact"/>
        <w:rPr>
          <w:sz w:val="20"/>
          <w:szCs w:val="20"/>
          <w:color w:val="auto"/>
        </w:rPr>
      </w:pPr>
    </w:p>
    <w:p>
      <w:pPr>
        <w:ind w:left="820" w:right="43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63">
        <w:r>
          <w:rPr>
            <w:rFonts w:ascii="Times New Roman" w:cs="Times New Roman" w:eastAsia="Times New Roman" w:hAnsi="Times New Roman"/>
            <w:sz w:val="18"/>
            <w:szCs w:val="18"/>
            <w:u w:val="single" w:color="auto"/>
            <w:color w:val="0000FF"/>
          </w:rPr>
          <w:t>Form of Restricted Stock Unit Award Agreement for director awards under the Matador Resources Company 2019 Long-</w:t>
        </w:r>
      </w:hyperlink>
      <w:hyperlink r:id="rId163">
        <w:r>
          <w:rPr>
            <w:rFonts w:ascii="Times New Roman" w:cs="Times New Roman" w:eastAsia="Times New Roman" w:hAnsi="Times New Roman"/>
            <w:sz w:val="18"/>
            <w:szCs w:val="18"/>
            <w:u w:val="single" w:color="auto"/>
            <w:color w:val="0000FF"/>
          </w:rPr>
          <w:t>Term Incentive Plan (incorporated by reference to Exhibit 10.2 to the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June 30, 2019).</w:t>
        </w:r>
      </w:hyperlink>
    </w:p>
    <w:p>
      <w:pPr>
        <w:spacing w:after="0" w:line="63" w:lineRule="exact"/>
        <w:rPr>
          <w:rFonts w:ascii="Times New Roman" w:cs="Times New Roman" w:eastAsia="Times New Roman" w:hAnsi="Times New Roman"/>
          <w:sz w:val="18"/>
          <w:szCs w:val="18"/>
          <w:u w:val="single" w:color="auto"/>
          <w:color w:val="0000FF"/>
        </w:rPr>
      </w:pPr>
    </w:p>
    <w:p>
      <w:pPr>
        <w:ind w:left="820" w:right="3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64">
        <w:r>
          <w:rPr>
            <w:rFonts w:ascii="Times New Roman" w:cs="Times New Roman" w:eastAsia="Times New Roman" w:hAnsi="Times New Roman"/>
            <w:sz w:val="18"/>
            <w:szCs w:val="18"/>
            <w:u w:val="single" w:color="auto"/>
            <w:color w:val="0000FF"/>
          </w:rPr>
          <w:t>Form of Restricted Stock Unit Award Agreement for director awards with deferred delivery under the Matador Resources</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Company 2019 Long-Term Incentive Plan (incorporated by reference to Exhibit 10.3 to the Quarterly Report on Form 10-Q</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for the quarter ended June 30, 2019).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4"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20" w:right="61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66">
        <w:r>
          <w:rPr>
            <w:rFonts w:ascii="Times New Roman" w:cs="Times New Roman" w:eastAsia="Times New Roman" w:hAnsi="Times New Roman"/>
            <w:sz w:val="18"/>
            <w:szCs w:val="18"/>
            <w:u w:val="single" w:color="auto"/>
            <w:color w:val="0000FF"/>
          </w:rPr>
          <w:t>Form of Phantom Unit Award Agreement for awards under the Matador Resources Company 2019 Long-Term Incentive</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Plan for employees with employment agreements (incorporated by reference to Exhibit 10.1 to the Quarterly Report on</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Form 10-Q for the quarter ended March 31, 2020).</w:t>
        </w:r>
      </w:hyperlink>
    </w:p>
    <w:p>
      <w:pPr>
        <w:spacing w:after="0" w:line="63" w:lineRule="exact"/>
        <w:rPr>
          <w:rFonts w:ascii="Times New Roman" w:cs="Times New Roman" w:eastAsia="Times New Roman" w:hAnsi="Times New Roman"/>
          <w:sz w:val="18"/>
          <w:szCs w:val="18"/>
          <w:u w:val="single" w:color="auto"/>
          <w:color w:val="0000FF"/>
        </w:rPr>
      </w:pPr>
    </w:p>
    <w:p>
      <w:pPr>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167">
        <w:r>
          <w:rPr>
            <w:rFonts w:ascii="Times New Roman" w:cs="Times New Roman" w:eastAsia="Times New Roman" w:hAnsi="Times New Roman"/>
            <w:sz w:val="18"/>
            <w:szCs w:val="18"/>
            <w:u w:val="single" w:color="auto"/>
            <w:color w:val="0000FF"/>
          </w:rPr>
          <w:t>Form of Performance Stock Unit Award Agreement for awards under the Matador Resources Company 2019 Long-Term</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Incentive Plan for employees with employment agreements (incorporated by reference to Exhibit 10.2 to the Quarterly</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Report on Form 10-Q for the quarter ended March 31, 2020).</w:t>
        </w:r>
      </w:hyperlink>
    </w:p>
    <w:p>
      <w:pPr>
        <w:spacing w:after="0" w:line="63" w:lineRule="exact"/>
        <w:rPr>
          <w:rFonts w:ascii="Times New Roman" w:cs="Times New Roman" w:eastAsia="Times New Roman" w:hAnsi="Times New Roman"/>
          <w:sz w:val="18"/>
          <w:szCs w:val="18"/>
          <w:u w:val="single" w:color="auto"/>
          <w:color w:val="0000FF"/>
        </w:rPr>
      </w:pPr>
    </w:p>
    <w:p>
      <w:pPr>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168">
        <w:r>
          <w:rPr>
            <w:rFonts w:ascii="Times New Roman" w:cs="Times New Roman" w:eastAsia="Times New Roman" w:hAnsi="Times New Roman"/>
            <w:sz w:val="18"/>
            <w:szCs w:val="18"/>
            <w:u w:val="single" w:color="auto"/>
            <w:color w:val="0000FF"/>
          </w:rPr>
          <w:t>Form of Performance Stock Unit Award Agreement for awards under the Matador Resources Company 2019 Long-Term</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Incentive Plan for employees with employment agreements (incorporated by reference to Exhibit 10.58 to the Annual</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Report on Form 10-K for the year ended December 31, 2021).</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59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169">
        <w:r>
          <w:rPr>
            <w:rFonts w:ascii="Times New Roman" w:cs="Times New Roman" w:eastAsia="Times New Roman" w:hAnsi="Times New Roman"/>
            <w:sz w:val="18"/>
            <w:szCs w:val="18"/>
            <w:u w:val="single" w:color="auto"/>
            <w:color w:val="0000FF"/>
          </w:rPr>
          <w:t>Form of Performance Stock Unit Award Agreement for awards under the Matador Resources Company 2019 Long-Term</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Incentive Plan for employees without employment agreements (incorporated by reference to Exhibit 10.59 to the Annual</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Report on Form 10-K for the year ended December 31, 2021).</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820" w:right="439" w:hanging="723"/>
        <w:spacing w:after="0" w:line="22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70">
        <w:r>
          <w:rPr>
            <w:rFonts w:ascii="Times New Roman" w:cs="Times New Roman" w:eastAsia="Times New Roman" w:hAnsi="Times New Roman"/>
            <w:sz w:val="18"/>
            <w:szCs w:val="18"/>
            <w:u w:val="single" w:color="auto"/>
            <w:color w:val="0000FF"/>
          </w:rPr>
          <w:t>Form of Restricted Stock Award Agreement for awards under the Matador Resources Company 2019 Long-Term Incentive</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Plan with ratable vesting for employees without employment agreements (incorporated by reference to Exhibit 10.60 to the</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Annual Report on Form 10-K for the year ended December 31, 2021).</w:t>
        </w:r>
      </w:hyperlink>
    </w:p>
    <w:p>
      <w:pPr>
        <w:spacing w:after="0" w:line="63" w:lineRule="exact"/>
        <w:rPr>
          <w:rFonts w:ascii="Times New Roman" w:cs="Times New Roman" w:eastAsia="Times New Roman" w:hAnsi="Times New Roman"/>
          <w:sz w:val="18"/>
          <w:szCs w:val="18"/>
          <w:u w:val="single" w:color="auto"/>
          <w:color w:val="0000FF"/>
        </w:rPr>
      </w:pPr>
    </w:p>
    <w:p>
      <w:pPr>
        <w:ind w:left="820" w:right="379" w:hanging="723"/>
        <w:spacing w:after="0" w:line="250"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171">
        <w:r>
          <w:rPr>
            <w:rFonts w:ascii="Times New Roman" w:cs="Times New Roman" w:eastAsia="Times New Roman" w:hAnsi="Times New Roman"/>
            <w:sz w:val="18"/>
            <w:szCs w:val="18"/>
            <w:u w:val="single" w:color="auto"/>
            <w:color w:val="0000FF"/>
          </w:rPr>
          <w:t>Form of Stock Option Cancellation Agreement for certain stock options under the Matador Resources Company Amended</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and Restated 2012 Long-Term Incentive Plan (incorporated by reference to Exhibit 10.56 to the Annual Report on Form 10-</w:t>
        </w:r>
      </w:hyperlink>
      <w:hyperlink r:id="rId171">
        <w:r>
          <w:rPr>
            <w:rFonts w:ascii="Times New Roman" w:cs="Times New Roman" w:eastAsia="Times New Roman" w:hAnsi="Times New Roman"/>
            <w:sz w:val="18"/>
            <w:szCs w:val="18"/>
            <w:u w:val="single" w:color="auto"/>
            <w:color w:val="0000FF"/>
          </w:rPr>
          <w:t>K for the year ended December 31, 2020).</w:t>
        </w:r>
      </w:hyperlink>
    </w:p>
    <w:p>
      <w:pPr>
        <w:spacing w:after="0" w:line="82" w:lineRule="exact"/>
        <w:rPr>
          <w:rFonts w:ascii="Times New Roman" w:cs="Times New Roman" w:eastAsia="Times New Roman" w:hAnsi="Times New Roman"/>
          <w:sz w:val="18"/>
          <w:szCs w:val="18"/>
          <w:u w:val="single" w:color="auto"/>
          <w:color w:val="0000FF"/>
        </w:rPr>
      </w:pPr>
    </w:p>
    <w:p>
      <w:pPr>
        <w:ind w:left="820" w:right="959" w:hanging="723"/>
        <w:spacing w:after="0" w:line="237"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172">
        <w:r>
          <w:rPr>
            <w:rFonts w:ascii="Times New Roman" w:cs="Times New Roman" w:eastAsia="Times New Roman" w:hAnsi="Times New Roman"/>
            <w:sz w:val="18"/>
            <w:szCs w:val="18"/>
            <w:u w:val="single" w:color="auto"/>
            <w:color w:val="0000FF"/>
          </w:rPr>
          <w:t>Matador Resources Company 2022 Employee Stock Purchase Plan (incorporated by reference to Exhibit 10.2 to the</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Current Report on Form 8-K filed on June 16, 2022).</w:t>
        </w:r>
      </w:hyperlink>
    </w:p>
    <w:p>
      <w:pPr>
        <w:spacing w:after="0" w:line="64"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FF"/>
        </w:rPr>
        <w:t>List of Subsidiaries of Matador Resources Company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u w:val="single" w:color="auto"/>
          <w:color w:val="0000FF"/>
        </w:rPr>
        <w:t>List of Subsidiary Guarantors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KPMG LLP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Netherland, Sewell &amp; Associates, Inc.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pursuant to Section 302 of the Sarbanes-Oxley Act of 2002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Principal Financial Officer pursuant to Section 302 of the Sarbanes-Oxley Act of 2002 (filed herewith).</w:t>
      </w:r>
    </w:p>
    <w:p>
      <w:pPr>
        <w:spacing w:after="0" w:line="77" w:lineRule="exact"/>
        <w:rPr>
          <w:sz w:val="20"/>
          <w:szCs w:val="20"/>
          <w:color w:val="auto"/>
        </w:rPr>
      </w:pPr>
    </w:p>
    <w:p>
      <w:pPr>
        <w:ind w:left="820" w:right="539" w:hanging="633"/>
        <w:spacing w:after="0" w:line="237" w:lineRule="auto"/>
        <w:tabs>
          <w:tab w:leader="none" w:pos="8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 (furnished herewith).</w:t>
      </w:r>
    </w:p>
    <w:p>
      <w:pPr>
        <w:spacing w:after="0" w:line="64" w:lineRule="exact"/>
        <w:rPr>
          <w:sz w:val="20"/>
          <w:szCs w:val="20"/>
          <w:color w:val="auto"/>
        </w:rPr>
      </w:pPr>
    </w:p>
    <w:p>
      <w:pPr>
        <w:ind w:left="820" w:right="579" w:hanging="633"/>
        <w:spacing w:after="0" w:line="237" w:lineRule="auto"/>
        <w:tabs>
          <w:tab w:leader="none" w:pos="8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 (furnished herewith).</w:t>
      </w:r>
    </w:p>
    <w:p>
      <w:pPr>
        <w:spacing w:after="0" w:line="64" w:lineRule="exact"/>
        <w:rPr>
          <w:sz w:val="20"/>
          <w:szCs w:val="20"/>
          <w:color w:val="auto"/>
        </w:rPr>
      </w:pPr>
    </w:p>
    <w:p>
      <w:pPr>
        <w:ind w:left="820" w:hanging="565"/>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Matador Resources Company Clawback Policy (filed herewith)</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Audit report of Netherland, Sewell &amp; Associates, Inc. (filed herewith).</w:t>
      </w:r>
    </w:p>
    <w:p>
      <w:pPr>
        <w:spacing w:after="0" w:line="77" w:lineRule="exact"/>
        <w:rPr>
          <w:sz w:val="20"/>
          <w:szCs w:val="20"/>
          <w:color w:val="auto"/>
        </w:rPr>
      </w:pPr>
    </w:p>
    <w:p>
      <w:pPr>
        <w:ind w:left="820" w:right="479" w:hanging="610"/>
        <w:spacing w:after="0" w:line="220" w:lineRule="auto"/>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Annual Report on Form 10-K for the year ended December 31, 2023, formatted in Inline XBRL (Inline eXtensible Business Reporting Language): (i) the Consolidated Balance Sheets, (ii) the Consolidated Statements of Income, (iii) the Consolidated Statements of Changes in Shareholders’ Equity, (iv) the Consolidated Statements of Cash Flows and (v) the Notes to Consolidated Financial Statements (submitted electronically herewith).</w:t>
      </w:r>
    </w:p>
    <w:p>
      <w:pPr>
        <w:spacing w:after="0" w:line="64"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(included as Exhibit 101).</w:t>
      </w:r>
    </w:p>
    <w:p>
      <w:pPr>
        <w:spacing w:after="0" w:line="293" w:lineRule="exact"/>
        <w:rPr>
          <w:sz w:val="20"/>
          <w:szCs w:val="20"/>
          <w:color w:val="auto"/>
        </w:rPr>
      </w:pPr>
    </w:p>
    <w:p>
      <w:pPr>
        <w:ind w:left="820" w:hanging="519"/>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77" w:lineRule="exact"/>
        <w:rPr>
          <w:sz w:val="20"/>
          <w:szCs w:val="20"/>
          <w:color w:val="auto"/>
        </w:rPr>
      </w:pPr>
    </w:p>
    <w:p>
      <w:pPr>
        <w:ind w:left="820" w:right="559" w:hanging="519"/>
        <w:spacing w:after="0" w:line="224" w:lineRule="auto"/>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filing excludes certain schedules and exhibits pursuant to Item 601(a)(5) of Regulation S-K, which the Company agrees to furnish supplementally to the SEC upon request; provided, however, that the Company may request confidential treatment pursuant to Rule 24b-2 of the Securities Exchange Act of 1934, as amended, for any schedules or exhibits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65"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MATADOR RESOURCES COMPANY</w:t>
            </w: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31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3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34"/>
        </w:trPr>
        <w:tc>
          <w:tcPr>
            <w:tcW w:w="37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38"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3"/>
              </w:rPr>
              <w:t>Title</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8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Wm. Foran</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Wm. Foran</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J. Willey</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J. Willey</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T. Macalik</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Executive Vice President and Chief Accounting Officer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T. Macalik</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Shelley F. Appel</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Shelley F. Appel</w:t>
            </w:r>
          </w:p>
        </w:tc>
        <w:tc>
          <w:tcPr>
            <w:tcW w:w="53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Reynald A. Baribault</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Reynald A. Baribault</w:t>
            </w:r>
          </w:p>
        </w:tc>
        <w:tc>
          <w:tcPr>
            <w:tcW w:w="53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Gaines Baty</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 Gaines Baty</w:t>
            </w:r>
          </w:p>
        </w:tc>
        <w:tc>
          <w:tcPr>
            <w:tcW w:w="53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M. Byerley</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M. Byerley</w:t>
            </w:r>
          </w:p>
        </w:tc>
        <w:tc>
          <w:tcPr>
            <w:tcW w:w="53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Monika U. Ehrman</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Monika U. Ehrman</w:t>
            </w:r>
          </w:p>
        </w:tc>
        <w:tc>
          <w:tcPr>
            <w:tcW w:w="53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Julia P. Forrester Rogers</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Julia P. Forrester Rogers</w:t>
            </w:r>
          </w:p>
        </w:tc>
        <w:tc>
          <w:tcPr>
            <w:tcW w:w="53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M. Howard</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M. Howard</w:t>
            </w:r>
          </w:p>
        </w:tc>
        <w:tc>
          <w:tcPr>
            <w:tcW w:w="53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E. Parker</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Timothy E. Parker</w:t>
            </w:r>
          </w:p>
        </w:tc>
        <w:tc>
          <w:tcPr>
            <w:tcW w:w="53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79"/>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L. Stewart</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1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L. Stewart</w:t>
            </w:r>
          </w:p>
        </w:tc>
        <w:tc>
          <w:tcPr>
            <w:tcW w:w="53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4"/>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M. Ward</w:t>
            </w:r>
          </w:p>
        </w:tc>
        <w:tc>
          <w:tcPr>
            <w:tcW w:w="5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Susan M. Ward</w:t>
            </w:r>
          </w:p>
        </w:tc>
        <w:tc>
          <w:tcPr>
            <w:tcW w:w="538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GLOSSARY OF OIL AND NATURAL GAS TERMS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description of the meanings of some of the oil and natural gas industry terms used in this Annual Report.</w:t>
      </w:r>
    </w:p>
    <w:p>
      <w:pPr>
        <w:spacing w:after="0" w:line="113" w:lineRule="exact"/>
        <w:rPr>
          <w:sz w:val="20"/>
          <w:szCs w:val="20"/>
          <w:color w:val="auto"/>
        </w:rPr>
      </w:pPr>
    </w:p>
    <w:p>
      <w:pPr>
        <w:ind w:right="3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Batch drilling</w:t>
      </w:r>
      <w:r>
        <w:rPr>
          <w:rFonts w:ascii="Times New Roman" w:cs="Times New Roman" w:eastAsia="Times New Roman" w:hAnsi="Times New Roman"/>
          <w:sz w:val="18"/>
          <w:szCs w:val="18"/>
          <w:color w:val="auto"/>
        </w:rPr>
        <w:t>. The process by which multiple horizontal wells are drilled from a single pad. In batch drilling, the surface holes for each well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drilled first and then the production holes, including the horizontal laterals for each well, are drilled.</w:t>
      </w:r>
    </w:p>
    <w:p>
      <w:pPr>
        <w:spacing w:after="0" w:line="47" w:lineRule="exact"/>
        <w:rPr>
          <w:sz w:val="20"/>
          <w:szCs w:val="20"/>
          <w:color w:val="auto"/>
        </w:rPr>
      </w:pPr>
    </w:p>
    <w:p>
      <w:pPr>
        <w:ind w:right="5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Bbl</w:t>
      </w:r>
      <w:r>
        <w:rPr>
          <w:rFonts w:ascii="Times New Roman" w:cs="Times New Roman" w:eastAsia="Times New Roman" w:hAnsi="Times New Roman"/>
          <w:sz w:val="18"/>
          <w:szCs w:val="18"/>
          <w:color w:val="auto"/>
        </w:rPr>
        <w:t>. One stock tank barrel, or 42 U.S. gallons liquid volume, used in this Annual Report in reference to crude oil, other liquid hydrocarbons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produced water.</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Bcf</w:t>
      </w:r>
      <w:r>
        <w:rPr>
          <w:rFonts w:ascii="Times New Roman" w:cs="Times New Roman" w:eastAsia="Times New Roman" w:hAnsi="Times New Roman"/>
          <w:sz w:val="18"/>
          <w:szCs w:val="18"/>
          <w:color w:val="auto"/>
        </w:rPr>
        <w:t>. One billion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Bench</w:t>
      </w:r>
      <w:r>
        <w:rPr>
          <w:rFonts w:ascii="Times New Roman" w:cs="Times New Roman" w:eastAsia="Times New Roman" w:hAnsi="Times New Roman"/>
          <w:sz w:val="18"/>
          <w:szCs w:val="18"/>
          <w:color w:val="auto"/>
        </w:rPr>
        <w:t>. A geologic zone or formation or a subdivision of a geologic formation.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BOE</w:t>
      </w:r>
      <w:r>
        <w:rPr>
          <w:rFonts w:ascii="Times New Roman" w:cs="Times New Roman" w:eastAsia="Times New Roman" w:hAnsi="Times New Roman"/>
          <w:sz w:val="18"/>
          <w:szCs w:val="18"/>
          <w:color w:val="auto"/>
        </w:rPr>
        <w:t>. Barrels of oil equivalent, determined using the ratio of one Bbl of crude oil, condensate or NGLs to six Mcf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BOE/d</w:t>
      </w:r>
      <w:r>
        <w:rPr>
          <w:rFonts w:ascii="Times New Roman" w:cs="Times New Roman" w:eastAsia="Times New Roman" w:hAnsi="Times New Roman"/>
          <w:sz w:val="18"/>
          <w:szCs w:val="18"/>
          <w:color w:val="auto"/>
        </w:rPr>
        <w:t>. BOE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Btu or British thermal unit</w:t>
      </w:r>
      <w:r>
        <w:rPr>
          <w:rFonts w:ascii="Times New Roman" w:cs="Times New Roman" w:eastAsia="Times New Roman" w:hAnsi="Times New Roman"/>
          <w:sz w:val="18"/>
          <w:szCs w:val="18"/>
          <w:color w:val="auto"/>
        </w:rPr>
        <w:t>. The quantity of heat required to raise the temperature of one pound of water by one degree Fahrenheit.</w:t>
      </w:r>
    </w:p>
    <w:p>
      <w:pPr>
        <w:spacing w:after="0" w:line="117" w:lineRule="exact"/>
        <w:rPr>
          <w:sz w:val="20"/>
          <w:szCs w:val="20"/>
          <w:color w:val="auto"/>
        </w:rPr>
      </w:pPr>
    </w:p>
    <w:p>
      <w:pPr>
        <w:ind w:right="44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Central delivery point or CDP</w:t>
      </w:r>
      <w:r>
        <w:rPr>
          <w:rFonts w:ascii="Times New Roman" w:cs="Times New Roman" w:eastAsia="Times New Roman" w:hAnsi="Times New Roman"/>
          <w:sz w:val="18"/>
          <w:szCs w:val="18"/>
          <w:color w:val="auto"/>
        </w:rPr>
        <w:t>. The point on an oil, natural gas or produced water system where such product is aggregated from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gathering or transportation pipelines, wells, tank batteries or leases. Custody is often transferred to a third party at a central delivery point.</w:t>
      </w:r>
    </w:p>
    <w:p>
      <w:pPr>
        <w:spacing w:after="0" w:line="47" w:lineRule="exact"/>
        <w:rPr>
          <w:sz w:val="20"/>
          <w:szCs w:val="20"/>
          <w:color w:val="auto"/>
        </w:rPr>
      </w:pPr>
    </w:p>
    <w:p>
      <w:pPr>
        <w:ind w:right="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The operations required to establish production of oil or natural gas from a wellbore, usually involving perforations, stimulation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installation of permanent equipment in the well, or in the case of a dry hole, the reporting of abandonment to the appropriate agency.</w:t>
      </w:r>
    </w:p>
    <w:p>
      <w:pPr>
        <w:spacing w:after="0" w:line="4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Condensate</w:t>
      </w:r>
      <w:r>
        <w:rPr>
          <w:rFonts w:ascii="Times New Roman" w:cs="Times New Roman" w:eastAsia="Times New Roman" w:hAnsi="Times New Roman"/>
          <w:sz w:val="18"/>
          <w:szCs w:val="18"/>
          <w:color w:val="auto"/>
        </w:rPr>
        <w:t>. A mixture of hydrocarbons that exists in the gaseous phase at original reservoir temperature and pressure, but that, when produced,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liquid phase at surface pressure and temperature.</w:t>
      </w:r>
    </w:p>
    <w:p>
      <w:pPr>
        <w:spacing w:after="0" w:line="4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Conventional reservoirs or resources</w:t>
      </w:r>
      <w:r>
        <w:rPr>
          <w:rFonts w:ascii="Times New Roman" w:cs="Times New Roman" w:eastAsia="Times New Roman" w:hAnsi="Times New Roman"/>
          <w:sz w:val="18"/>
          <w:szCs w:val="18"/>
          <w:color w:val="auto"/>
        </w:rPr>
        <w:t>. Natural gas or oil that is produced by a well drilled into a geologic formation in which the reservoir and fluid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characteristics permit the natural gas or oil to readily flow to the wellbore.</w:t>
      </w:r>
    </w:p>
    <w:p>
      <w:pPr>
        <w:spacing w:after="0" w:line="47" w:lineRule="exact"/>
        <w:rPr>
          <w:sz w:val="20"/>
          <w:szCs w:val="20"/>
          <w:color w:val="auto"/>
        </w:rPr>
      </w:pPr>
    </w:p>
    <w:p>
      <w:pPr>
        <w:ind w:right="4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Coring</w:t>
      </w:r>
      <w:r>
        <w:rPr>
          <w:rFonts w:ascii="Times New Roman" w:cs="Times New Roman" w:eastAsia="Times New Roman" w:hAnsi="Times New Roman"/>
          <w:sz w:val="18"/>
          <w:szCs w:val="18"/>
          <w:color w:val="auto"/>
        </w:rPr>
        <w:t>. The act of taking a core. A core is a solid column of rock, usually from two to four inches in diameter, taken as a sample of an underground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formation. It is 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Developed acreage</w:t>
      </w:r>
      <w:r>
        <w:rPr>
          <w:rFonts w:ascii="Times New Roman" w:cs="Times New Roman" w:eastAsia="Times New Roman" w:hAnsi="Times New Roman"/>
          <w:sz w:val="18"/>
          <w:szCs w:val="18"/>
          <w:color w:val="auto"/>
        </w:rPr>
        <w:t>. The number of acres that are allocated or assignable to productive wells.</w:t>
      </w:r>
    </w:p>
    <w:p>
      <w:pPr>
        <w:spacing w:after="0" w:line="117" w:lineRule="exact"/>
        <w:rPr>
          <w:sz w:val="20"/>
          <w:szCs w:val="20"/>
          <w:color w:val="auto"/>
        </w:rPr>
      </w:pPr>
    </w:p>
    <w:p>
      <w:pPr>
        <w:ind w:right="30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Developed oil and natural gas reserves</w:t>
      </w:r>
      <w:r>
        <w:rPr>
          <w:rFonts w:ascii="Times New Roman" w:cs="Times New Roman" w:eastAsia="Times New Roman" w:hAnsi="Times New Roman"/>
          <w:sz w:val="18"/>
          <w:szCs w:val="18"/>
          <w:color w:val="auto"/>
        </w:rPr>
        <w:t>. Reserves of any category that can be expected to be recovered (i) through existing wells with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63" w:lineRule="exact"/>
        <w:rPr>
          <w:sz w:val="20"/>
          <w:szCs w:val="20"/>
          <w:color w:val="auto"/>
        </w:rPr>
      </w:pPr>
    </w:p>
    <w:p>
      <w:pPr>
        <w:ind w:right="6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Development well</w:t>
      </w:r>
      <w:r>
        <w:rPr>
          <w:rFonts w:ascii="Times New Roman" w:cs="Times New Roman" w:eastAsia="Times New Roman" w:hAnsi="Times New Roman"/>
          <w:sz w:val="18"/>
          <w:szCs w:val="18"/>
          <w:color w:val="auto"/>
        </w:rPr>
        <w:t>. A well drilled within the proved area of an oil or natural gas reservoir to the depth of a stratigraphic horizon known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productive.</w:t>
      </w:r>
    </w:p>
    <w:p>
      <w:pPr>
        <w:spacing w:after="0" w:line="47" w:lineRule="exact"/>
        <w:rPr>
          <w:sz w:val="20"/>
          <w:szCs w:val="20"/>
          <w:color w:val="auto"/>
        </w:rPr>
      </w:pPr>
    </w:p>
    <w:p>
      <w:pPr>
        <w:ind w:right="5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Differential</w:t>
      </w:r>
      <w:r>
        <w:rPr>
          <w:rFonts w:ascii="Times New Roman" w:cs="Times New Roman" w:eastAsia="Times New Roman" w:hAnsi="Times New Roman"/>
          <w:sz w:val="18"/>
          <w:szCs w:val="18"/>
          <w:color w:val="auto"/>
        </w:rPr>
        <w:t>. The difference between a particular oil or natural gas price and the applicable benchmark price, such as the NYMEX West Texas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Intermediate oil price or the NYMEX Henry Hub natural gas price.</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Dry hole</w:t>
      </w:r>
      <w:r>
        <w:rPr>
          <w:rFonts w:ascii="Times New Roman" w:cs="Times New Roman" w:eastAsia="Times New Roman" w:hAnsi="Times New Roman"/>
          <w:sz w:val="18"/>
          <w:szCs w:val="18"/>
          <w:color w:val="auto"/>
        </w:rPr>
        <w:t>. A well found to be incapable of producing hydrocarbons.</w:t>
      </w:r>
    </w:p>
    <w:p>
      <w:pPr>
        <w:spacing w:after="0" w:line="11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Economically producible</w:t>
      </w:r>
      <w:r>
        <w:rPr>
          <w:rFonts w:ascii="Times New Roman" w:cs="Times New Roman" w:eastAsia="Times New Roman" w:hAnsi="Times New Roman"/>
          <w:sz w:val="18"/>
          <w:szCs w:val="18"/>
          <w:color w:val="auto"/>
        </w:rPr>
        <w:t>. As it relates to a resource, a resource which generates revenue that exceeds, or is reasonably expected to exceed, the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operation.</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ESP</w:t>
      </w:r>
      <w:r>
        <w:rPr>
          <w:rFonts w:ascii="Times New Roman" w:cs="Times New Roman" w:eastAsia="Times New Roman" w:hAnsi="Times New Roman"/>
          <w:sz w:val="18"/>
          <w:szCs w:val="18"/>
          <w:color w:val="auto"/>
        </w:rPr>
        <w:t>. Electric submersible pump.</w:t>
      </w:r>
    </w:p>
    <w:p>
      <w:pPr>
        <w:spacing w:after="0" w:line="117" w:lineRule="exact"/>
        <w:rPr>
          <w:sz w:val="20"/>
          <w:szCs w:val="20"/>
          <w:color w:val="auto"/>
        </w:rPr>
      </w:pPr>
    </w:p>
    <w:p>
      <w:pPr>
        <w:jc w:val="both"/>
        <w:ind w:right="300" w:firstLine="445"/>
        <w:spacing w:after="0" w:line="317" w:lineRule="auto"/>
        <w:rPr>
          <w:sz w:val="20"/>
          <w:szCs w:val="20"/>
          <w:color w:val="auto"/>
        </w:rPr>
      </w:pPr>
      <w:r>
        <w:rPr>
          <w:rFonts w:ascii="Times New Roman" w:cs="Times New Roman" w:eastAsia="Times New Roman" w:hAnsi="Times New Roman"/>
          <w:sz w:val="17"/>
          <w:szCs w:val="17"/>
          <w:b w:val="1"/>
          <w:bCs w:val="1"/>
          <w:color w:val="auto"/>
        </w:rPr>
        <w:t>Exploratory well</w:t>
      </w:r>
      <w:r>
        <w:rPr>
          <w:rFonts w:ascii="Times New Roman" w:cs="Times New Roman" w:eastAsia="Times New Roman" w:hAnsi="Times New Roman"/>
          <w:sz w:val="17"/>
          <w:szCs w:val="17"/>
          <w:color w:val="auto"/>
        </w:rPr>
        <w:t>. A well drilled to find a new field or to find a new reservoir in a field previously found to be productive of oil or natural gas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another reservoir. Generally, an exploratory well is any well that is not a development well, an extension well, a service well or a stratigraphic test well.</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Extension well</w:t>
      </w:r>
      <w:r>
        <w:rPr>
          <w:rFonts w:ascii="Times New Roman" w:cs="Times New Roman" w:eastAsia="Times New Roman" w:hAnsi="Times New Roman"/>
          <w:sz w:val="18"/>
          <w:szCs w:val="18"/>
          <w:color w:val="auto"/>
        </w:rPr>
        <w:t>. A well drilled to extend the limits of a known reservoir.</w:t>
      </w:r>
    </w:p>
    <w:p>
      <w:pPr>
        <w:spacing w:after="0" w:line="117" w:lineRule="exact"/>
        <w:rPr>
          <w:sz w:val="20"/>
          <w:szCs w:val="20"/>
          <w:color w:val="auto"/>
        </w:rPr>
      </w:pPr>
    </w:p>
    <w:p>
      <w:pPr>
        <w:ind w:right="5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Farmin or farmout</w:t>
      </w:r>
      <w:r>
        <w:rPr>
          <w:rFonts w:ascii="Times New Roman" w:cs="Times New Roman" w:eastAsia="Times New Roman" w:hAnsi="Times New Roman"/>
          <w:sz w:val="18"/>
          <w:szCs w:val="18"/>
          <w:color w:val="auto"/>
        </w:rPr>
        <w:t>. An agreement under which the owner of a working interest in an oil or natural gas lease assigns the working interest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working interest to another party who desires to drill on the leased acreage. Generally,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spacing w:after="0" w:line="50" w:lineRule="exact"/>
        <w:rPr>
          <w:sz w:val="20"/>
          <w:szCs w:val="20"/>
          <w:color w:val="auto"/>
        </w:rPr>
      </w:pPr>
    </w:p>
    <w:p>
      <w:pPr>
        <w:ind w:right="3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An area consisting of a single reservoir or multiple reservoirs all grouped on or related to the same individual geological structural feature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stratigraphic condition.</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GAAP, or U.S. GAAP</w:t>
      </w:r>
      <w:r>
        <w:rPr>
          <w:rFonts w:ascii="Times New Roman" w:cs="Times New Roman" w:eastAsia="Times New Roman" w:hAnsi="Times New Roman"/>
          <w:sz w:val="18"/>
          <w:szCs w:val="18"/>
          <w:color w:val="auto"/>
        </w:rPr>
        <w:t>. United States, generally accepted accounting principles.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acres or gross wells</w:t>
      </w:r>
      <w:r>
        <w:rPr>
          <w:rFonts w:ascii="Times New Roman" w:cs="Times New Roman" w:eastAsia="Times New Roman" w:hAnsi="Times New Roman"/>
          <w:sz w:val="18"/>
          <w:szCs w:val="18"/>
          <w:color w:val="auto"/>
        </w:rPr>
        <w:t>. The total acres or wells in which a working interest is owned.</w:t>
      </w:r>
    </w:p>
    <w:p>
      <w:pPr>
        <w:spacing w:after="0" w:line="117" w:lineRule="exact"/>
        <w:rPr>
          <w:sz w:val="20"/>
          <w:szCs w:val="20"/>
          <w:color w:val="auto"/>
        </w:rPr>
      </w:pPr>
    </w:p>
    <w:p>
      <w:pPr>
        <w:ind w:right="3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Held by production</w:t>
      </w:r>
      <w:r>
        <w:rPr>
          <w:rFonts w:ascii="Times New Roman" w:cs="Times New Roman" w:eastAsia="Times New Roman" w:hAnsi="Times New Roman"/>
          <w:sz w:val="18"/>
          <w:szCs w:val="18"/>
          <w:color w:val="auto"/>
        </w:rPr>
        <w:t>. An oil and natural gas property under lease in which the lease continues to be in force after the primary term of the lease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as a result of production from the property.</w:t>
      </w:r>
    </w:p>
    <w:p>
      <w:pPr>
        <w:spacing w:after="0" w:line="47" w:lineRule="exact"/>
        <w:rPr>
          <w:sz w:val="20"/>
          <w:szCs w:val="20"/>
          <w:color w:val="auto"/>
        </w:rPr>
      </w:pPr>
    </w:p>
    <w:p>
      <w:pPr>
        <w:ind w:right="2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Horizontal drilling or well</w:t>
      </w:r>
      <w:r>
        <w:rPr>
          <w:rFonts w:ascii="Times New Roman" w:cs="Times New Roman" w:eastAsia="Times New Roman" w:hAnsi="Times New Roman"/>
          <w:sz w:val="18"/>
          <w:szCs w:val="18"/>
          <w:color w:val="auto"/>
        </w:rPr>
        <w:t>. A drilling operation in which a portion of the well is drilled horizontally within a productive or potentially productive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formation. This operation typically yields a horizontal well that has the ability to produce higher volumes than a vertical well drilled in the same formation. A horizontal well is designed to replace multiple vertical wells, resulting in lower capital expenditures for draining like acreage and limiting surface disruption.</w:t>
      </w:r>
    </w:p>
    <w:p>
      <w:pPr>
        <w:spacing w:after="0" w:line="68" w:lineRule="exact"/>
        <w:rPr>
          <w:sz w:val="20"/>
          <w:szCs w:val="20"/>
          <w:color w:val="auto"/>
        </w:rPr>
      </w:pPr>
    </w:p>
    <w:p>
      <w:pPr>
        <w:ind w:right="4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Hydraulic fracturing</w:t>
      </w:r>
      <w:r>
        <w:rPr>
          <w:rFonts w:ascii="Times New Roman" w:cs="Times New Roman" w:eastAsia="Times New Roman" w:hAnsi="Times New Roman"/>
          <w:sz w:val="18"/>
          <w:szCs w:val="18"/>
          <w:color w:val="auto"/>
        </w:rPr>
        <w:t>. The technique of improving a well’s production or injection rates by pumping a mixture of fluids into the formation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rupturing the rock, creating 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Lateral length</w:t>
      </w:r>
      <w:r>
        <w:rPr>
          <w:rFonts w:ascii="Times New Roman" w:cs="Times New Roman" w:eastAsia="Times New Roman" w:hAnsi="Times New Roman"/>
          <w:sz w:val="18"/>
          <w:szCs w:val="18"/>
          <w:color w:val="auto"/>
        </w:rPr>
        <w:t>. Length of the drilled or completed portion of a horizontal well.</w:t>
      </w:r>
    </w:p>
    <w:p>
      <w:pPr>
        <w:spacing w:after="0" w:line="117" w:lineRule="exact"/>
        <w:rPr>
          <w:sz w:val="20"/>
          <w:szCs w:val="20"/>
          <w:color w:val="auto"/>
        </w:rPr>
      </w:pPr>
    </w:p>
    <w:p>
      <w:pPr>
        <w:ind w:right="3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Liquids</w:t>
      </w:r>
      <w:r>
        <w:rPr>
          <w:rFonts w:ascii="Times New Roman" w:cs="Times New Roman" w:eastAsia="Times New Roman" w:hAnsi="Times New Roman"/>
          <w:sz w:val="18"/>
          <w:szCs w:val="18"/>
          <w:color w:val="auto"/>
        </w:rPr>
        <w:t>. Liquids, or natural gas liquids, are marketable liquid products including ethane, propane, butane, pentane and natural gasoline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further processing of liquefiable hydrocarbons separated from raw natural gas by a natural gas processing facility.</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MBbl</w:t>
      </w:r>
      <w:r>
        <w:rPr>
          <w:rFonts w:ascii="Times New Roman" w:cs="Times New Roman" w:eastAsia="Times New Roman" w:hAnsi="Times New Roman"/>
          <w:sz w:val="18"/>
          <w:szCs w:val="18"/>
          <w:color w:val="auto"/>
        </w:rPr>
        <w:t>. One thousand barrels of crude oil, other liquid hydrocarbons or produced water.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MBOE</w:t>
      </w:r>
      <w:r>
        <w:rPr>
          <w:rFonts w:ascii="Times New Roman" w:cs="Times New Roman" w:eastAsia="Times New Roman" w:hAnsi="Times New Roman"/>
          <w:sz w:val="18"/>
          <w:szCs w:val="18"/>
          <w:color w:val="auto"/>
        </w:rPr>
        <w:t>. One thousand BOE.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Mcf</w:t>
      </w:r>
      <w:r>
        <w:rPr>
          <w:rFonts w:ascii="Times New Roman" w:cs="Times New Roman" w:eastAsia="Times New Roman" w:hAnsi="Times New Roman"/>
          <w:sz w:val="18"/>
          <w:szCs w:val="18"/>
          <w:color w:val="auto"/>
        </w:rPr>
        <w:t>. One thousand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MMBtu</w:t>
      </w:r>
      <w:r>
        <w:rPr>
          <w:rFonts w:ascii="Times New Roman" w:cs="Times New Roman" w:eastAsia="Times New Roman" w:hAnsi="Times New Roman"/>
          <w:sz w:val="18"/>
          <w:szCs w:val="18"/>
          <w:color w:val="auto"/>
        </w:rPr>
        <w:t>. One million British thermal units.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MMcf</w:t>
      </w:r>
      <w:r>
        <w:rPr>
          <w:rFonts w:ascii="Times New Roman" w:cs="Times New Roman" w:eastAsia="Times New Roman" w:hAnsi="Times New Roman"/>
          <w:sz w:val="18"/>
          <w:szCs w:val="18"/>
          <w:color w:val="auto"/>
        </w:rPr>
        <w:t>. One million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NGL</w:t>
      </w:r>
      <w:r>
        <w:rPr>
          <w:rFonts w:ascii="Times New Roman" w:cs="Times New Roman" w:eastAsia="Times New Roman" w:hAnsi="Times New Roman"/>
          <w:sz w:val="18"/>
          <w:szCs w:val="18"/>
          <w:color w:val="auto"/>
        </w:rPr>
        <w:t>. Natural gas liquids.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acres or net wells</w:t>
      </w:r>
      <w:r>
        <w:rPr>
          <w:rFonts w:ascii="Times New Roman" w:cs="Times New Roman" w:eastAsia="Times New Roman" w:hAnsi="Times New Roman"/>
          <w:sz w:val="18"/>
          <w:szCs w:val="18"/>
          <w:color w:val="auto"/>
        </w:rPr>
        <w:t>. The sum of the fractional working interest owned in gross acres or wells.</w:t>
      </w:r>
    </w:p>
    <w:p>
      <w:pPr>
        <w:spacing w:after="0" w:line="117" w:lineRule="exact"/>
        <w:rPr>
          <w:sz w:val="20"/>
          <w:szCs w:val="20"/>
          <w:color w:val="auto"/>
        </w:rPr>
      </w:pPr>
    </w:p>
    <w:p>
      <w:pPr>
        <w:ind w:right="3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Net revenue interest</w:t>
      </w:r>
      <w:r>
        <w:rPr>
          <w:rFonts w:ascii="Times New Roman" w:cs="Times New Roman" w:eastAsia="Times New Roman" w:hAnsi="Times New Roman"/>
          <w:sz w:val="18"/>
          <w:szCs w:val="18"/>
          <w:color w:val="auto"/>
        </w:rPr>
        <w:t>. The interest that defines the percentage of revenue that an owner of a well receives from the sale of oil, natural gas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natural gas liquids that are produced from the well.</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NYMEX</w:t>
      </w:r>
      <w:r>
        <w:rPr>
          <w:rFonts w:ascii="Times New Roman" w:cs="Times New Roman" w:eastAsia="Times New Roman" w:hAnsi="Times New Roman"/>
          <w:sz w:val="18"/>
          <w:szCs w:val="18"/>
          <w:color w:val="auto"/>
        </w:rPr>
        <w:t>. New York Mercantile Exchange.</w:t>
      </w:r>
    </w:p>
    <w:p>
      <w:pPr>
        <w:spacing w:after="0" w:line="117" w:lineRule="exact"/>
        <w:rPr>
          <w:sz w:val="20"/>
          <w:szCs w:val="20"/>
          <w:color w:val="auto"/>
        </w:rPr>
      </w:pPr>
    </w:p>
    <w:p>
      <w:pPr>
        <w:ind w:right="4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Organization of Petroleum Exporting Countries or OPEC</w:t>
      </w:r>
      <w:r>
        <w:rPr>
          <w:rFonts w:ascii="Times New Roman" w:cs="Times New Roman" w:eastAsia="Times New Roman" w:hAnsi="Times New Roman"/>
          <w:sz w:val="18"/>
          <w:szCs w:val="18"/>
          <w:color w:val="auto"/>
        </w:rPr>
        <w:t>. An intergovernmental group of 13 of the world’s major oil-exporting countries,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founded in 1960 to coordinate the petroleum policies of its members and to provide member countries with technical and economic aid.</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OPEC+</w:t>
      </w:r>
      <w:r>
        <w:rPr>
          <w:rFonts w:ascii="Times New Roman" w:cs="Times New Roman" w:eastAsia="Times New Roman" w:hAnsi="Times New Roman"/>
          <w:sz w:val="18"/>
          <w:szCs w:val="18"/>
          <w:color w:val="auto"/>
        </w:rPr>
        <w:t>. A loose affiliation of the member countries of OPEC and 10 of the world’s other major oil-exporting countries, including Russia.</w:t>
      </w:r>
    </w:p>
    <w:p>
      <w:pPr>
        <w:spacing w:after="0" w:line="117" w:lineRule="exact"/>
        <w:rPr>
          <w:sz w:val="20"/>
          <w:szCs w:val="20"/>
          <w:color w:val="auto"/>
        </w:rPr>
      </w:pPr>
    </w:p>
    <w:p>
      <w:pPr>
        <w:jc w:val="both"/>
        <w:ind w:right="100" w:firstLine="445"/>
        <w:spacing w:after="0" w:line="291" w:lineRule="auto"/>
        <w:rPr>
          <w:sz w:val="20"/>
          <w:szCs w:val="20"/>
          <w:color w:val="auto"/>
        </w:rPr>
      </w:pPr>
      <w:r>
        <w:rPr>
          <w:rFonts w:ascii="Times New Roman" w:cs="Times New Roman" w:eastAsia="Times New Roman" w:hAnsi="Times New Roman"/>
          <w:sz w:val="17"/>
          <w:szCs w:val="17"/>
          <w:b w:val="1"/>
          <w:bCs w:val="1"/>
          <w:color w:val="auto"/>
        </w:rPr>
        <w:t>Overriding royalty interest</w:t>
      </w:r>
      <w:r>
        <w:rPr>
          <w:rFonts w:ascii="Times New Roman" w:cs="Times New Roman" w:eastAsia="Times New Roman" w:hAnsi="Times New Roman"/>
          <w:sz w:val="17"/>
          <w:szCs w:val="17"/>
          <w:color w:val="auto"/>
        </w:rPr>
        <w:t>. A fractional interest in the gross production of oil and natural gas under a lease, in addition to the usual royalties paid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lessor, free of 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Pad</w:t>
      </w:r>
      <w:r>
        <w:rPr>
          <w:rFonts w:ascii="Times New Roman" w:cs="Times New Roman" w:eastAsia="Times New Roman" w:hAnsi="Times New Roman"/>
          <w:sz w:val="18"/>
          <w:szCs w:val="18"/>
          <w:color w:val="auto"/>
        </w:rPr>
        <w:t>. The surface constructed to accommodate the drilling, completion and production operations of an oil or natural gas well.</w:t>
      </w:r>
    </w:p>
    <w:p>
      <w:pPr>
        <w:spacing w:after="0" w:line="117" w:lineRule="exact"/>
        <w:rPr>
          <w:sz w:val="20"/>
          <w:szCs w:val="20"/>
          <w:color w:val="auto"/>
        </w:rPr>
      </w:pPr>
    </w:p>
    <w:p>
      <w:pPr>
        <w:ind w:right="34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Pad drilling</w:t>
      </w:r>
      <w:r>
        <w:rPr>
          <w:rFonts w:ascii="Times New Roman" w:cs="Times New Roman" w:eastAsia="Times New Roman" w:hAnsi="Times New Roman"/>
          <w:sz w:val="18"/>
          <w:szCs w:val="18"/>
          <w:color w:val="auto"/>
        </w:rPr>
        <w:t>. The process by which multiple horizontal wells are drilled from a single pad. In pad drilling, each well on the pad is drilled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depth before the next well is initiated.</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Permeability</w:t>
      </w:r>
      <w:r>
        <w:rPr>
          <w:rFonts w:ascii="Times New Roman" w:cs="Times New Roman" w:eastAsia="Times New Roman" w:hAnsi="Times New Roman"/>
          <w:sz w:val="18"/>
          <w:szCs w:val="18"/>
          <w:color w:val="auto"/>
        </w:rPr>
        <w:t>. A reference to the ability of oil and/or natural gas to flow through a reservoir.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Petrophysical analysis</w:t>
      </w:r>
      <w:r>
        <w:rPr>
          <w:rFonts w:ascii="Times New Roman" w:cs="Times New Roman" w:eastAsia="Times New Roman" w:hAnsi="Times New Roman"/>
          <w:sz w:val="18"/>
          <w:szCs w:val="18"/>
          <w:color w:val="auto"/>
        </w:rPr>
        <w:t>. The interpretation of well log measurements, obtained from a string of electronic tools inserted into the borehole, and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core measurements, in which rock samples are retrieved from the subsurface, then combining these measurements with other relevant geological and geophysical information to describe the reservoir rock properties.</w:t>
      </w:r>
    </w:p>
    <w:p>
      <w:pPr>
        <w:spacing w:after="0" w:line="63" w:lineRule="exact"/>
        <w:rPr>
          <w:sz w:val="20"/>
          <w:szCs w:val="20"/>
          <w:color w:val="auto"/>
        </w:rPr>
      </w:pPr>
    </w:p>
    <w:p>
      <w:pPr>
        <w:ind w:right="4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Play</w:t>
      </w:r>
      <w:r>
        <w:rPr>
          <w:rFonts w:ascii="Times New Roman" w:cs="Times New Roman" w:eastAsia="Times New Roman" w:hAnsi="Times New Roman"/>
          <w:sz w:val="18"/>
          <w:szCs w:val="18"/>
          <w:color w:val="auto"/>
        </w:rPr>
        <w:t>. A set of known or postulated oil and/or natural gas accumulations sharing similar geologic, geographic and temporal properties, such as source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rock, migration pathways, timing, trapping mechanism and hydrocarbon type.</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Possible reserves</w:t>
      </w:r>
      <w:r>
        <w:rPr>
          <w:rFonts w:ascii="Times New Roman" w:cs="Times New Roman" w:eastAsia="Times New Roman" w:hAnsi="Times New Roman"/>
          <w:sz w:val="18"/>
          <w:szCs w:val="18"/>
          <w:color w:val="auto"/>
        </w:rPr>
        <w:t>. Additional reserves that are less certain to be recovered than probable reserves.</w:t>
      </w:r>
    </w:p>
    <w:p>
      <w:pPr>
        <w:spacing w:after="0" w:line="117" w:lineRule="exact"/>
        <w:rPr>
          <w:sz w:val="20"/>
          <w:szCs w:val="20"/>
          <w:color w:val="auto"/>
        </w:rPr>
      </w:pPr>
    </w:p>
    <w:p>
      <w:pPr>
        <w:ind w:right="3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Probable reserves</w:t>
      </w:r>
      <w:r>
        <w:rPr>
          <w:rFonts w:ascii="Times New Roman" w:cs="Times New Roman" w:eastAsia="Times New Roman" w:hAnsi="Times New Roman"/>
          <w:sz w:val="18"/>
          <w:szCs w:val="18"/>
          <w:color w:val="auto"/>
        </w:rPr>
        <w:t>. Additional reserves that are less certain to be recovered than proved reserves but which, together with proved reserves,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likely as not to be recovered.</w:t>
      </w:r>
    </w:p>
    <w:p>
      <w:pPr>
        <w:spacing w:after="0" w:line="47" w:lineRule="exact"/>
        <w:rPr>
          <w:sz w:val="20"/>
          <w:szCs w:val="20"/>
          <w:color w:val="auto"/>
        </w:rPr>
      </w:pPr>
    </w:p>
    <w:p>
      <w:pPr>
        <w:ind w:right="2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Producing well, or productive well</w:t>
      </w:r>
      <w:r>
        <w:rPr>
          <w:rFonts w:ascii="Times New Roman" w:cs="Times New Roman" w:eastAsia="Times New Roman" w:hAnsi="Times New Roman"/>
          <w:sz w:val="18"/>
          <w:szCs w:val="18"/>
          <w:color w:val="auto"/>
        </w:rPr>
        <w:t>. A well that is found to be capable of producing hydrocarbons in sufficient quantities such that proceeds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the well’s production exceed production-related expenses and taxes.</w:t>
      </w:r>
    </w:p>
    <w:p>
      <w:pPr>
        <w:spacing w:after="0" w:line="47" w:lineRule="exact"/>
        <w:rPr>
          <w:sz w:val="20"/>
          <w:szCs w:val="20"/>
          <w:color w:val="auto"/>
        </w:rPr>
      </w:pPr>
    </w:p>
    <w:p>
      <w:pPr>
        <w:ind w:right="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Production costs</w:t>
      </w:r>
      <w:r>
        <w:rPr>
          <w:rFonts w:ascii="Times New Roman" w:cs="Times New Roman" w:eastAsia="Times New Roman" w:hAnsi="Times New Roman"/>
          <w:sz w:val="18"/>
          <w:szCs w:val="18"/>
          <w:color w:val="auto"/>
        </w:rPr>
        <w:t>. Costs incurred to operate and maintain wells and related equipment and facilities, including depreciation and applicable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of support equipment and facilities and other costs of operating and maintaining such wells and related equipment and facilities.</w:t>
      </w:r>
    </w:p>
    <w:p>
      <w:pPr>
        <w:spacing w:after="0" w:line="47" w:lineRule="exact"/>
        <w:rPr>
          <w:sz w:val="20"/>
          <w:szCs w:val="20"/>
          <w:color w:val="auto"/>
        </w:rPr>
      </w:pPr>
    </w:p>
    <w:p>
      <w:pPr>
        <w:ind w:right="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Properties</w:t>
      </w:r>
      <w:r>
        <w:rPr>
          <w:rFonts w:ascii="Times New Roman" w:cs="Times New Roman" w:eastAsia="Times New Roman" w:hAnsi="Times New Roman"/>
          <w:sz w:val="18"/>
          <w:szCs w:val="18"/>
          <w:color w:val="auto"/>
        </w:rPr>
        <w:t>. Natural gas and oil wells, production and related equipment and facilities and oil, natural gas, or other mineral fee, leasehold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w:t>
      </w:r>
    </w:p>
    <w:p>
      <w:pPr>
        <w:spacing w:after="0" w:line="47" w:lineRule="exact"/>
        <w:rPr>
          <w:sz w:val="20"/>
          <w:szCs w:val="20"/>
          <w:color w:val="auto"/>
        </w:rPr>
      </w:pPr>
    </w:p>
    <w:p>
      <w:pPr>
        <w:ind w:right="3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Prospect</w:t>
      </w:r>
      <w:r>
        <w:rPr>
          <w:rFonts w:ascii="Times New Roman" w:cs="Times New Roman" w:eastAsia="Times New Roman" w:hAnsi="Times New Roman"/>
          <w:sz w:val="18"/>
          <w:szCs w:val="18"/>
          <w:color w:val="auto"/>
        </w:rPr>
        <w:t>. A specific geographic area which, based on supporting geological, geophysical or other data and preliminary economic analysis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anticipated prices and costs, is considered to have potential for the discovery of commercial hydrocarbons.</w:t>
      </w:r>
    </w:p>
    <w:p>
      <w:pPr>
        <w:spacing w:after="0" w:line="47" w:lineRule="exact"/>
        <w:rPr>
          <w:sz w:val="20"/>
          <w:szCs w:val="20"/>
          <w:color w:val="auto"/>
        </w:rPr>
      </w:pPr>
    </w:p>
    <w:p>
      <w:pPr>
        <w:ind w:right="5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Prospectivity</w:t>
      </w:r>
      <w:r>
        <w:rPr>
          <w:rFonts w:ascii="Times New Roman" w:cs="Times New Roman" w:eastAsia="Times New Roman" w:hAnsi="Times New Roman"/>
          <w:sz w:val="18"/>
          <w:szCs w:val="18"/>
          <w:color w:val="auto"/>
        </w:rPr>
        <w:t>. Having the potential for the discovery and/or future development of commercial hydrocarbons in a specific geographic area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formation.</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Proved area</w:t>
      </w:r>
      <w:r>
        <w:rPr>
          <w:rFonts w:ascii="Times New Roman" w:cs="Times New Roman" w:eastAsia="Times New Roman" w:hAnsi="Times New Roman"/>
          <w:sz w:val="18"/>
          <w:szCs w:val="18"/>
          <w:color w:val="auto"/>
        </w:rPr>
        <w:t>. The part of a property to which proved reserves have been specifically attributed.</w:t>
      </w:r>
    </w:p>
    <w:p>
      <w:pPr>
        <w:spacing w:after="0" w:line="117" w:lineRule="exact"/>
        <w:rPr>
          <w:sz w:val="20"/>
          <w:szCs w:val="20"/>
          <w:color w:val="auto"/>
        </w:rPr>
      </w:pPr>
    </w:p>
    <w:p>
      <w:pPr>
        <w:ind w:right="16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Proved developed non-producing</w:t>
      </w:r>
      <w:r>
        <w:rPr>
          <w:rFonts w:ascii="Times New Roman" w:cs="Times New Roman" w:eastAsia="Times New Roman" w:hAnsi="Times New Roman"/>
          <w:sz w:val="18"/>
          <w:szCs w:val="18"/>
          <w:color w:val="auto"/>
        </w:rPr>
        <w:t>. Hydrocarbons in a potentially producing horizon penetrated by a wellbore, the production of which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postponed pending installation of surface equipment or gathering facilities, or pending the production of hydrocarbons from another formation penetrated by the wellbore. The hydrocarbons are classified as proved developed but non-producing reserves.</w:t>
      </w:r>
    </w:p>
    <w:p>
      <w:pPr>
        <w:spacing w:after="0" w:line="63" w:lineRule="exact"/>
        <w:rPr>
          <w:sz w:val="20"/>
          <w:szCs w:val="20"/>
          <w:color w:val="auto"/>
        </w:rPr>
      </w:pPr>
    </w:p>
    <w:p>
      <w:pPr>
        <w:ind w:right="3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Proved developed reserves</w:t>
      </w:r>
      <w:r>
        <w:rPr>
          <w:rFonts w:ascii="Times New Roman" w:cs="Times New Roman" w:eastAsia="Times New Roman" w:hAnsi="Times New Roman"/>
          <w:sz w:val="18"/>
          <w:szCs w:val="18"/>
          <w:color w:val="auto"/>
        </w:rPr>
        <w:t>. Proved reserves that can be expected to be recovered through existing wells and facilities and by existing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methods.</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Proved properties</w:t>
      </w:r>
      <w:r>
        <w:rPr>
          <w:rFonts w:ascii="Times New Roman" w:cs="Times New Roman" w:eastAsia="Times New Roman" w:hAnsi="Times New Roman"/>
          <w:sz w:val="18"/>
          <w:szCs w:val="18"/>
          <w:color w:val="auto"/>
        </w:rPr>
        <w:t>. Properties with proved reserves.</w:t>
      </w:r>
    </w:p>
    <w:p>
      <w:pPr>
        <w:spacing w:after="0" w:line="117" w:lineRule="exact"/>
        <w:rPr>
          <w:sz w:val="20"/>
          <w:szCs w:val="20"/>
          <w:color w:val="auto"/>
        </w:rPr>
      </w:pPr>
    </w:p>
    <w:p>
      <w:pPr>
        <w:ind w:right="2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Proved reserves</w:t>
      </w:r>
      <w:r>
        <w:rPr>
          <w:rFonts w:ascii="Times New Roman" w:cs="Times New Roman" w:eastAsia="Times New Roman" w:hAnsi="Times New Roman"/>
          <w:sz w:val="18"/>
          <w:szCs w:val="18"/>
          <w:color w:val="auto"/>
        </w:rPr>
        <w:t>. The quantities of oil and natural gas, which, by analysis of geoscience and engineering data, can be estimated with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w:t>
      </w:r>
    </w:p>
    <w:p>
      <w:pPr>
        <w:spacing w:after="0" w:line="68" w:lineRule="exact"/>
        <w:rPr>
          <w:sz w:val="20"/>
          <w:szCs w:val="20"/>
          <w:color w:val="auto"/>
        </w:rPr>
      </w:pPr>
    </w:p>
    <w:p>
      <w:pPr>
        <w:ind w:right="1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Proved undeveloped reserves</w:t>
      </w:r>
      <w:r>
        <w:rPr>
          <w:rFonts w:ascii="Times New Roman" w:cs="Times New Roman" w:eastAsia="Times New Roman" w:hAnsi="Times New Roman"/>
          <w:sz w:val="18"/>
          <w:szCs w:val="18"/>
          <w:color w:val="auto"/>
        </w:rPr>
        <w:t>. Proved reserves that are expected to be recovered from new wells on undrilled acreage or from existing wells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relatively major expenditure is required for recompletion.</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Reasonable certainty. </w:t>
      </w:r>
      <w:r>
        <w:rPr>
          <w:rFonts w:ascii="Times New Roman" w:cs="Times New Roman" w:eastAsia="Times New Roman" w:hAnsi="Times New Roman"/>
          <w:sz w:val="18"/>
          <w:szCs w:val="18"/>
          <w:color w:val="auto"/>
        </w:rPr>
        <w:t>A high degree of confidence that the quantities of oil and/or natural gas will be recovered.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Recompletion</w:t>
      </w:r>
      <w:r>
        <w:rPr>
          <w:rFonts w:ascii="Times New Roman" w:cs="Times New Roman" w:eastAsia="Times New Roman" w:hAnsi="Times New Roman"/>
          <w:sz w:val="18"/>
          <w:szCs w:val="18"/>
          <w:color w:val="auto"/>
        </w:rPr>
        <w:t>. Completing in the same wellbore to reach a new reservoir after production from the original reservoir has been abandoned.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Repeatability</w:t>
      </w:r>
      <w:r>
        <w:rPr>
          <w:rFonts w:ascii="Times New Roman" w:cs="Times New Roman" w:eastAsia="Times New Roman" w:hAnsi="Times New Roman"/>
          <w:sz w:val="18"/>
          <w:szCs w:val="18"/>
          <w:color w:val="auto"/>
        </w:rPr>
        <w:t>. The potential ability to drill multiple wells within a prospect or trend.</w:t>
      </w:r>
    </w:p>
    <w:p>
      <w:pPr>
        <w:spacing w:after="0" w:line="11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Reservoir</w:t>
      </w:r>
      <w:r>
        <w:rPr>
          <w:rFonts w:ascii="Times New Roman" w:cs="Times New Roman" w:eastAsia="Times New Roman" w:hAnsi="Times New Roman"/>
          <w:sz w:val="18"/>
          <w:szCs w:val="18"/>
          <w:color w:val="auto"/>
        </w:rPr>
        <w:t>. A porous and permeable underground formation containing a natural accumulation of producible oil and/or natural gas that is confined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impermeable rock or water barriers and is individual and separate from other reservoirs.</w:t>
      </w:r>
    </w:p>
    <w:p>
      <w:pPr>
        <w:spacing w:after="0" w:line="47" w:lineRule="exact"/>
        <w:rPr>
          <w:sz w:val="20"/>
          <w:szCs w:val="20"/>
          <w:color w:val="auto"/>
        </w:rPr>
      </w:pPr>
    </w:p>
    <w:p>
      <w:pPr>
        <w:ind w:right="4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Reserves. </w:t>
      </w:r>
      <w:r>
        <w:rPr>
          <w:rFonts w:ascii="Times New Roman" w:cs="Times New Roman" w:eastAsia="Times New Roman" w:hAnsi="Times New Roman"/>
          <w:sz w:val="18"/>
          <w:szCs w:val="18"/>
          <w:color w:val="auto"/>
        </w:rPr>
        <w:t>Estimated remaining quantities of oil and gas and related substances anticipated to be economically producible, as of a given date,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development projects to known accumulations.</w:t>
      </w:r>
    </w:p>
    <w:p>
      <w:pPr>
        <w:spacing w:after="0" w:line="47" w:lineRule="exact"/>
        <w:rPr>
          <w:sz w:val="20"/>
          <w:szCs w:val="20"/>
          <w:color w:val="auto"/>
        </w:rPr>
      </w:pPr>
    </w:p>
    <w:p>
      <w:pPr>
        <w:jc w:val="both"/>
        <w:ind w:right="14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Royalty interest</w:t>
      </w:r>
      <w:r>
        <w:rPr>
          <w:rFonts w:ascii="Times New Roman" w:cs="Times New Roman" w:eastAsia="Times New Roman" w:hAnsi="Times New Roman"/>
          <w:sz w:val="18"/>
          <w:szCs w:val="18"/>
          <w:color w:val="auto"/>
        </w:rPr>
        <w:t>. An interest in an oil and natural gas lease that gives the owner of the interest the right to receive a portion of the production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leased 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2-D seismic</w:t>
      </w:r>
      <w:r>
        <w:rPr>
          <w:rFonts w:ascii="Times New Roman" w:cs="Times New Roman" w:eastAsia="Times New Roman" w:hAnsi="Times New Roman"/>
          <w:sz w:val="18"/>
          <w:szCs w:val="18"/>
          <w:color w:val="auto"/>
        </w:rPr>
        <w:t>. The method by which a cross-section of the earth’s subsurface is created through the interpretation of reflection seismic data collected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along a single source profile.</w:t>
      </w:r>
    </w:p>
    <w:p>
      <w:pPr>
        <w:spacing w:after="0" w:line="47" w:lineRule="exact"/>
        <w:rPr>
          <w:sz w:val="20"/>
          <w:szCs w:val="20"/>
          <w:color w:val="auto"/>
        </w:rPr>
      </w:pPr>
    </w:p>
    <w:p>
      <w:pPr>
        <w:ind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3-D seismic</w:t>
      </w:r>
      <w:r>
        <w:rPr>
          <w:rFonts w:ascii="Times New Roman" w:cs="Times New Roman" w:eastAsia="Times New Roman" w:hAnsi="Times New Roman"/>
          <w:sz w:val="18"/>
          <w:szCs w:val="18"/>
          <w:color w:val="auto"/>
        </w:rPr>
        <w:t>. The method by which a three-dimensional image of the earth’s subsurface is created through the interpretation of reflection seismic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over a surface grid. 3-D seismic surveys allow for a more detailed understanding of the subsurface than do 2-D seismic surveys and contribute significantly to field appraisal, exploitation and production.</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Service well. </w:t>
      </w:r>
      <w:r>
        <w:rPr>
          <w:rFonts w:ascii="Times New Roman" w:cs="Times New Roman" w:eastAsia="Times New Roman" w:hAnsi="Times New Roman"/>
          <w:sz w:val="18"/>
          <w:szCs w:val="18"/>
          <w:color w:val="auto"/>
        </w:rPr>
        <w:t>A well drilled or completed for the purpose of supporting production in an existing field.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Spud</w:t>
      </w:r>
      <w:r>
        <w:rPr>
          <w:rFonts w:ascii="Times New Roman" w:cs="Times New Roman" w:eastAsia="Times New Roman" w:hAnsi="Times New Roman"/>
          <w:sz w:val="18"/>
          <w:szCs w:val="18"/>
          <w:color w:val="auto"/>
        </w:rPr>
        <w:t>. The act of beginning to drill an oil or natural gas well.</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Stratigraphic test well. </w:t>
      </w:r>
      <w:r>
        <w:rPr>
          <w:rFonts w:ascii="Times New Roman" w:cs="Times New Roman" w:eastAsia="Times New Roman" w:hAnsi="Times New Roman"/>
          <w:sz w:val="18"/>
          <w:szCs w:val="18"/>
          <w:color w:val="auto"/>
        </w:rPr>
        <w:t>A drilling effort, geologically directed, to obtain information pertaining to specific geologic condition.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Tcf</w:t>
      </w:r>
      <w:r>
        <w:rPr>
          <w:rFonts w:ascii="Times New Roman" w:cs="Times New Roman" w:eastAsia="Times New Roman" w:hAnsi="Times New Roman"/>
          <w:sz w:val="18"/>
          <w:szCs w:val="18"/>
          <w:color w:val="auto"/>
        </w:rPr>
        <w:t>. One trillion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Throughput</w:t>
      </w:r>
      <w:r>
        <w:rPr>
          <w:rFonts w:ascii="Times New Roman" w:cs="Times New Roman" w:eastAsia="Times New Roman" w:hAnsi="Times New Roman"/>
          <w:sz w:val="18"/>
          <w:szCs w:val="18"/>
          <w:color w:val="auto"/>
        </w:rPr>
        <w:t>. The volume of product transported or passing through a pipeline, plant or other facility.</w:t>
      </w:r>
    </w:p>
    <w:p>
      <w:pPr>
        <w:spacing w:after="0" w:line="117" w:lineRule="exact"/>
        <w:rPr>
          <w:sz w:val="20"/>
          <w:szCs w:val="20"/>
          <w:color w:val="auto"/>
        </w:rPr>
      </w:pPr>
    </w:p>
    <w:p>
      <w:pPr>
        <w:ind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Trend</w:t>
      </w:r>
      <w:r>
        <w:rPr>
          <w:rFonts w:ascii="Times New Roman" w:cs="Times New Roman" w:eastAsia="Times New Roman" w:hAnsi="Times New Roman"/>
          <w:sz w:val="18"/>
          <w:szCs w:val="18"/>
          <w:color w:val="auto"/>
        </w:rPr>
        <w:t>. A region of oil and/or natural gas production, the geographic limits of which have not been fully defined, having geological characteristics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have been ascertained through supporting geological, geophysical or other data to contain the potential for oil and/or natural gas reserves in a particular formation or series of formations.</w:t>
      </w:r>
    </w:p>
    <w:p>
      <w:pPr>
        <w:spacing w:after="0" w:line="63" w:lineRule="exact"/>
        <w:rPr>
          <w:sz w:val="20"/>
          <w:szCs w:val="20"/>
          <w:color w:val="auto"/>
        </w:rPr>
      </w:pPr>
    </w:p>
    <w:p>
      <w:pPr>
        <w:jc w:val="both"/>
        <w:ind w:right="16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Unconventional resource play</w:t>
      </w:r>
      <w:r>
        <w:rPr>
          <w:rFonts w:ascii="Times New Roman" w:cs="Times New Roman" w:eastAsia="Times New Roman" w:hAnsi="Times New Roman"/>
          <w:sz w:val="18"/>
          <w:szCs w:val="18"/>
          <w:color w:val="auto"/>
        </w:rPr>
        <w:t>. A set of known or postulated oil and or natural gas resources or reserves warranting further exploration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extracted from (i) low-permeability sandstone and shale formations and (ii) coalbed methane. These plays require the application of advanced technology to extract the oil and natural gas resources.</w:t>
      </w:r>
    </w:p>
    <w:p>
      <w:pPr>
        <w:spacing w:after="0" w:line="63" w:lineRule="exact"/>
        <w:rPr>
          <w:sz w:val="20"/>
          <w:szCs w:val="20"/>
          <w:color w:val="auto"/>
        </w:rPr>
      </w:pPr>
    </w:p>
    <w:p>
      <w:pPr>
        <w:jc w:val="both"/>
        <w:ind w:right="10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Undeveloped acreage</w:t>
      </w:r>
      <w:r>
        <w:rPr>
          <w:rFonts w:ascii="Times New Roman" w:cs="Times New Roman" w:eastAsia="Times New Roman" w:hAnsi="Times New Roman"/>
          <w:sz w:val="18"/>
          <w:szCs w:val="18"/>
          <w:color w:val="auto"/>
        </w:rPr>
        <w:t>. Lease acreage on which wells have not been drilled or completed to a point that would permit the production of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of oil and natural gas, regardless of whether such acreage contains proved reserves. Undeveloped acreage is usually considered to be all acreage that is not allocated or assignable to productive wells.</w:t>
      </w:r>
    </w:p>
    <w:p>
      <w:pPr>
        <w:spacing w:after="0" w:line="63" w:lineRule="exact"/>
        <w:rPr>
          <w:sz w:val="20"/>
          <w:szCs w:val="20"/>
          <w:color w:val="auto"/>
        </w:rPr>
      </w:pPr>
    </w:p>
    <w:p>
      <w:pPr>
        <w:ind w:right="6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Unproved and unevaluated properties</w:t>
      </w:r>
      <w:r>
        <w:rPr>
          <w:rFonts w:ascii="Times New Roman" w:cs="Times New Roman" w:eastAsia="Times New Roman" w:hAnsi="Times New Roman"/>
          <w:sz w:val="18"/>
          <w:szCs w:val="18"/>
          <w:color w:val="auto"/>
        </w:rPr>
        <w:t>. Properties where no drilling or other actions have been undertaken that permit such properties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proved and to which no proved reserves have been assigned.</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Vertical well</w:t>
      </w:r>
      <w:r>
        <w:rPr>
          <w:rFonts w:ascii="Times New Roman" w:cs="Times New Roman" w:eastAsia="Times New Roman" w:hAnsi="Times New Roman"/>
          <w:sz w:val="18"/>
          <w:szCs w:val="18"/>
          <w:color w:val="auto"/>
        </w:rPr>
        <w:t>. A hole drilled vertically into the earth from which oil, natural gas or water flows or is pumped.</w:t>
      </w:r>
    </w:p>
    <w:p>
      <w:pPr>
        <w:spacing w:after="0" w:line="117" w:lineRule="exact"/>
        <w:rPr>
          <w:sz w:val="20"/>
          <w:szCs w:val="20"/>
          <w:color w:val="auto"/>
        </w:rPr>
      </w:pPr>
    </w:p>
    <w:p>
      <w:pPr>
        <w:ind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Visualization</w:t>
      </w:r>
      <w:r>
        <w:rPr>
          <w:rFonts w:ascii="Times New Roman" w:cs="Times New Roman" w:eastAsia="Times New Roman" w:hAnsi="Times New Roman"/>
          <w:sz w:val="18"/>
          <w:szCs w:val="18"/>
          <w:color w:val="auto"/>
        </w:rPr>
        <w:t>. An exploration technique in which the size and shape of subsurface features are mapped and analyzed based upon information derived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well logs, seismic data and other well information.</w:t>
      </w:r>
    </w:p>
    <w:p>
      <w:pPr>
        <w:spacing w:after="0" w:line="47" w:lineRule="exact"/>
        <w:rPr>
          <w:sz w:val="20"/>
          <w:szCs w:val="20"/>
          <w:color w:val="auto"/>
        </w:rPr>
      </w:pPr>
    </w:p>
    <w:p>
      <w:pPr>
        <w:ind w:right="3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Volumetric reserves analysis</w:t>
      </w:r>
      <w:r>
        <w:rPr>
          <w:rFonts w:ascii="Times New Roman" w:cs="Times New Roman" w:eastAsia="Times New Roman" w:hAnsi="Times New Roman"/>
          <w:sz w:val="18"/>
          <w:szCs w:val="18"/>
          <w:color w:val="auto"/>
        </w:rPr>
        <w:t>. A technique used to estimate the amount of recoverable oil and natural gas. It involves calculating the volume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reservoir rock and adjusting that volume for rock porosity, hydrocarbon saturation, formation volume factor and recovery factor.</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WTI</w:t>
      </w:r>
      <w:r>
        <w:rPr>
          <w:rFonts w:ascii="Times New Roman" w:cs="Times New Roman" w:eastAsia="Times New Roman" w:hAnsi="Times New Roman"/>
          <w:sz w:val="18"/>
          <w:szCs w:val="18"/>
          <w:color w:val="auto"/>
        </w:rPr>
        <w:t>. West Texas Intermediate.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Wellbore</w:t>
      </w:r>
      <w:r>
        <w:rPr>
          <w:rFonts w:ascii="Times New Roman" w:cs="Times New Roman" w:eastAsia="Times New Roman" w:hAnsi="Times New Roman"/>
          <w:sz w:val="18"/>
          <w:szCs w:val="18"/>
          <w:color w:val="auto"/>
        </w:rPr>
        <w:t>. The hole made by a well.</w:t>
      </w:r>
    </w:p>
    <w:p>
      <w:pPr>
        <w:spacing w:after="0" w:line="117" w:lineRule="exact"/>
        <w:rPr>
          <w:sz w:val="20"/>
          <w:szCs w:val="20"/>
          <w:color w:val="auto"/>
        </w:rPr>
      </w:pPr>
    </w:p>
    <w:p>
      <w:pPr>
        <w:ind w:right="1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Working interest</w:t>
      </w:r>
      <w:r>
        <w:rPr>
          <w:rFonts w:ascii="Times New Roman" w:cs="Times New Roman" w:eastAsia="Times New Roman" w:hAnsi="Times New Roman"/>
          <w:sz w:val="18"/>
          <w:szCs w:val="18"/>
          <w:color w:val="auto"/>
        </w:rPr>
        <w:t>. The operating interest that gives the owner the right to drill, produce and conduct operating activities on the property and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share of production.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Matador Resources Company and Subsidiaries</w:t>
      </w:r>
    </w:p>
    <w:p>
      <w:pPr>
        <w:spacing w:after="0" w:line="16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CONSOLIDATED FINANCIAL STATEMENTS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December 31, 2023, 2022 and 2021</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F-2</w:t>
            </w:r>
          </w:p>
        </w:tc>
      </w:tr>
      <w:tr>
        <w:trPr>
          <w:trHeight w:val="520"/>
        </w:trPr>
        <w:tc>
          <w:tcPr>
            <w:tcW w:w="4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66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478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9"/>
        </w:trPr>
        <w:tc>
          <w:tcPr>
            <w:tcW w:w="460" w:type="dxa"/>
            <w:vAlign w:val="bottom"/>
          </w:tcPr>
          <w:p>
            <w:pPr>
              <w:spacing w:after="0"/>
              <w:rPr>
                <w:sz w:val="18"/>
                <w:szCs w:val="18"/>
                <w:color w:val="auto"/>
              </w:rPr>
            </w:pP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2023, 2022 and 2021</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
        </w:trPr>
        <w:tc>
          <w:tcPr>
            <w:tcW w:w="4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8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Shareholders’ Equity for the Years Ended December 31, 2023, 2022 and 2021</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9"/>
        </w:trPr>
        <w:tc>
          <w:tcPr>
            <w:tcW w:w="460" w:type="dxa"/>
            <w:vAlign w:val="bottom"/>
          </w:tcPr>
          <w:p>
            <w:pPr>
              <w:spacing w:after="0"/>
              <w:rPr>
                <w:sz w:val="18"/>
                <w:szCs w:val="18"/>
                <w:color w:val="auto"/>
              </w:rPr>
            </w:pP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F-8</w:t>
            </w:r>
          </w:p>
        </w:tc>
      </w:tr>
      <w:tr>
        <w:trPr>
          <w:trHeight w:val="20"/>
        </w:trPr>
        <w:tc>
          <w:tcPr>
            <w:tcW w:w="4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480"/>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720" w:type="dxa"/>
            <w:vAlign w:val="bottom"/>
            <w:gridSpan w:val="6"/>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F-9</w:t>
            </w:r>
          </w:p>
        </w:tc>
      </w:tr>
      <w:tr>
        <w:trPr>
          <w:trHeight w:val="21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Unaudited Supplementary Information</w:t>
            </w:r>
          </w:p>
        </w:tc>
        <w:tc>
          <w:tcPr>
            <w:tcW w:w="7080" w:type="dxa"/>
            <w:vAlign w:val="bottom"/>
            <w:gridSpan w:val="7"/>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F-42</w:t>
            </w:r>
          </w:p>
        </w:tc>
      </w:tr>
      <w:tr>
        <w:trPr>
          <w:trHeight w:val="20"/>
        </w:trPr>
        <w:tc>
          <w:tcPr>
            <w:tcW w:w="4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Matador Resources Company: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7"/>
          <w:szCs w:val="17"/>
          <w:color w:val="auto"/>
        </w:rPr>
        <w:t>We have audited the accompanying consolidated balance sheets of Matador Resources Company and subsidiaries (the Company) as of December 31, 2023 and 2022, the related consolidated statements of income, changes in shareholders’ equity, and cash flows for each of the years in the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2024 expressed an unqualified opinion on the effectiveness of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8" w:lineRule="exact"/>
        <w:rPr>
          <w:sz w:val="20"/>
          <w:szCs w:val="20"/>
          <w:color w:val="auto"/>
        </w:rPr>
      </w:pPr>
    </w:p>
    <w:p>
      <w:pP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Impact of estimated proved oil and natural gas reserves related to evaluated oil and natural gas properties on depletion expense and the ceiling test calculation</w:t>
      </w:r>
    </w:p>
    <w:p>
      <w:pPr>
        <w:spacing w:after="0" w:line="174" w:lineRule="exact"/>
        <w:rPr>
          <w:sz w:val="20"/>
          <w:szCs w:val="20"/>
          <w:color w:val="auto"/>
        </w:rPr>
      </w:pPr>
    </w:p>
    <w:p>
      <w:pPr>
        <w:ind w:left="660"/>
        <w:spacing w:after="0" w:line="238"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uses the full-cost method of accounting for its investments in oil and natural gas properties and amortizes capitalized costs of oil and natural gas properties using the unit-of-production method based on production and estimates of proved reserves quantities. The Company is required to perform a ceiling test calculation on a quarterly basis and the applicable ceiling is equal to the sum of (1) the present value, discounted at 10%, of future net revenues of proved oil and natural gas reserves, reduced by the estimated costs of developing these reserves, plus (2) unproved and unevaluated property costs not being amortized, plus (3) the lower of cost or estimated fair value of unproved and unevaluated properties included in the costs being amortized, if any, less (4) any income tax effects related to the properties involved. Any excess of the Company’s net capitalized costs above the cost center ceiling is charged to operations as a full-cost ceiling impairment. Estimates of economically recoverable oil and natural gas reserves depend upon a number of factors and assumptions, including quantities of oil and natural gas that are ultimately recovered, the timing of the recovery of oil and natural gas reserves, the operating costs incurred, the amount of future development expenditures, and the price received for the production.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ind w:left="660" w:right="220"/>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2023, the Company recorded depletion expense of evaluated oil and natural gas properties of $672.0 million. Additionally, as discussed in Note 3 to the consolidated financial statements, the Company’s consolidated balance sheet includes $9.6 billion of gross evaluated oil and natural gas properties as of December 31, 2023. The Company’s internal reservoir engineers prepare an estimate of the proved oil and natural gas reserves, and the Company engages external reservoir engineers to independently evaluate the proved oil and natural gas reserves estimated by the Company.</w:t>
      </w:r>
    </w:p>
    <w:p>
      <w:pPr>
        <w:spacing w:after="0" w:line="212" w:lineRule="exact"/>
        <w:rPr>
          <w:sz w:val="20"/>
          <w:szCs w:val="20"/>
          <w:color w:val="auto"/>
        </w:rPr>
      </w:pPr>
    </w:p>
    <w:p>
      <w:pPr>
        <w:ind w:left="660" w:right="40"/>
        <w:spacing w:after="0"/>
        <w:rPr>
          <w:sz w:val="20"/>
          <w:szCs w:val="20"/>
          <w:color w:val="auto"/>
        </w:rPr>
      </w:pPr>
      <w:r>
        <w:rPr>
          <w:rFonts w:ascii="Times New Roman" w:cs="Times New Roman" w:eastAsia="Times New Roman" w:hAnsi="Times New Roman"/>
          <w:sz w:val="18"/>
          <w:szCs w:val="18"/>
          <w:color w:val="auto"/>
        </w:rPr>
        <w:t>We identified the assessment of the impact of estimated proved oil and natural gas reserves related to evaluated oil and natural gas properties on both depletion expense and the ceiling test calculation as a critical audit matter. There is a high degree of subjectivity in evaluating the estimate of proved oil and natural gas reserves as auditor judgment was required to evaluate the assumptions used by the Company related to future production volumes, development costs, operating costs, and forecasted oil and natural gas prices inclusive of price differentials.</w:t>
      </w:r>
    </w:p>
    <w:p>
      <w:pPr>
        <w:spacing w:after="0" w:line="212"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over the Company’s depletion and ceiling test processes. This included controls related to the development of the assumptions listed above used to estimate proved reserves used in the respective calculations. We evaluated (1) the professional qualifications of the Company’s internal reservoir engineers as well as the external reservoir engineers and external engineering firm,</w:t>
      </w:r>
    </w:p>
    <w:p>
      <w:pPr>
        <w:spacing w:after="0" w:line="2" w:lineRule="exact"/>
        <w:rPr>
          <w:sz w:val="20"/>
          <w:szCs w:val="20"/>
          <w:color w:val="auto"/>
        </w:rPr>
      </w:pPr>
    </w:p>
    <w:p>
      <w:pPr>
        <w:ind w:left="660" w:right="60" w:hanging="4"/>
        <w:spacing w:after="0" w:line="234" w:lineRule="auto"/>
        <w:tabs>
          <w:tab w:leader="none" w:pos="9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 and ability of the Company’s internal and external reservoir engineers, and (3) the relationship of the external reservoir engineers and external engineering firm to the Company. We assessed the methodology used by the Company to estimate the reserves for consistency with industry and regulatory standards. We also compared the pricing assumptions, including price differentials, used in the reservoir engineers’ estimate of the proved reserves to publicly available oil and natural gas pricing data. We evaluated assumptions used in the reservoir engineers’ estimate regarding future operating and development costs based on historical actual results. In addition, we compared the Company’s historical production forecasts to actual production volumes to assess the Company’s ability to accurately forecast and compared the forecasted production assumption used by the Company in the current period to historical production. We read the findings of the Company’s external reservoir engineers in connection with our evaluation of the Company’s reserves estimates. We recalculated the depletion expense calculation and analyzed it for compliance with industry and regulatory standards. We also analyzed the ceiling test impairment calculation for compliance with industry and regulatory standards. In addition, we performed an independent calculation of the ceiling test impairment calculation and compared our results with the Company’s results.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measurement of evaluated oil and natural gas properties acquired in the Advance Energy Partners business combination</w:t>
      </w:r>
    </w:p>
    <w:p>
      <w:pPr>
        <w:spacing w:after="0" w:line="241" w:lineRule="exact"/>
        <w:rPr>
          <w:sz w:val="20"/>
          <w:szCs w:val="20"/>
          <w:color w:val="auto"/>
        </w:rPr>
      </w:pPr>
    </w:p>
    <w:p>
      <w:pPr>
        <w:ind w:left="660" w:right="100"/>
        <w:spacing w:after="0"/>
        <w:rPr>
          <w:sz w:val="20"/>
          <w:szCs w:val="20"/>
          <w:color w:val="auto"/>
        </w:rPr>
      </w:pPr>
      <w:r>
        <w:rPr>
          <w:rFonts w:ascii="Times New Roman" w:cs="Times New Roman" w:eastAsia="Times New Roman" w:hAnsi="Times New Roman"/>
          <w:sz w:val="18"/>
          <w:szCs w:val="18"/>
          <w:color w:val="auto"/>
        </w:rPr>
        <w:t>As discussed in Note 6 to the consolidated financial statements, on April 12, 2023, the Company completed the acquisition of Advance Energy Partners. As a result of the transaction, the Company acquired evaluated oil and natural gas properties with an acquisition-date fair value of $1.4 billion. The acquisition was accounted for under the acquisition method of accounting. Under the acquisition method of accounting, the purchase price is allocated to the assets acquired and liabilities assumed at their estimated fair values as of the acquisition date, with any excess purchase price allocated to goodwill. The fair value of evaluated oil and natural gas properties were measured using the discounted cash flow method. Inputs to the valuation of evaluated oil and natural gas properties include estimates of future production volumes, expected operating and development costs, future commodity prices and a market-based weighted average cost of capital rate.</w:t>
      </w:r>
    </w:p>
    <w:p>
      <w:pPr>
        <w:spacing w:after="0" w:line="212" w:lineRule="exact"/>
        <w:rPr>
          <w:sz w:val="20"/>
          <w:szCs w:val="20"/>
          <w:color w:val="auto"/>
        </w:rPr>
      </w:pPr>
    </w:p>
    <w:p>
      <w:pPr>
        <w:ind w:left="660"/>
        <w:spacing w:after="0" w:line="238" w:lineRule="auto"/>
        <w:rPr>
          <w:sz w:val="20"/>
          <w:szCs w:val="20"/>
          <w:color w:val="auto"/>
        </w:rPr>
      </w:pPr>
      <w:r>
        <w:rPr>
          <w:rFonts w:ascii="Times New Roman" w:cs="Times New Roman" w:eastAsia="Times New Roman" w:hAnsi="Times New Roman"/>
          <w:sz w:val="18"/>
          <w:szCs w:val="18"/>
          <w:color w:val="auto"/>
        </w:rPr>
        <w:t>We identified the evaluation of the fair value measurement of the evaluated oil and natural gas properties acquired in the Advance Energy Partners transaction as a critical audit matter. There was a high degree of subjective auditor judgment in evaluating management’s key assumptions used to estimate the fair value of such properties. Specifically, these key assumptions included future production volumes, expected operating and development costs, future commodity prices, and a market-based weighted average cost of capital rate as changes to these key assumptions could have had a significant impact on the determination of the fair value. Additionally, the audit effort associated with evaluating the future commodity prices and market-based weighted average cost of capital required specialized skills and knowledge.</w:t>
      </w:r>
    </w:p>
    <w:p>
      <w:pPr>
        <w:spacing w:after="0" w:line="213" w:lineRule="exact"/>
        <w:rPr>
          <w:sz w:val="20"/>
          <w:szCs w:val="20"/>
          <w:color w:val="auto"/>
        </w:rPr>
      </w:pPr>
    </w:p>
    <w:p>
      <w:pPr>
        <w:ind w:left="660" w:right="140"/>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acquisition-date valuation process, including controls over the determination of the key assumptions, as listed above, used to measure the initial fair value of the acquired evaluated oil and natural gas properties. We evaluated (1) the professional qualifications of the Company’s internal and external reservoir engineers and the external engineering firm, (2) the knowledge, skills, and ability of the Company’s internal and external reservoir engineers, and (3) the relationship of the external reservoir engineers and external engineering firm to the Company. We assessed compliance of the methodology used by the Company’s internal and external reservoir engineers to estimate evaluated oil and natural gas reserves with industry</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60"/>
        <w:spacing w:after="0" w:line="241" w:lineRule="auto"/>
        <w:rPr>
          <w:sz w:val="20"/>
          <w:szCs w:val="20"/>
          <w:color w:val="auto"/>
        </w:rPr>
      </w:pPr>
      <w:r>
        <w:rPr>
          <w:rFonts w:ascii="Times New Roman" w:cs="Times New Roman" w:eastAsia="Times New Roman" w:hAnsi="Times New Roman"/>
          <w:sz w:val="18"/>
          <w:szCs w:val="18"/>
          <w:color w:val="auto"/>
        </w:rPr>
        <w:t>and regulatory standards. We compared the estimated future evaluated production volumes used by the Company to historical Advance Energy Partners production volumes. We evaluated the expected operating and developmental cost assumptions used by the internal reservoir engineers to estimate future cash flows by comparing them to Advance Energy Partner’s historical costs and to future operating and developmental cost assumptions used by the Company for its comparable assets operated in the same area. We tested the relevant basis differentials that were applied to the future commodity price assumptions by comparing to historical realized basis differentials from both Advance Energy Partners and the Company. In addition, we involved valuation professionals with specialized skills and knowledge, who assisted in evaluating:</w:t>
      </w:r>
    </w:p>
    <w:p>
      <w:pPr>
        <w:spacing w:after="0" w:line="211" w:lineRule="exact"/>
        <w:rPr>
          <w:sz w:val="20"/>
          <w:szCs w:val="20"/>
          <w:color w:val="auto"/>
        </w:rPr>
      </w:pPr>
    </w:p>
    <w:p>
      <w:pPr>
        <w:ind w:left="980" w:right="340" w:hanging="324"/>
        <w:spacing w:after="0" w:line="238" w:lineRule="auto"/>
        <w:tabs>
          <w:tab w:leader="none" w:pos="9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commodity price assumptions by comparing to an independently developed range of forward price estimates from analysts and other industry sources</w:t>
      </w:r>
    </w:p>
    <w:p>
      <w:pPr>
        <w:ind w:left="980" w:right="440" w:hanging="324"/>
        <w:spacing w:after="0" w:line="243" w:lineRule="auto"/>
        <w:tabs>
          <w:tab w:leader="none" w:pos="9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market-based weighted average cost of capital rate by comparing it against a range that was independently developed using publicly available market data for comparable entities.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9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505,179</w:t>
            </w: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42,151</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224,860</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Joint interest billings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180,947</w:t>
            </w:r>
          </w:p>
        </w:tc>
        <w:tc>
          <w:tcPr>
            <w:tcW w:w="0" w:type="dxa"/>
            <w:vAlign w:val="bottom"/>
          </w:tcPr>
          <w:p>
            <w:pPr>
              <w:spacing w:after="0"/>
              <w:rPr>
                <w:sz w:val="1"/>
                <w:szCs w:val="1"/>
                <w:color w:val="auto"/>
              </w:rPr>
            </w:pPr>
          </w:p>
        </w:tc>
      </w:tr>
      <w:tr>
        <w:trPr>
          <w:trHeight w:val="195"/>
        </w:trPr>
        <w:tc>
          <w:tcPr>
            <w:tcW w:w="9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48,011</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15,184</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51,570</w:t>
            </w:r>
          </w:p>
        </w:tc>
        <w:tc>
          <w:tcPr>
            <w:tcW w:w="0" w:type="dxa"/>
            <w:vAlign w:val="bottom"/>
          </w:tcPr>
          <w:p>
            <w:pPr>
              <w:spacing w:after="0"/>
              <w:rPr>
                <w:sz w:val="1"/>
                <w:szCs w:val="1"/>
                <w:color w:val="auto"/>
              </w:rPr>
            </w:pPr>
          </w:p>
        </w:tc>
      </w:tr>
      <w:tr>
        <w:trPr>
          <w:trHeight w:val="189"/>
        </w:trPr>
        <w:tc>
          <w:tcPr>
            <w:tcW w:w="91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1,071,832</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Evaluated</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9,633,757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6,862,455</w:t>
            </w:r>
          </w:p>
        </w:tc>
        <w:tc>
          <w:tcPr>
            <w:tcW w:w="0" w:type="dxa"/>
            <w:vAlign w:val="bottom"/>
          </w:tcPr>
          <w:p>
            <w:pPr>
              <w:spacing w:after="0"/>
              <w:rPr>
                <w:sz w:val="1"/>
                <w:szCs w:val="1"/>
                <w:color w:val="auto"/>
              </w:rPr>
            </w:pPr>
          </w:p>
        </w:tc>
      </w:tr>
      <w:tr>
        <w:trPr>
          <w:trHeight w:val="195"/>
        </w:trPr>
        <w:tc>
          <w:tcPr>
            <w:tcW w:w="9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Unproved and unevaluated</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1,193,257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977,502</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properties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1,057,668</w:t>
            </w: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32,847</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(5,228,963)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(4,512,275)</w:t>
            </w:r>
          </w:p>
        </w:tc>
        <w:tc>
          <w:tcPr>
            <w:tcW w:w="0" w:type="dxa"/>
            <w:vAlign w:val="bottom"/>
          </w:tcPr>
          <w:p>
            <w:pPr>
              <w:spacing w:after="0"/>
              <w:rPr>
                <w:sz w:val="1"/>
                <w:szCs w:val="1"/>
                <w:color w:val="auto"/>
              </w:rPr>
            </w:pPr>
          </w:p>
        </w:tc>
      </w:tr>
      <w:tr>
        <w:trPr>
          <w:trHeight w:val="189"/>
        </w:trPr>
        <w:tc>
          <w:tcPr>
            <w:tcW w:w="91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6,956,441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4,418,197</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64,476</w:t>
            </w:r>
          </w:p>
        </w:tc>
        <w:tc>
          <w:tcPr>
            <w:tcW w:w="0" w:type="dxa"/>
            <w:vAlign w:val="bottom"/>
          </w:tcPr>
          <w:p>
            <w:pPr>
              <w:spacing w:after="0"/>
              <w:rPr>
                <w:sz w:val="1"/>
                <w:szCs w:val="1"/>
                <w:color w:val="auto"/>
              </w:rPr>
            </w:pPr>
          </w:p>
        </w:tc>
      </w:tr>
      <w:tr>
        <w:trPr>
          <w:trHeight w:val="190"/>
        </w:trPr>
        <w:tc>
          <w:tcPr>
            <w:tcW w:w="91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color w:val="auto"/>
              </w:rPr>
              <w:t>Total other assets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54,683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64,476</w:t>
            </w:r>
          </w:p>
        </w:tc>
        <w:tc>
          <w:tcPr>
            <w:tcW w:w="0" w:type="dxa"/>
            <w:vAlign w:val="bottom"/>
          </w:tcPr>
          <w:p>
            <w:pPr>
              <w:spacing w:after="0"/>
              <w:rPr>
                <w:sz w:val="1"/>
                <w:szCs w:val="1"/>
                <w:color w:val="auto"/>
              </w:rPr>
            </w:pPr>
          </w:p>
        </w:tc>
      </w:tr>
      <w:tr>
        <w:trPr>
          <w:trHeight w:val="221"/>
        </w:trPr>
        <w:tc>
          <w:tcPr>
            <w:tcW w:w="91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7,726,996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5,554,505</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58,848</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261,310</w:t>
            </w: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Royalties payable</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117,698</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due to affiliates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32,803</w:t>
            </w: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52,357</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52,857</w:t>
            </w:r>
          </w:p>
        </w:tc>
        <w:tc>
          <w:tcPr>
            <w:tcW w:w="0" w:type="dxa"/>
            <w:vAlign w:val="bottom"/>
          </w:tcPr>
          <w:p>
            <w:pPr>
              <w:spacing w:after="0"/>
              <w:rPr>
                <w:sz w:val="1"/>
                <w:szCs w:val="1"/>
                <w:color w:val="auto"/>
              </w:rPr>
            </w:pPr>
          </w:p>
        </w:tc>
      </w:tr>
      <w:tr>
        <w:trPr>
          <w:trHeight w:val="189"/>
        </w:trPr>
        <w:tc>
          <w:tcPr>
            <w:tcW w:w="91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575,873</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465,000</w:t>
            </w: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1,184,627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695,245</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52,985</w:t>
            </w: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428,351</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19,960</w:t>
            </w:r>
          </w:p>
        </w:tc>
        <w:tc>
          <w:tcPr>
            <w:tcW w:w="0" w:type="dxa"/>
            <w:vAlign w:val="bottom"/>
          </w:tcPr>
          <w:p>
            <w:pPr>
              <w:spacing w:after="0"/>
              <w:rPr>
                <w:sz w:val="1"/>
                <w:szCs w:val="1"/>
                <w:color w:val="auto"/>
              </w:rPr>
            </w:pPr>
          </w:p>
        </w:tc>
      </w:tr>
      <w:tr>
        <w:trPr>
          <w:trHeight w:val="189"/>
        </w:trPr>
        <w:tc>
          <w:tcPr>
            <w:tcW w:w="91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2,914,033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1,661,541</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18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Common stock — $0.01 par value, 160,000,000 shares authorized; 119,478,282 and 118,953,381 shares issued; and 119,458,674 and 118,948,624</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2,101,999</w:t>
            </w: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1,007,642</w:t>
            </w:r>
          </w:p>
        </w:tc>
        <w:tc>
          <w:tcPr>
            <w:tcW w:w="0" w:type="dxa"/>
            <w:vAlign w:val="bottom"/>
          </w:tcPr>
          <w:p>
            <w:pPr>
              <w:spacing w:after="0"/>
              <w:rPr>
                <w:sz w:val="1"/>
                <w:szCs w:val="1"/>
                <w:color w:val="auto"/>
              </w:rPr>
            </w:pPr>
          </w:p>
        </w:tc>
      </w:tr>
      <w:tr>
        <w:trPr>
          <w:trHeight w:val="196"/>
        </w:trPr>
        <w:tc>
          <w:tcPr>
            <w:tcW w:w="9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Treasury stock, at cost, 19,608 and 4,757 shares, respectively</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3,910,862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3,110,797</w:t>
            </w:r>
          </w:p>
        </w:tc>
        <w:tc>
          <w:tcPr>
            <w:tcW w:w="0" w:type="dxa"/>
            <w:vAlign w:val="bottom"/>
          </w:tcPr>
          <w:p>
            <w:pPr>
              <w:spacing w:after="0"/>
              <w:rPr>
                <w:sz w:val="1"/>
                <w:szCs w:val="1"/>
                <w:color w:val="auto"/>
              </w:rPr>
            </w:pPr>
          </w:p>
        </w:tc>
      </w:tr>
      <w:tr>
        <w:trPr>
          <w:trHeight w:val="196"/>
        </w:trPr>
        <w:tc>
          <w:tcPr>
            <w:tcW w:w="9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206,294</w:t>
            </w:r>
          </w:p>
        </w:tc>
        <w:tc>
          <w:tcPr>
            <w:tcW w:w="0" w:type="dxa"/>
            <w:vAlign w:val="bottom"/>
          </w:tcPr>
          <w:p>
            <w:pPr>
              <w:spacing w:after="0"/>
              <w:rPr>
                <w:sz w:val="1"/>
                <w:szCs w:val="1"/>
                <w:color w:val="auto"/>
              </w:rPr>
            </w:pPr>
          </w:p>
        </w:tc>
      </w:tr>
      <w:tr>
        <w:trPr>
          <w:trHeight w:val="203"/>
        </w:trPr>
        <w:tc>
          <w:tcPr>
            <w:tcW w:w="9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4,127,688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3,317,091</w:t>
            </w:r>
          </w:p>
        </w:tc>
        <w:tc>
          <w:tcPr>
            <w:tcW w:w="0" w:type="dxa"/>
            <w:vAlign w:val="bottom"/>
          </w:tcPr>
          <w:p>
            <w:pPr>
              <w:spacing w:after="0"/>
              <w:rPr>
                <w:sz w:val="1"/>
                <w:szCs w:val="1"/>
                <w:color w:val="auto"/>
              </w:rPr>
            </w:pPr>
          </w:p>
        </w:tc>
      </w:tr>
      <w:tr>
        <w:trPr>
          <w:trHeight w:val="190"/>
        </w:trPr>
        <w:tc>
          <w:tcPr>
            <w:tcW w:w="91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7,726,996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5,554,505</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1"/>
        </w:trPr>
        <w:tc>
          <w:tcPr>
            <w:tcW w:w="764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2,905,738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1,700,542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75,499</w:t>
            </w: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1,662,981</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178,987</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operating</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61,459</w:t>
            </w: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natural gas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344,905</w:t>
            </w: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96,396</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1,597,463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1,298,755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869,905</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793,076</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715,346</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74,710</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640,636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(55,668)</w:t>
            </w:r>
          </w:p>
        </w:tc>
        <w:tc>
          <w:tcPr>
            <w:tcW w:w="0" w:type="dxa"/>
            <w:vAlign w:val="bottom"/>
          </w:tcPr>
          <w:p>
            <w:pPr>
              <w:spacing w:after="0"/>
              <w:rPr>
                <w:sz w:val="1"/>
                <w:szCs w:val="1"/>
                <w:color w:val="auto"/>
              </w:rPr>
            </w:pPr>
          </w:p>
        </w:tc>
      </w:tr>
      <w:tr>
        <w:trPr>
          <w:trHeight w:val="223"/>
        </w:trPr>
        <w:tc>
          <w:tcPr>
            <w:tcW w:w="74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584,968</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119,980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120,131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119,163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4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62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tbl>
      <w:tblPr>
        <w:tblLayout w:type="fixed"/>
        <w:tblInd w:w="0" w:type="dxa"/>
        <w:tblCellMar>
          <w:top w:w="0" w:type="dxa"/>
          <w:left w:w="0" w:type="dxa"/>
          <w:bottom w:w="0" w:type="dxa"/>
          <w:right w:w="0" w:type="dxa"/>
        </w:tblCellMar>
      </w:tblPr>
      <w:tr>
        <w:trPr>
          <w:trHeight w:val="131"/>
        </w:trPr>
        <w:tc>
          <w:tcPr>
            <w:tcW w:w="4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3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tcPr>
          <w:p>
            <w:pPr>
              <w:jc w:val="center"/>
              <w:ind w:right="80"/>
              <w:spacing w:after="0" w:line="68" w:lineRule="exact"/>
              <w:rPr>
                <w:sz w:val="20"/>
                <w:szCs w:val="20"/>
                <w:color w:val="auto"/>
              </w:rPr>
            </w:pPr>
            <w:r>
              <w:rPr>
                <w:rFonts w:ascii="Times New Roman" w:cs="Times New Roman" w:eastAsia="Times New Roman" w:hAnsi="Times New Roman"/>
                <w:sz w:val="7"/>
                <w:szCs w:val="7"/>
                <w:b w:val="1"/>
                <w:bCs w:val="1"/>
                <w:color w:val="auto"/>
              </w:rPr>
              <w:t>paid-in</w:t>
            </w:r>
          </w:p>
        </w:tc>
        <w:tc>
          <w:tcPr>
            <w:tcW w:w="140" w:type="dxa"/>
            <w:vAlign w:val="bottom"/>
          </w:tcPr>
          <w:p>
            <w:pPr>
              <w:spacing w:after="0"/>
              <w:rPr>
                <w:sz w:val="5"/>
                <w:szCs w:val="5"/>
                <w:color w:val="auto"/>
              </w:rPr>
            </w:pPr>
          </w:p>
        </w:tc>
        <w:tc>
          <w:tcPr>
            <w:tcW w:w="840" w:type="dxa"/>
            <w:vAlign w:val="bottom"/>
            <w:gridSpan w:val="2"/>
          </w:tcPr>
          <w:p>
            <w:pPr>
              <w:jc w:val="center"/>
              <w:ind w:right="240"/>
              <w:spacing w:after="0" w:line="68" w:lineRule="exact"/>
              <w:rPr>
                <w:sz w:val="20"/>
                <w:szCs w:val="20"/>
                <w:color w:val="auto"/>
              </w:rPr>
            </w:pPr>
            <w:r>
              <w:rPr>
                <w:rFonts w:ascii="Times New Roman" w:cs="Times New Roman" w:eastAsia="Times New Roman" w:hAnsi="Times New Roman"/>
                <w:sz w:val="7"/>
                <w:szCs w:val="7"/>
                <w:b w:val="1"/>
                <w:bCs w:val="1"/>
                <w:color w:val="auto"/>
              </w:rPr>
              <w:t>retained</w:t>
            </w: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tcPr>
          <w:p>
            <w:pPr>
              <w:jc w:val="center"/>
              <w:ind w:right="220"/>
              <w:spacing w:after="0" w:line="68" w:lineRule="exact"/>
              <w:rPr>
                <w:sz w:val="20"/>
                <w:szCs w:val="20"/>
                <w:color w:val="auto"/>
              </w:rPr>
            </w:pPr>
            <w:r>
              <w:rPr>
                <w:rFonts w:ascii="Times New Roman" w:cs="Times New Roman" w:eastAsia="Times New Roman" w:hAnsi="Times New Roman"/>
                <w:sz w:val="7"/>
                <w:szCs w:val="7"/>
                <w:b w:val="1"/>
                <w:bCs w:val="1"/>
                <w:color w:val="auto"/>
              </w:rPr>
              <w:t>Resources</w:t>
            </w:r>
          </w:p>
        </w:tc>
        <w:tc>
          <w:tcPr>
            <w:tcW w:w="100" w:type="dxa"/>
            <w:vAlign w:val="bottom"/>
          </w:tcPr>
          <w:p>
            <w:pPr>
              <w:spacing w:after="0"/>
              <w:rPr>
                <w:sz w:val="5"/>
                <w:szCs w:val="5"/>
                <w:color w:val="auto"/>
              </w:rPr>
            </w:pPr>
          </w:p>
        </w:tc>
        <w:tc>
          <w:tcPr>
            <w:tcW w:w="780" w:type="dxa"/>
            <w:vAlign w:val="bottom"/>
            <w:gridSpan w:val="2"/>
          </w:tcPr>
          <w:p>
            <w:pPr>
              <w:jc w:val="center"/>
              <w:ind w:right="160"/>
              <w:spacing w:after="0" w:line="68" w:lineRule="exact"/>
              <w:rPr>
                <w:sz w:val="20"/>
                <w:szCs w:val="20"/>
                <w:color w:val="auto"/>
              </w:rPr>
            </w:pPr>
            <w:r>
              <w:rPr>
                <w:rFonts w:ascii="Times New Roman" w:cs="Times New Roman" w:eastAsia="Times New Roman" w:hAnsi="Times New Roman"/>
                <w:sz w:val="7"/>
                <w:szCs w:val="7"/>
                <w:b w:val="1"/>
                <w:bCs w:val="1"/>
                <w:color w:val="auto"/>
              </w:rPr>
              <w:t>interest in</w:t>
            </w:r>
          </w:p>
        </w:tc>
        <w:tc>
          <w:tcPr>
            <w:tcW w:w="88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shareholders’</w:t>
            </w: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116,847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$ 2,027,069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(741,705)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1,513,025</w:t>
            </w: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(0.125 per share)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(14,581)</w:t>
            </w:r>
          </w:p>
        </w:tc>
        <w:tc>
          <w:tcPr>
            <w:tcW w:w="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(14,581)</w:t>
            </w: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 compensation</w:t>
            </w: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$3.6</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45,056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45,056</w:t>
            </w: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million (See Note 11)</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(61,985)</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treasury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584,968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640,636</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5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117,862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2,077,592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(171,318)</w:t>
            </w:r>
          </w:p>
        </w:tc>
        <w:tc>
          <w:tcPr>
            <w:tcW w:w="8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1,907,210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220,178</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2,127,388</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(0.30 per share)</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(35,246)</w:t>
            </w: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employee stock compensation</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20,224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20,224</w:t>
            </w: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$5.9</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22,318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22,318</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11)</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(85,995)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(85,995)</w:t>
            </w: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treasury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1,214,206</w:t>
            </w:r>
          </w:p>
        </w:tc>
        <w:tc>
          <w:tcPr>
            <w:tcW w:w="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1,286,317</w:t>
            </w:r>
          </w:p>
        </w:tc>
        <w:tc>
          <w:tcPr>
            <w:tcW w:w="0" w:type="dxa"/>
            <w:vAlign w:val="bottom"/>
          </w:tcPr>
          <w:p>
            <w:pPr>
              <w:spacing w:after="0"/>
              <w:rPr>
                <w:sz w:val="1"/>
                <w:szCs w:val="1"/>
                <w:color w:val="auto"/>
              </w:rPr>
            </w:pPr>
          </w:p>
        </w:tc>
      </w:tr>
      <w:tr>
        <w:trPr>
          <w:trHeight w:val="221"/>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118,953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$ 2,101,999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3,317,091</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1300" w:type="dxa"/>
            <w:vAlign w:val="bottom"/>
            <w:gridSpan w:val="5"/>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20" w:type="dxa"/>
            <w:vAlign w:val="bottom"/>
            <w:gridSpan w:val="5"/>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Matador</w:t>
            </w:r>
          </w:p>
        </w:tc>
        <w:tc>
          <w:tcPr>
            <w:tcW w:w="88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3"/>
                <w:szCs w:val="13"/>
                <w:color w:val="auto"/>
              </w:rPr>
            </w:pPr>
          </w:p>
        </w:tc>
        <w:tc>
          <w:tcPr>
            <w:tcW w:w="72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5"/>
                <w:szCs w:val="5"/>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00" w:type="dxa"/>
            <w:vAlign w:val="bottom"/>
          </w:tcPr>
          <w:p>
            <w:pPr>
              <w:spacing w:after="0"/>
              <w:rPr>
                <w:sz w:val="5"/>
                <w:szCs w:val="5"/>
                <w:color w:val="auto"/>
              </w:rPr>
            </w:pPr>
          </w:p>
        </w:tc>
        <w:tc>
          <w:tcPr>
            <w:tcW w:w="78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48"/>
        </w:trPr>
        <w:tc>
          <w:tcPr>
            <w:tcW w:w="4140" w:type="dxa"/>
            <w:vAlign w:val="bottom"/>
          </w:tcPr>
          <w:p>
            <w:pPr>
              <w:spacing w:after="0"/>
              <w:rPr>
                <w:sz w:val="4"/>
                <w:szCs w:val="4"/>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6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5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118,953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$ 2,101,999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1,007,642</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3,110,797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206,294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3,317,091</w:t>
            </w:r>
          </w:p>
        </w:tc>
        <w:tc>
          <w:tcPr>
            <w:tcW w:w="0" w:type="dxa"/>
            <w:vAlign w:val="bottom"/>
          </w:tcPr>
          <w:p>
            <w:pPr>
              <w:spacing w:after="0"/>
              <w:rPr>
                <w:sz w:val="1"/>
                <w:szCs w:val="1"/>
                <w:color w:val="auto"/>
              </w:rPr>
            </w:pPr>
          </w:p>
        </w:tc>
      </w:tr>
      <w:tr>
        <w:trPr>
          <w:trHeight w:val="19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($0.65 per share)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(77,175)</w:t>
            </w:r>
          </w:p>
        </w:tc>
        <w:tc>
          <w:tcPr>
            <w:tcW w:w="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(77,175)</w:t>
            </w:r>
          </w:p>
        </w:tc>
        <w:tc>
          <w:tcPr>
            <w:tcW w:w="0" w:type="dxa"/>
            <w:vAlign w:val="bottom"/>
          </w:tcPr>
          <w:p>
            <w:pPr>
              <w:spacing w:after="0"/>
              <w:rPr>
                <w:sz w:val="1"/>
                <w:szCs w:val="1"/>
                <w:color w:val="auto"/>
              </w:rPr>
            </w:pPr>
          </w:p>
        </w:tc>
      </w:tr>
      <w:tr>
        <w:trPr>
          <w:trHeight w:val="146"/>
        </w:trPr>
        <w:tc>
          <w:tcPr>
            <w:tcW w:w="4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pursuant to employee stock compensation</w:t>
            </w: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(15,554)</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21,580</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0" w:type="dxa"/>
            <w:vAlign w:val="bottom"/>
          </w:tcPr>
          <w:p>
            <w:pPr>
              <w:spacing w:after="0"/>
              <w:rPr>
                <w:sz w:val="1"/>
                <w:szCs w:val="1"/>
                <w:color w:val="auto"/>
              </w:rPr>
            </w:pPr>
          </w:p>
        </w:tc>
      </w:tr>
      <w:tr>
        <w:trPr>
          <w:trHeight w:val="139"/>
        </w:trPr>
        <w:tc>
          <w:tcPr>
            <w:tcW w:w="4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Contributions related to formation of San Mateo, net of tax of $8.0</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30,178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30,178</w:t>
            </w: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million (See Note 11)</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 (See Note 11)</w:t>
            </w: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(78,253)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(78,253)</w:t>
            </w: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treasury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846,074</w:t>
            </w:r>
          </w:p>
        </w:tc>
        <w:tc>
          <w:tcPr>
            <w:tcW w:w="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910,359</w:t>
            </w:r>
          </w:p>
        </w:tc>
        <w:tc>
          <w:tcPr>
            <w:tcW w:w="0" w:type="dxa"/>
            <w:vAlign w:val="bottom"/>
          </w:tcPr>
          <w:p>
            <w:pPr>
              <w:spacing w:after="0"/>
              <w:rPr>
                <w:sz w:val="1"/>
                <w:szCs w:val="1"/>
                <w:color w:val="auto"/>
              </w:rPr>
            </w:pPr>
          </w:p>
        </w:tc>
      </w:tr>
      <w:tr>
        <w:trPr>
          <w:trHeight w:val="22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119,478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$ 2,133,172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1,776,541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3,910,862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4,127,688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7" w:right="339" w:bottom="663"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4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jc w:val="center"/>
              <w:ind w:left="3367"/>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711"/>
        </w:trPr>
        <w:tc>
          <w:tcPr>
            <w:tcW w:w="7820" w:type="dxa"/>
            <w:vAlign w:val="bottom"/>
          </w:tcPr>
          <w:p>
            <w:pPr>
              <w:jc w:val="center"/>
              <w:ind w:left="3347"/>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8"/>
        </w:trPr>
        <w:tc>
          <w:tcPr>
            <w:tcW w:w="7820" w:type="dxa"/>
            <w:vAlign w:val="bottom"/>
          </w:tcPr>
          <w:p>
            <w:pPr>
              <w:jc w:val="center"/>
              <w:ind w:left="3347"/>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1"/>
        </w:trPr>
        <w:tc>
          <w:tcPr>
            <w:tcW w:w="7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right"/>
              <w:ind w:right="628"/>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910,359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1,286,317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640,636</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7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Unrealized loss (gain) on derivatives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(21,011)</w:t>
            </w:r>
          </w:p>
        </w:tc>
      </w:tr>
      <w:tr>
        <w:trPr>
          <w:trHeight w:val="210"/>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344,905</w:t>
            </w:r>
          </w:p>
        </w:tc>
      </w:tr>
      <w:tr>
        <w:trPr>
          <w:trHeight w:val="195"/>
        </w:trPr>
        <w:tc>
          <w:tcPr>
            <w:tcW w:w="7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r>
      <w:tr>
        <w:trPr>
          <w:trHeight w:val="210"/>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9,039</w:t>
            </w:r>
          </w:p>
        </w:tc>
      </w:tr>
      <w:tr>
        <w:trPr>
          <w:trHeight w:val="195"/>
        </w:trPr>
        <w:tc>
          <w:tcPr>
            <w:tcW w:w="7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income tax provision</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74,710</w:t>
            </w:r>
          </w:p>
        </w:tc>
      </w:tr>
      <w:tr>
        <w:trPr>
          <w:trHeight w:val="210"/>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 and other debt related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w:t>
            </w:r>
          </w:p>
        </w:tc>
      </w:tr>
      <w:tr>
        <w:trPr>
          <w:trHeight w:val="195"/>
        </w:trPr>
        <w:tc>
          <w:tcPr>
            <w:tcW w:w="7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non-cash changes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210"/>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78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(98,456)</w:t>
            </w:r>
          </w:p>
        </w:tc>
      </w:tr>
      <w:tr>
        <w:trPr>
          <w:trHeight w:val="210"/>
        </w:trPr>
        <w:tc>
          <w:tcPr>
            <w:tcW w:w="78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r>
      <w:tr>
        <w:trPr>
          <w:trHeight w:val="195"/>
        </w:trPr>
        <w:tc>
          <w:tcPr>
            <w:tcW w:w="78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(11,786)</w:t>
            </w:r>
          </w:p>
        </w:tc>
      </w:tr>
      <w:tr>
        <w:trPr>
          <w:trHeight w:val="210"/>
        </w:trPr>
        <w:tc>
          <w:tcPr>
            <w:tcW w:w="78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5"/>
        </w:trPr>
        <w:tc>
          <w:tcPr>
            <w:tcW w:w="78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76,891</w:t>
            </w:r>
          </w:p>
        </w:tc>
      </w:tr>
      <w:tr>
        <w:trPr>
          <w:trHeight w:val="210"/>
        </w:trPr>
        <w:tc>
          <w:tcPr>
            <w:tcW w:w="78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Royalties payable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28,310</w:t>
            </w:r>
          </w:p>
        </w:tc>
      </w:tr>
      <w:tr>
        <w:trPr>
          <w:trHeight w:val="195"/>
        </w:trPr>
        <w:tc>
          <w:tcPr>
            <w:tcW w:w="78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w:t>
            </w:r>
          </w:p>
        </w:tc>
      </w:tr>
      <w:tr>
        <w:trPr>
          <w:trHeight w:val="210"/>
        </w:trPr>
        <w:tc>
          <w:tcPr>
            <w:tcW w:w="78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r>
      <w:tr>
        <w:trPr>
          <w:trHeight w:val="189"/>
        </w:trPr>
        <w:tc>
          <w:tcPr>
            <w:tcW w:w="782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1,867,828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1,978,739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1,053,355</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Drilling, completion and equipping capital expenditures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(1,192,800)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(771,830)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(431,136)</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Advance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(238,609)</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capital expenditures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(63,359)</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 of midstream assets</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96"/>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 and other</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4,215</w:t>
            </w:r>
          </w:p>
        </w:tc>
      </w:tr>
      <w:tr>
        <w:trPr>
          <w:trHeight w:val="203"/>
        </w:trPr>
        <w:tc>
          <w:tcPr>
            <w:tcW w:w="78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(3,211,192)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(1,037,477)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(729,265)</w:t>
            </w: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Credit Agreement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260,000</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San Mateo Credit Facility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135,000</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to enter into or amend credit facilities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494,800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Issuance costs of senior unsecured notes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 of senior unsecured notes</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(344,302)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(14,581)</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Contributions related to formation of San Mateo</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48,626</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from non-controlling interest owners of less-than-wholly-owned subsidiaries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(61,985)</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w:t>
            </w:r>
          </w:p>
        </w:tc>
      </w:tr>
      <w:tr>
        <w:trPr>
          <w:trHeight w:val="196"/>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203"/>
        </w:trPr>
        <w:tc>
          <w:tcPr>
            <w:tcW w:w="78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902,332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(480,852)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(328,553)</w:t>
            </w: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increase in cash and restricted cash</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460,410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547,330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91,383</w:t>
            </w:r>
          </w:p>
        </w:tc>
      </w:t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106,298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547,330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86,920</w:t>
            </w:r>
          </w:p>
        </w:tc>
      </w:tr>
      <w:tr>
        <w:trPr>
          <w:trHeight w:val="27"/>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(Note 15)</w:t>
      </w:r>
    </w:p>
    <w:p>
      <w:pPr>
        <w:spacing w:after="0" w:line="17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6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and its subsidiaries (“San Mateo”), and Pronto Midstream, LLC and its subsidiary (“Pronto”)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80" w:lineRule="exact"/>
        <w:rPr>
          <w:sz w:val="20"/>
          <w:szCs w:val="20"/>
          <w:color w:val="auto"/>
        </w:rPr>
      </w:pPr>
    </w:p>
    <w:p>
      <w:pPr>
        <w:ind w:right="55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i w:val="1"/>
          <w:iCs w:val="1"/>
          <w:u w:val="single" w:color="auto"/>
          <w:color w:val="auto"/>
        </w:rPr>
        <w:t>Basis of Presentation</w:t>
      </w:r>
    </w:p>
    <w:p>
      <w:pPr>
        <w:spacing w:after="0" w:line="1"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The Company proportionately consolidates certain joint ventures that are less-than-wholly-owned and are involved in oil and natural gas exploration. All intercompany balances and transactions have been eliminated in consolidation.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65"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 While the Company believes its estimates are reasonable, changes in facts and assumptions or the discovery of new information may result in revised estimates. Actual results could differ from these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1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 sells its operated oil, natural gas and natural gas liquids (“NGL”) production to various purchasers (see “—Revenues” below). In addition, the Company may participate with industry partners in the drilling, completion and operation of oil and natural gas wells. Substantially all of the Company’s accounts receivable are due from purchasers of oil, natural gas and NGLs, participants in oil and natural gas wells for which the Company serves as the operator, customers of San Mateo and Pronto or the Company’s derivative counterparties. Accounts receivable are typically due within 30 to 60 days of the production date and 30 days of the billing date and are stated at amounts due from purchasers and industry partners. Amounts are considered past due if they have been outstanding for 60 days or more. No interest is typically charged on past due amounts.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Company reviews its need for an allowance for doubtful accounts on a periodic basis and determines the allowance, if any, by considering the length of time past due, previous loss history, future net revenues associated with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spacing w:after="0" w:line="7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three significant purchasers accounted for 76% of the Company’s total oil, natural gas and NGL revenues: Plains Marketing, L.P. (42%), Exxon Mobil Corporation (24%) and Enterprise (10%). For the year ended December 31, 2022, three significant purchasers accounted for 70% of the Company’s total oil, natural gas and NGL revenues: Exxon Mobil Corporation (34%), Plains Marketing, L.P. (27%) and BP America Production Company (9%). For the year ended December 31, 2021, three significant purchasers accounted for 72% of the Company’s total oil, natural gas and NGL revenues: Exxon Mobil Corporation (33%), Plains Marketing, L.P. (29%) and BP America Production Company (10%). If any one of Matador’s major customers were to stop purchasing its production, the Company believes there are a number of other purchasers to whom the Company could sell Matador’s production. If multiple significant customers were to discontinue purchasing Matador’s production abruptly, the Company believes it would have the resources needed to access alternative customers or markets and avoid or materially mitigate associated sales disruptions. At December 31, 2023, 2022 and 2021, approximately 38%, 29% and 39%, respectively, of the Company’s accounts receivable, including joint interest billings, related to the top three purchasers.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 and Well Equipment Inventory</w:t>
      </w:r>
    </w:p>
    <w:p>
      <w:pPr>
        <w:spacing w:after="0" w:line="11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Lease and well equipment inventory is stated at the lower of cost or net realizable value and consists entirely of materials or equipment scheduled for use in future well or midstream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Oil and Natural Gas Properties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 The Company capitalized $54.2 million, $47.8 million and $38.4 million of its general and administrative costs into oil and natural gas properties in 2023, 2022 and 2021, respectively. The Company capitalized $20.2 million, $10.1 million and $4.8 million of its interest expense into oil and natural gas properties for the years ended December 31, 2023, 2022 and 2021, respectively.</w:t>
      </w:r>
    </w:p>
    <w:p>
      <w:pPr>
        <w:spacing w:after="0" w:line="8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Capitalized costs of oil and natural gas properties are amortized using the unit-of-production method based upon production and estimates of proved reserves quantities. For the years ended December 31, 2023, 2022 and 2021, the Company recorded depletion expense of $672.0 million, $428.9 million and $310.1 million, respectively.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determination that the well is not productive.</w:t>
      </w:r>
    </w:p>
    <w:p>
      <w:pPr>
        <w:spacing w:after="0" w:line="84" w:lineRule="exact"/>
        <w:rPr>
          <w:sz w:val="20"/>
          <w:szCs w:val="20"/>
          <w:color w:val="auto"/>
        </w:rPr>
      </w:pPr>
    </w:p>
    <w:p>
      <w:pPr>
        <w:ind w:right="360" w:firstLine="445"/>
        <w:spacing w:after="0" w:line="289" w:lineRule="auto"/>
        <w:rPr>
          <w:sz w:val="20"/>
          <w:szCs w:val="20"/>
          <w:color w:val="auto"/>
        </w:rPr>
      </w:pPr>
      <w:r>
        <w:rPr>
          <w:rFonts w:ascii="Times New Roman" w:cs="Times New Roman" w:eastAsia="Times New Roman" w:hAnsi="Times New Roman"/>
          <w:sz w:val="17"/>
          <w:szCs w:val="17"/>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Ceiling Test</w:t>
      </w:r>
    </w:p>
    <w:p>
      <w:pPr>
        <w:spacing w:after="0" w:line="11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54" w:lineRule="exact"/>
        <w:rPr>
          <w:sz w:val="20"/>
          <w:szCs w:val="20"/>
          <w:color w:val="auto"/>
        </w:rPr>
      </w:pPr>
    </w:p>
    <w:p>
      <w:pPr>
        <w:ind w:right="160" w:firstLine="453"/>
        <w:spacing w:after="0" w:line="282" w:lineRule="auto"/>
        <w:tabs>
          <w:tab w:leader="none" w:pos="69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10%, of future net revenues of proved oil and natural gas reserves, reduced by the estimated costs of developing these reserves, plus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left="700" w:hanging="247"/>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unproved and unevaluated property costs not being amortized, plus</w:t>
      </w:r>
    </w:p>
    <w:p>
      <w:pPr>
        <w:spacing w:after="0" w:line="117"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of cost or estimated fair value of unproved and unevaluated properties included in the costs being amortized, if any, less</w:t>
      </w:r>
    </w:p>
    <w:p>
      <w:pPr>
        <w:spacing w:after="0" w:line="117"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tax effects related to the properties involved.</w:t>
      </w:r>
    </w:p>
    <w:p>
      <w:pPr>
        <w:spacing w:after="0" w:line="117" w:lineRule="exact"/>
        <w:rPr>
          <w:sz w:val="20"/>
          <w:szCs w:val="20"/>
          <w:color w:val="auto"/>
        </w:rPr>
      </w:pPr>
    </w:p>
    <w:p>
      <w:pPr>
        <w:ind w:right="400" w:firstLine="445"/>
        <w:spacing w:after="0" w:line="266" w:lineRule="auto"/>
        <w:rPr>
          <w:sz w:val="20"/>
          <w:szCs w:val="20"/>
          <w:color w:val="auto"/>
        </w:rPr>
      </w:pPr>
      <w:r>
        <w:rPr>
          <w:rFonts w:ascii="Times New Roman" w:cs="Times New Roman" w:eastAsia="Times New Roman" w:hAnsi="Times New Roman"/>
          <w:sz w:val="18"/>
          <w:szCs w:val="18"/>
          <w:color w:val="auto"/>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spacing w:after="0" w:line="68"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changes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 For the period from January through December 2023, these average oil and natural gas prices were $74.70 per Bbl and $2.64 per MMBtu, respectively. For the period from January through December 2022, these average oil and natural gas prices were $90.15 per Bbl and $6.36 per MMBtu, respectively. For the period from January through December 2021, these average oil and natural gas prices were $63.04 per Bbl and $3.60 per MMBtu, respectively. In estimating the present value of after-tax future net cash flows from proved oil and natural gas reserves, the average oil prices were further adjusted by property for quality, transportation and marketing fees and regional price differentials, and the average natural gas prices were further adjusted by property for energy content, transportation and marketing fees and regional price differentials.</w:t>
      </w:r>
    </w:p>
    <w:p>
      <w:pPr>
        <w:spacing w:after="0" w:line="8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Company’s full-cost ceiling exceeded the net capitalized costs less related deferred income taxes. As a result, the Company recorded no impairment to its net capitalized costs during the years ended December 31, 2023, 2022 and 2021. Changes in oil and natural gas production rates, oil and natural gas prices, reserves estimates, future development costs and other factors will determine the Company’s actual ceiling test computation and impairment analyses in future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Properties and Other Property and Equipment</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Midstream properties and other property and equipment are recorded at historical cost or acquisition date fair value and include midstream equipment and facilities, including the Company’s pipelines, processing facilities and produced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 30 years) using the straight-line method. The Company capitalized $2.9 million, $2.2 million and $1.3 million of general and administrative costs into midstream properties in 2023, 2022 and 2021, respectively. The Company capitalized $2.1 million of interest expense into midstream properties for the year ended December 31, 2023. The Company did not capitalize any interest expense into midstream properties for the years ended December 31, 2022 or 2021. Maintenance and repair costs that do not extend the useful life of the property or equipment are expensed as incurred. See Note 3 for a detail of midstream properties and other property and equipment.</w:t>
      </w:r>
    </w:p>
    <w:p>
      <w:pPr>
        <w:spacing w:after="0" w:line="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midstream properties and other property and equipment for potential impairment whenever events or changes in circumstances indicate that their carrying value may not be recoverable. The carrying amount of a long-lived asset is not recoverable when it exceeds the undiscounted sum of the future cash flows expected to result from the use and eventual disposition of the asset. Expected future cash flows represent management’s estimates based on reasonable and supportable assumptions.</w:t>
      </w:r>
    </w:p>
    <w:p>
      <w:pPr>
        <w:spacing w:after="0" w:line="7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Gains and losses associated with the disposition of midstream properties and other property and equipment are recognized as a component of other income (expense) in the consolidated statements of income.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60" w:right="254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Retirement Obligations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recognizes the fair value of an asset retirement obligation in the period in which it is incurred if a reasonable estimate of fair value can be made. The asset retirement obligation is recorded as a liability at its estimated present value, with an offsetting increase recognized in oil and natural gas properties, midstream properties or other property and equipment on the consolidated balance sheets. Periodic accretion of the discounted value of the estimated liability is recorded as an expense in the consolidated statements of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Financial Instruments</w:t>
      </w:r>
    </w:p>
    <w:p>
      <w:pPr>
        <w:spacing w:after="0" w:line="11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From time to time, the Company uses derivative financial instruments to mitigate its exposure to commodity price risk associated with oil, natural gas and NGL prices. The Company’s derivative financial instruments are recorded on the consolidated balance sheets as either an asset or a liability measured at fair value. The Company has elected not to apply hedge accounting for its existing derivative financial instruments, and as a result, the Company recognizes the change in derivative fair value between reporting periods currently in its consolidated statements of income.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Realized gains and losses from the settlement of derivative financial instruments and unrealized gains and unrealized losses from valuation changes in the remaining unsettled derivative financial instruments are reported as a component of revenues in the consolidated statements of income. See Note 12 for additional information about the Company’s derivative instruments.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customers to sell its oil and natural gas production. Revenue from these contracts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oil and natural gas marketing contracts is typically received from the purchaser one to two months after production.</w:t>
      </w:r>
    </w:p>
    <w:p>
      <w:pPr>
        <w:spacing w:after="0" w:line="7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majority of the Company’s oil marketing contracts transfer physical custody and title at or near the wellhead or a central delivery point,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revenues on the statements of income,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income, as they represent payment for services performed outside of the contract with the customer.</w:t>
      </w:r>
    </w:p>
    <w:p>
      <w:pPr>
        <w:spacing w:after="0" w:line="8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NGLs are extracted. The NGLs and remaining residue gas are then sold by the purchaser, or if the Company elects to take in-kind the natural gas or the NGLs, the Company sells the natural gas or the NGLs to a third party. Under the fee-based contracts, the Company receives NGL and residue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income.</w:t>
      </w:r>
    </w:p>
    <w:p>
      <w:pPr>
        <w:spacing w:after="0" w:line="8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Accounting Standards Update 2014-09, </w:t>
      </w:r>
      <w:r>
        <w:rPr>
          <w:rFonts w:ascii="Times New Roman" w:cs="Times New Roman" w:eastAsia="Times New Roman" w:hAnsi="Times New Roman"/>
          <w:sz w:val="18"/>
          <w:szCs w:val="18"/>
          <w:i w:val="1"/>
          <w:iCs w:val="1"/>
          <w:color w:val="auto"/>
        </w:rPr>
        <w:t>Revenue from Contracts with Customers (Topic 606)</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5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Company periodically enters into natural gas purchase transactions with third parties whereby the Company (i) purchases the third party’s natural gas and subsequently sells the natural gas to other purchasers or (ii) processes the third party’s natural gas at Pronto’s cryogenic natural gas processing plant in Eddy County, New Mexico (the “Marlan Processing Plant”) or San Mateo’s Black River cryogenic natural gas processing plant in Eddy County, New Mexico (the “Black River Processing Plant”) and then purchases, and subsequently sells, the residue gas and NGLs to other purchasers. Revenues and expenses from these transactions are presented on a gross basis on the Company’s consolidated statements of income as the Company acts as a principal in the transactions by assuming the risk and rewards of ownership, including credit risk, of the natural gas purchased and by assuming the responsibility to deliver and process the natural gas volumes to be sold.</w:t>
      </w:r>
    </w:p>
    <w:p>
      <w:pPr>
        <w:spacing w:after="0" w:line="8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From time to time, the Company, as an owner of mineral interests, may enter into or extend a lease to a third-party lessee to develop the oil and natural gas attributable to certain of its mineral interests in return for a specified payment or lease bonus. In those instances, revenue is recognized in the period when the lease is signed and the Company has no further obligation to the lessee. The Company records these payments as “Lease bonus - mineral acreage” revenues on its consolidated statements of income.</w:t>
      </w:r>
    </w:p>
    <w:p>
      <w:pPr>
        <w:spacing w:after="0" w:line="72"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years ended December 31, 2023, 2022 and 2021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2,817,621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1,862,075</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(220,105)</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r>
      <w:tr>
        <w:trPr>
          <w:trHeight w:val="223"/>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2,806,785</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3,058,025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1,662,981</w:t>
            </w:r>
          </w:p>
        </w:tc>
      </w:tr>
      <w:tr>
        <w:trPr>
          <w:trHeight w:val="20"/>
        </w:trPr>
        <w:tc>
          <w:tcPr>
            <w:tcW w:w="5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revenues</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2,144,894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1,205,608</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revenues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494,934</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75,499</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86,034</w:t>
            </w:r>
          </w:p>
        </w:tc>
      </w:tr>
      <w:tr>
        <w:trPr>
          <w:trHeight w:val="248"/>
        </w:trPr>
        <w:tc>
          <w:tcPr>
            <w:tcW w:w="50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2,817,621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1,862,075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may grant equity-based and liability-based common stock, stock options, restricted stock, restricted stock units, performance stock units and other awards permitted under any long-term incentive plan of the Company then in effect to members of its Board of Directors (the “Board”) and certain employees, contractors and advisors. All equity-based awards are measured at fair value on the date of grant and are recognized on a straight-line basis over the awards’ vesting periods as either a component of general and administrative expenses in the consolidated statements of income or capitalized in accordance with the Company’s policy on capitalizing general and administrative expenses for employees involved in acquisition, exploration, development and midstream activities. Awards that are expected to be settled in cash are liability-based awards, which are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measured at fair value at each reporting date and are recognized over the awards’ vesting periods either as a component of general and administrative expenses in the consolidated statements of income or capitalized in accordance with the Company’s policy on capitalizing general and administrative expenses for employees involved in acquisition, exploration, development and midstream activities.</w:t>
      </w:r>
    </w:p>
    <w:p>
      <w:pPr>
        <w:spacing w:after="0" w:line="6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uses the Monte Carlo simulation method to measure the fair value of performance units. The closing price of Matador’s common stock on the grant date is used to measure the fair value of restricted stock and restricted stock unit awards granted under the 2012 Long-Term Incentive Plan (as subsequently amended and restated, the “2012 Incentive Plan”), while the closing price of Matador’s common stock on the trading day prior to the grant date is used to measure the fair value of restricted stock and restricted stock unit awards granted under the 2019 Long-Term Incentive Plan (the “2019 Incentive Plan”).</w:t>
      </w:r>
    </w:p>
    <w:p>
      <w:pPr>
        <w:spacing w:after="0" w:line="75"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The Company’s consolidated statements of income for the years ended December 31, 2023, 2022 and 2021 include an equity-based compensation (non-cash) expense of $13.7 million, $15.1 million and $9.0 million, respectively. This equity-based compensation expense includes common stock issuances and restricted stock units expense totaling $1.2 million, $1.0 million and $0.9 million for the years ended December 31, 2023, 2022 and 2021, respectively, paid to independent members of the Board and advisors as compensation for their services to the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119"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when it is more likely than not that the benefit from the deferred tax asset will not be realized.</w:t>
      </w:r>
    </w:p>
    <w:p>
      <w:pPr>
        <w:spacing w:after="0" w:line="68" w:lineRule="exact"/>
        <w:rPr>
          <w:sz w:val="20"/>
          <w:szCs w:val="20"/>
          <w:color w:val="auto"/>
        </w:rPr>
      </w:pPr>
    </w:p>
    <w:p>
      <w:pPr>
        <w:ind w:right="2200" w:firstLine="445"/>
        <w:spacing w:after="0" w:line="258" w:lineRule="auto"/>
        <w:rPr>
          <w:sz w:val="20"/>
          <w:szCs w:val="20"/>
          <w:color w:val="auto"/>
        </w:rPr>
      </w:pPr>
      <w:r>
        <w:rPr>
          <w:rFonts w:ascii="Times New Roman" w:cs="Times New Roman" w:eastAsia="Times New Roman" w:hAnsi="Times New Roman"/>
          <w:sz w:val="18"/>
          <w:szCs w:val="18"/>
          <w:color w:val="auto"/>
        </w:rPr>
        <w:t>The Company recognizes tax benefits from an uncertain tax position on the basis of a two-step process in which (i) the Company determines whether it is more likely than not that the tax position will be sustained upon examination by the taxing authorities based upon the technical merits of the position and (ii) for those tax positions that meet the more-likely-than-not recognition threshold, the Company recognizes the largest amount of tax benefit that is more than 50% likely to be realized upon ultimate settlement with the related tax authority.</w:t>
      </w:r>
    </w:p>
    <w:p>
      <w:pPr>
        <w:spacing w:after="0" w:line="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When necessary, the Company would include interest assessed by taxing authorities in “Interest expense” and penalties related to income taxes in “Other expense” on its consolidated statements of income. The Company did not record any interest or penalties related to income taxes for the years ended December 31, 2023, 2022 and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Allocation of Purchase Price in Business Combinations</w:t>
      </w:r>
    </w:p>
    <w:p>
      <w:pPr>
        <w:spacing w:after="0" w:line="119" w:lineRule="exact"/>
        <w:rPr>
          <w:sz w:val="20"/>
          <w:szCs w:val="20"/>
          <w:color w:val="auto"/>
        </w:rPr>
      </w:pPr>
    </w:p>
    <w:p>
      <w:pPr>
        <w:ind w:right="360" w:firstLine="445"/>
        <w:spacing w:after="0" w:line="256" w:lineRule="auto"/>
        <w:rPr>
          <w:sz w:val="20"/>
          <w:szCs w:val="20"/>
          <w:color w:val="auto"/>
        </w:rPr>
      </w:pPr>
      <w:r>
        <w:rPr>
          <w:rFonts w:ascii="Times New Roman" w:cs="Times New Roman" w:eastAsia="Times New Roman" w:hAnsi="Times New Roman"/>
          <w:sz w:val="18"/>
          <w:szCs w:val="18"/>
          <w:color w:val="auto"/>
        </w:rPr>
        <w:t>As part of the Company’s business strategy, it periodically pursues the acquisition of midstream assets and oil and natural gas properties. The purchase price in a business combination is allocated to the assets acquired and liabilities assumed based on their fair values as of the acquisition date, which may occur many months after the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proved oil and natural gas reserves and unproved and unevaluated properties. As the allocation of the purchase price is subject to significant estimates and subjective judgments, the accuracy of this assessment is inherently uncertain.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11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following are reconciliations of the numerators and denominators used to compute the Company’s basic and diluted earnings per common share as reported for the years ended December 31, 2023, 2022 and 2021 (in thousands, except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Matador Resources Company shareholders — numerator</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846,074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1,214,206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584,968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116,999</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119,163</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Matador Resources Company shareholders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119"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the Company’s commodity derivative contracts at December 31, 2023 were with Bank of America, which is a lender under the Company’s reserves-based revolving credit agreement (the “Credit Agreement”).</w:t>
      </w:r>
    </w:p>
    <w:p>
      <w:pPr>
        <w:spacing w:after="0" w:line="7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117"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In November 2023, the Financial Accounting Standards Board (“FASB”) issued ASU 2023-07,</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Times New Roman" w:cs="Times New Roman" w:eastAsia="Times New Roman" w:hAnsi="Times New Roman"/>
          <w:sz w:val="18"/>
          <w:szCs w:val="18"/>
          <w:color w:val="auto"/>
        </w:rPr>
        <w:t>, which enhances the disclosures required for operating segments in the Company’s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This ASU is effective retrospectively for fiscal years beginning after December 15, 2023 and for interim periods within fiscal years beginning after December 15, 2024. The Company is currently evaluating the impact of this standard on its disclosures.</w:t>
      </w:r>
    </w:p>
    <w:p>
      <w:pPr>
        <w:spacing w:after="0" w:line="7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w:t>
      </w:r>
      <w:r>
        <w:rPr>
          <w:rFonts w:ascii="Times New Roman" w:cs="Times New Roman" w:eastAsia="Times New Roman" w:hAnsi="Times New Roman"/>
          <w:sz w:val="18"/>
          <w:szCs w:val="18"/>
          <w:color w:val="auto"/>
        </w:rPr>
        <w: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The Company is currently evaluating the impact of this standard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60" w:right="254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a summary of the Company’s property and equipment balances as of December 31, 2023 and 2022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Evaluated (subject to amortization)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9,633,757</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6,862,455</w:t>
            </w:r>
          </w:p>
        </w:tc>
      </w:tr>
      <w:tr>
        <w:trPr>
          <w:trHeight w:val="23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Unproved and unevaluated (not subject to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1,193,257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977,502</w:t>
            </w:r>
          </w:p>
        </w:tc>
      </w:tr>
      <w:tr>
        <w:trPr>
          <w:trHeight w:val="223"/>
        </w:trPr>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oil and natural gas properties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10,827,014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7,839,957</w:t>
            </w:r>
          </w:p>
        </w:tc>
      </w:tr>
      <w:tr>
        <w:trPr>
          <w:trHeight w:val="23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depletion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(5,034,243)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(4,362,292)</w:t>
            </w:r>
          </w:p>
        </w:tc>
      </w:tr>
      <w:tr>
        <w:trPr>
          <w:trHeight w:val="223"/>
        </w:trPr>
        <w:tc>
          <w:tcPr>
            <w:tcW w:w="7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oil and natural gas properties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5,792,771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3,477,665</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properties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 equipment and facilities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1,318,015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1,057,668</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(126,706)</w:t>
            </w:r>
          </w:p>
        </w:tc>
      </w:tr>
      <w:tr>
        <w:trPr>
          <w:trHeight w:val="223"/>
        </w:trPr>
        <w:tc>
          <w:tcPr>
            <w:tcW w:w="7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midstream properties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930,962</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w:t>
            </w:r>
          </w:p>
        </w:tc>
      </w:tr>
      <w:tr>
        <w:trPr>
          <w:trHeight w:val="223"/>
        </w:trPr>
        <w:tc>
          <w:tcPr>
            <w:tcW w:w="7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property and equipment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(23,277)</w:t>
            </w:r>
          </w:p>
        </w:tc>
      </w:tr>
      <w:tr>
        <w:trPr>
          <w:trHeight w:val="223"/>
        </w:trPr>
        <w:tc>
          <w:tcPr>
            <w:tcW w:w="7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other property and equipment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r>
      <w:tr>
        <w:trPr>
          <w:trHeight w:val="223"/>
        </w:trPr>
        <w:tc>
          <w:tcPr>
            <w:tcW w:w="7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6,956,441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4,418,197</w:t>
            </w:r>
          </w:p>
        </w:tc>
      </w:tr>
      <w:tr>
        <w:trPr>
          <w:trHeight w:val="20"/>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the Company’s unproved and unevaluated property costs not subject to amortization as of December 31, 2023 and the year in which these costs were incurred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2019 and prior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for</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acquisition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326,437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546,592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1,120,850</w:t>
            </w:r>
          </w:p>
        </w:tc>
      </w:tr>
      <w:tr>
        <w:trPr>
          <w:trHeight w:val="230"/>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Exploration wells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w:t>
            </w:r>
          </w:p>
        </w:tc>
      </w:tr>
      <w:tr>
        <w:trPr>
          <w:trHeight w:val="230"/>
        </w:trPr>
        <w:tc>
          <w:tcPr>
            <w:tcW w:w="29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Development wells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48,237</w:t>
            </w:r>
          </w:p>
        </w:tc>
      </w:tr>
      <w:tr>
        <w:trPr>
          <w:trHeight w:val="248"/>
        </w:trPr>
        <w:tc>
          <w:tcPr>
            <w:tcW w:w="29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1,193,257</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Property acquisition costs are costs incurred to purchase, lease or otherwise acquire oil and natural gas properties, but may also include broker and legal expenses, geological and geophysical expenses and capitalized internal costs associated with developing oil and natural gas prospects on these properties. Property acquisition costs are transferred into the amortization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spacing w:after="0" w:line="7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Property acquisition costs incurred that remain in unproved and unevaluated property at December 31, 2023 are related to the Company’s leasehold and mineral acquisitions in the Delaware Basin in Southeast New Mexico and West Texas.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amortization base.</w:t>
      </w:r>
    </w:p>
    <w:p>
      <w:pPr>
        <w:spacing w:after="0" w:line="75"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Costs excluded from amortization also include those costs associated with exploration and development wells in progress or awaiting completion at year-end. These costs are transferred into the amortization base on an ongoing basis as these wells are completed and proved reserves are established or confirmed. These costs totaled $72.4 million at December 31, 2023. Of this total, $24.2 million was associated with exploration wells and $48.2 million was associated with development wells. The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 Continued</w:t>
      </w:r>
    </w:p>
    <w:p>
      <w:pPr>
        <w:spacing w:after="0" w:line="200" w:lineRule="exact"/>
        <w:rPr>
          <w:sz w:val="20"/>
          <w:szCs w:val="20"/>
          <w:color w:val="auto"/>
        </w:rPr>
      </w:pPr>
    </w:p>
    <w:p>
      <w:pPr>
        <w:spacing w:after="0" w:line="24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Company anticipates that most of the $72.4 million associated with these wells in progress at December 31, 2023 will be transferred to the amortization base during 2024. Unproved and unevaluated property costs for exploration and development wells incurred in years prior to 2023 are costs related to the advanced preparation for wells that the Company intends to drill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12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If an arrangement is a lease, the present value of the related lease payments is recorded as a liability, and an equal amount is capitalized as a right of use asset on the Company’s consolidated balance sheets. The Company elected to include payments for non-lease components associated with certain leases when determining the present value of the lease payments.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rates used for the year ended December 31, 2023 were 5.92% and 4.55% for operating leases and financing leases, respectively. For these purposes, the lease term includes options to extend the lease when it is reasonably certain that the Company will exercise such option. Leases with terms of 12 months or less at inception are not recorded on the consolidated balance sheets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w:t>
      </w:r>
    </w:p>
    <w:p>
      <w:pPr>
        <w:spacing w:after="0" w:line="8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presents supplemental consolidated statement of income information related to lease expenses, on a gross basis, for the years ended December 31, 2023 and 2022, respectively (in thousands). Lease payments represent gross payments to vendors, which, for certain of the Company’s operating assets, are partially offset by amounts received from other working interest owners in the Company’s operated wells.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operating</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25,637</w:t>
            </w:r>
          </w:p>
        </w:tc>
        <w:tc>
          <w:tcPr>
            <w:tcW w:w="100" w:type="dxa"/>
            <w:vAlign w:val="bottom"/>
          </w:tcPr>
          <w:p>
            <w:pPr>
              <w:spacing w:after="0"/>
              <w:rPr>
                <w:sz w:val="19"/>
                <w:szCs w:val="19"/>
                <w:color w:val="auto"/>
              </w:rPr>
            </w:pP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15,970</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Plant and other midstream services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23"/>
        </w:trPr>
        <w:tc>
          <w:tcPr>
            <w:tcW w:w="7100" w:type="dxa"/>
            <w:vAlign w:val="bottom"/>
            <w:shd w:val="clear" w:color="auto" w:fill="CCEEFF"/>
          </w:tcPr>
          <w:p>
            <w:pPr>
              <w:ind w:left="480"/>
              <w:spacing w:after="0" w:line="223" w:lineRule="exact"/>
              <w:rPr>
                <w:sz w:val="20"/>
                <w:szCs w:val="20"/>
                <w:color w:val="auto"/>
              </w:rPr>
            </w:pPr>
            <w:r>
              <w:rPr>
                <w:rFonts w:ascii="Times New Roman" w:cs="Times New Roman" w:eastAsia="Times New Roman" w:hAnsi="Times New Roman"/>
                <w:sz w:val="18"/>
                <w:szCs w:val="18"/>
                <w:color w:val="auto"/>
              </w:rPr>
              <w:t>Total operating leases</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leases</w:t>
            </w: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operating</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Plant and other midstream services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7100" w:type="dxa"/>
            <w:vAlign w:val="bottom"/>
          </w:tcPr>
          <w:p>
            <w:pPr>
              <w:ind w:left="480"/>
              <w:spacing w:after="0" w:line="223" w:lineRule="exact"/>
              <w:rPr>
                <w:sz w:val="20"/>
                <w:szCs w:val="20"/>
                <w:color w:val="auto"/>
              </w:rPr>
            </w:pPr>
            <w:r>
              <w:rPr>
                <w:rFonts w:ascii="Times New Roman" w:cs="Times New Roman" w:eastAsia="Times New Roman" w:hAnsi="Times New Roman"/>
                <w:sz w:val="18"/>
                <w:szCs w:val="18"/>
                <w:color w:val="auto"/>
              </w:rPr>
              <w:t>Total short-term leases</w:t>
            </w:r>
            <w:r>
              <w:rPr>
                <w:rFonts w:ascii="Times New Roman" w:cs="Times New Roman" w:eastAsia="Times New Roman" w:hAnsi="Times New Roman"/>
                <w:sz w:val="23"/>
                <w:szCs w:val="23"/>
                <w:color w:val="auto"/>
                <w:vertAlign w:val="superscript"/>
              </w:rPr>
              <w:t>(2)(3)</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21,830</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assets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7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financing leases</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48"/>
        </w:trPr>
        <w:tc>
          <w:tcPr>
            <w:tcW w:w="7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lease expense</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220" w:hanging="332"/>
        <w:spacing w:after="0" w:line="302" w:lineRule="auto"/>
        <w:tabs>
          <w:tab w:leader="none" w:pos="36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gross payments related to drilling rig leases of $84.1 million and $58.7 million for the years ended December 31, 2023 and 2022, respectively, that were capitalized and recorded in “Oil and natural gas properties, full-cost method” in the consolidated balance sheets at December 31, 2023 and 2022, respectively.</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costs are related to leases that are not recorded as right of use assets or lease liabilities in the consolidated balance sheets as they are short-term leases.</w:t>
      </w:r>
    </w:p>
    <w:p>
      <w:pPr>
        <w:spacing w:after="0" w:line="122" w:lineRule="exact"/>
        <w:rPr>
          <w:rFonts w:ascii="Times New Roman" w:cs="Times New Roman" w:eastAsia="Times New Roman" w:hAnsi="Times New Roman"/>
          <w:sz w:val="14"/>
          <w:szCs w:val="14"/>
          <w:color w:val="auto"/>
        </w:rPr>
      </w:pPr>
    </w:p>
    <w:p>
      <w:pPr>
        <w:ind w:left="340" w:right="60" w:hanging="332"/>
        <w:spacing w:after="0" w:line="302" w:lineRule="auto"/>
        <w:tabs>
          <w:tab w:leader="none" w:pos="328"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gross payments related to short-term drilling rig leases and other equipment rentals of $159.7 million and $101.5 million for the years ended December 31, 2023 and 2022, respectively, that were capitalized and recorded in “Oil and natural gas properties, full-cost method” in the consolidated balance sheets at December 31, 2023 and 2022,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 — Continued</w:t>
      </w:r>
    </w:p>
    <w:p>
      <w:pPr>
        <w:spacing w:after="0" w:line="200" w:lineRule="exact"/>
        <w:rPr>
          <w:sz w:val="20"/>
          <w:szCs w:val="20"/>
          <w:color w:val="auto"/>
        </w:rPr>
      </w:pPr>
    </w:p>
    <w:p>
      <w:pPr>
        <w:spacing w:after="0" w:line="245"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consolidated balance sheet information related to leases as of December 31, 2023 and 2022, respectively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58,798</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(43,921)</w:t>
            </w:r>
          </w:p>
        </w:tc>
      </w:tr>
      <w:tr>
        <w:trPr>
          <w:trHeight w:val="229"/>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(19,532)</w:t>
            </w:r>
          </w:p>
        </w:tc>
      </w:tr>
      <w:tr>
        <w:trPr>
          <w:trHeight w:val="248"/>
        </w:trPr>
        <w:tc>
          <w:tcPr>
            <w:tcW w:w="7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property and equipment, at cost</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23"/>
        </w:trPr>
        <w:tc>
          <w:tcPr>
            <w:tcW w:w="7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9"/>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48"/>
        </w:trPr>
        <w:tc>
          <w:tcPr>
            <w:tcW w:w="7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consolidated cash flow information related to lease payments for the years ended December 31, 2023 and 2022, respectively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related to lease liabilities</w:t>
            </w: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cash payments for operating leases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58,693</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payments for financing leases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70"/>
        </w:trPr>
        <w:tc>
          <w:tcPr>
            <w:tcW w:w="7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 entered into during the period</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80,254</w:t>
            </w: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leases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maturities of lease liabilities at December 31, 2023 (in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4840" w:type="dxa"/>
            <w:vAlign w:val="bottom"/>
          </w:tcPr>
          <w:p>
            <w:pPr>
              <w:spacing w:after="0"/>
              <w:rPr>
                <w:sz w:val="20"/>
                <w:szCs w:val="20"/>
                <w:color w:val="auto"/>
              </w:rPr>
            </w:pP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84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leases</w:t>
            </w:r>
          </w:p>
        </w:tc>
        <w:tc>
          <w:tcPr>
            <w:tcW w:w="6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r>
      <w:tr>
        <w:trPr>
          <w:trHeight w:val="8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8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F-18</w:t>
            </w:r>
          </w:p>
        </w:tc>
      </w:tr>
      <w:tr>
        <w:trPr>
          <w:trHeight w:val="115"/>
        </w:trPr>
        <w:tc>
          <w:tcPr>
            <w:tcW w:w="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 — Continued</w:t>
      </w:r>
    </w:p>
    <w:p>
      <w:pPr>
        <w:spacing w:after="0" w:line="200" w:lineRule="exact"/>
        <w:rPr>
          <w:sz w:val="20"/>
          <w:szCs w:val="20"/>
          <w:color w:val="auto"/>
        </w:rPr>
      </w:pPr>
    </w:p>
    <w:p>
      <w:pPr>
        <w:spacing w:after="0" w:line="245"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schedule of future minimum lease payments required under all lease agreements as of December 31, 2023 (in thousands).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0" w:type="dxa"/>
            <w:vAlign w:val="bottom"/>
          </w:tcPr>
          <w:p>
            <w:pPr>
              <w:spacing w:after="0"/>
              <w:rPr>
                <w:sz w:val="19"/>
                <w:szCs w:val="19"/>
                <w:color w:val="auto"/>
              </w:rPr>
            </w:pP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Financing Leases</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obligations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ASSET RETIREMENT OBLIGATIONS</w:t>
      </w:r>
    </w:p>
    <w:p>
      <w:pPr>
        <w:spacing w:after="0" w:line="121"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spacing w:after="0" w:line="8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years ended December 31, 2023 and 2022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r>
      <w:tr>
        <w:trPr>
          <w:trHeight w:val="223"/>
        </w:trPr>
        <w:tc>
          <w:tcPr>
            <w:tcW w:w="73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w:t>
            </w: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r>
      <w:tr>
        <w:trPr>
          <w:trHeight w:val="23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w:t>
            </w:r>
          </w:p>
        </w:tc>
      </w:tr>
      <w:tr>
        <w:trPr>
          <w:trHeight w:val="23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during the period</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Divestitures during the period</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3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2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53,741</w:t>
            </w:r>
          </w:p>
        </w:tc>
      </w:tr>
      <w:tr>
        <w:trPr>
          <w:trHeight w:val="230"/>
        </w:trPr>
        <w:tc>
          <w:tcPr>
            <w:tcW w:w="7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3"/>
                <w:szCs w:val="23"/>
                <w:color w:val="auto"/>
                <w:vertAlign w:val="superscript"/>
              </w:rPr>
              <w:t>(1)</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87,485</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52,985</w:t>
            </w:r>
          </w:p>
        </w:tc>
      </w:tr>
      <w:tr>
        <w:trPr>
          <w:trHeight w:val="20"/>
        </w:trPr>
        <w:tc>
          <w:tcPr>
            <w:tcW w:w="7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560" w:hanging="309"/>
        <w:spacing w:after="0"/>
        <w:tabs>
          <w:tab w:leader="none" w:pos="5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consolidated balance sheets at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9" w:name="page130"/>
    <w:bookmarkEnd w:id="129"/>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BUSINESS COMBINATIONS AND DIVESTITURES</w:t>
      </w:r>
    </w:p>
    <w:p>
      <w:pPr>
        <w:spacing w:after="0" w:line="200" w:lineRule="exact"/>
        <w:rPr>
          <w:sz w:val="20"/>
          <w:szCs w:val="20"/>
          <w:color w:val="auto"/>
        </w:rPr>
      </w:pPr>
    </w:p>
    <w:p>
      <w:pPr>
        <w:spacing w:after="0" w:line="216" w:lineRule="exact"/>
        <w:rPr>
          <w:sz w:val="20"/>
          <w:szCs w:val="20"/>
          <w:color w:val="auto"/>
        </w:rPr>
      </w:pPr>
    </w:p>
    <w:p>
      <w:pPr>
        <w:jc w:val="right"/>
        <w:ind w:right="9540"/>
        <w:spacing w:after="0"/>
        <w:rPr>
          <w:sz w:val="20"/>
          <w:szCs w:val="20"/>
          <w:color w:val="auto"/>
        </w:rPr>
      </w:pPr>
      <w:r>
        <w:rPr>
          <w:rFonts w:ascii="Times New Roman" w:cs="Times New Roman" w:eastAsia="Times New Roman" w:hAnsi="Times New Roman"/>
          <w:sz w:val="18"/>
          <w:szCs w:val="18"/>
          <w:i w:val="1"/>
          <w:iCs w:val="1"/>
          <w:u w:val="single" w:color="auto"/>
          <w:color w:val="auto"/>
        </w:rPr>
        <w:t>Business Combinations</w:t>
      </w:r>
    </w:p>
    <w:p>
      <w:pPr>
        <w:spacing w:after="0" w:line="117" w:lineRule="exact"/>
        <w:rPr>
          <w:sz w:val="20"/>
          <w:szCs w:val="20"/>
          <w:color w:val="auto"/>
        </w:rPr>
      </w:pPr>
    </w:p>
    <w:p>
      <w:pPr>
        <w:jc w:val="right"/>
        <w:ind w:right="9500"/>
        <w:spacing w:after="0"/>
        <w:rPr>
          <w:sz w:val="20"/>
          <w:szCs w:val="20"/>
          <w:color w:val="auto"/>
        </w:rPr>
      </w:pPr>
      <w:r>
        <w:rPr>
          <w:rFonts w:ascii="Times New Roman" w:cs="Times New Roman" w:eastAsia="Times New Roman" w:hAnsi="Times New Roman"/>
          <w:sz w:val="18"/>
          <w:szCs w:val="18"/>
          <w:i w:val="1"/>
          <w:iCs w:val="1"/>
          <w:u w:val="single" w:color="auto"/>
          <w:color w:val="auto"/>
        </w:rPr>
        <w:t>Advance Acquisition</w:t>
      </w:r>
    </w:p>
    <w:p>
      <w:pPr>
        <w:spacing w:after="0" w:line="11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April 12, 2023, a wholly-owned subsidiary of the Company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“Initial Advance Acquisition”). The Initial Advance Acquisition had an effective date of January 1, 2023 and an aggregate purchase price consisting of (i) an amount in cash equal to approximately $1.60 billion (which amount was subject to certain customary post-closing adjustments) (the “Cash Consideration”) and (ii) potential additional cash consideration of $7.5 million for each month of 2023 in which the average oil price (as defined in the securities purchase agreement) exceeded $85 per barrel (all such payments for the 12 months in 2023, the “Contingent Consideration”). The Cash Consideration was paid upon the closing of the Initial Advance Acquisition and was funded by a combination of cash on hand and borrowings under the Credit Agreement. The Company made no payments related to the Contingent Consideration during the first, second, or third quarters of 2023. In the fourth quarter of 2023, the Company paid Contingent Consideration of $15.0 million, as the average oil price for the months of September and October 2023 exceeded $85 per barrel.</w:t>
      </w:r>
    </w:p>
    <w:p>
      <w:pPr>
        <w:spacing w:after="0" w:line="18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recorded the Contingent Consideration at fair value on the date of the business combination and recorded the change in the fair value in future periods as “Other income (expense)” in its consolidated statements of income. The fair value of the Contingent Consideration was $21.2 million at April 12, 2023. The change in fair value of the Contingent Consideration included in “Other income (expense)” during the year ended December 31, 2023 was income of $6.2 million. The Company used the Monte Carlo simulation method to measure the fair value of the Contingent Consideration, which has unobservable inputs and is thus classified at Level 3 in the fair value hierarchy (see Note 13 for discussion of the fair value hierarchy).</w:t>
      </w:r>
    </w:p>
    <w:p>
      <w:pPr>
        <w:spacing w:after="0" w:line="15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December 1, 2023, the Company acquired additional interests from affiliates of EnCap Investments L.P., including overriding royalty interests and royalty interests in certain oil and natural gas properties located primarily in Lea County, New Mexico, most of which were included in the Initial Advance Acquisition (the “Advance Royalty Acquisition”). The Advance Royalty Acquisition had an effective date of October 1, 2023 and an aggregate purchase price of approximately $81.0 million (which amount is subject to certain customary post-closing adjustments), and was funded by cash on hand.</w:t>
      </w:r>
    </w:p>
    <w:p>
      <w:pPr>
        <w:spacing w:after="0" w:line="16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Initial Advance Acquisition and Advance Royalty Acquisition (collectively, the “Advance Acquisition”) were accounted for under the acquisition method of accounting as a business combination in accordance with Accounting Standards Codification Topic 805, Business Combinations (“ASC Topic 805”). Under ASC Topic 805, the purchase price is allocated to the underlying tangible and intangible assets acquired and liabilities assumed based upon their estimated fair values as of the respective acquisition dates, with any excess purchase price allocated to goodwill. The Advance Acquisition was treated as an asset acquisition for tax purposes, as the Company acquired 100% of the membership interests of Advance in the Initial Advance Acquisition, and acquired additional overriding royalty interests and royalty interests in the Advance Royalty Acquisition.</w:t>
      </w:r>
    </w:p>
    <w:p>
      <w:pPr>
        <w:spacing w:after="0" w:line="174"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total purchase price for the Advance Acquisition is set forth below (in thousands). The Company anticipates that the allocation of the purchase price should be finalized during the second quarter of 2024 upon determination of the final purchase price adjustments.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1840" w:right="74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BUSINESS COMBINATIONS AND DIVESTITURES —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Consideration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Working capital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at April 12, 2023</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consideration given</w:t>
      </w:r>
    </w:p>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Evaluated</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Unproved and unevaluated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Midstream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$1,676,132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(4,161)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34290</wp:posOffset>
            </wp:positionV>
            <wp:extent cx="9086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$1,693,122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34290</wp:posOffset>
            </wp:positionV>
            <wp:extent cx="9086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$79,215</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1,418,668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213,528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63,644</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(73,607)</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$1,693,122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60325</wp:posOffset>
            </wp:positionV>
            <wp:extent cx="9086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0" w:space="720"/>
            <w:col w:w="1100"/>
          </w:cols>
          <w:pgMar w:left="320" w:top="117" w:right="359" w:bottom="1440" w:gutter="0" w:footer="0" w:header="0"/>
        </w:sectPr>
      </w:pPr>
    </w:p>
    <w:p>
      <w:pPr>
        <w:spacing w:after="0" w:line="93"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8"/>
          <w:szCs w:val="18"/>
          <w:color w:val="auto"/>
        </w:rPr>
        <w:t>The fair value measurements of assets acquired and liabilities assumed are based on inputs that are not observable in the market and therefore represent Level 3 inputs. The fair value of oil and gas properties and asset retirement obligations were measured using the discounted cash flow technique of valuation.</w:t>
      </w:r>
    </w:p>
    <w:p>
      <w:pPr>
        <w:spacing w:after="0" w:line="82"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Significant inputs to the valuation of oil and gas properties include estimates of: (i) future production volumes, (ii) expected operating and development costs, (iii) future commodity prices, (iv) recent market comparable transactions for unproved acreage and (v) a market-based weighted average cost of capital rate. These inputs require significant judgments and estimates and are the most sensitive and subject to change.</w:t>
      </w:r>
    </w:p>
    <w:p>
      <w:pPr>
        <w:spacing w:after="0" w:line="68"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results of operations for the Advance Acquisition since the respective closing dates have been included in the Company’s consolidated financial statements for the year ended December 31, 2023. The oil and natural gas production from the Advance Acquisition increased the Company’s revenues and net income for the period from April 12, 2023 through December 31, 2023 by $398.9 million and $166.9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06"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a summary of the condensed consolidated results of operations for the year ended December 31, 2023 and 2022, assuming the Advance Acquisition had been completed as of January 1, 2022. The pro forma financial information is provided for illustrative purposes only and does not purport to represent what the actual consolidated results of operations or the consolidated financial position of the Company would have been had the Advance Acquisition occurred on the dates noted above, nor is it necessarily indicative of the future results of operations or consolidated financial position of the Company. Future results may vary significantly from the results reflected because of various factors.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BUSINESS COMBINATIONS AND DIVESTITURES — Continued</w:t>
      </w:r>
    </w:p>
    <w:p>
      <w:pPr>
        <w:spacing w:after="0" w:line="200" w:lineRule="exact"/>
        <w:rPr>
          <w:sz w:val="20"/>
          <w:szCs w:val="20"/>
          <w:color w:val="auto"/>
        </w:rPr>
      </w:pPr>
    </w:p>
    <w:p>
      <w:pPr>
        <w:spacing w:after="0" w:line="24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information below reflects certain nonrecurring pro forma adjustments that were directly related to the business combination based on currently available information and certain estimates and assumptions that the Company believes provide a reasonable basis for presenting the significant effects of the Advance Acquisition, including (i) the increase in depletion reflecting the relative fair values and production volumes attributable to the acquired properties and the revision to the depletion rate reflecting the reserve volumes acquired, (ii) adjustments to interest expense as a result of the incremental borrowings necessary to finance the Advance Acquisition and (iii) the estimated tax impacts of the pro-forma adjustments. The pro forma financial information does not reflect the benefits of projected synergies, potential cost savings or the costs that may be necessary to achieve such savings, opportunities to increase revenue generation or other factors that may result from the Advance Acquisition and, accordingly, does not attempt to predict or suggest future results. Management cannot identify the timing, nature and amount of such savings, costs or other factors, any of which could affect the future consolidated results of operations or consolidated financial position of the Company.</w:t>
      </w:r>
    </w:p>
    <w:p>
      <w:pPr>
        <w:spacing w:after="0" w:line="10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9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00" w:type="dxa"/>
            <w:vAlign w:val="bottom"/>
            <w:tcBorders>
              <w:bottom w:val="single" w:sz="8" w:color="auto"/>
            </w:tcBorders>
          </w:tcPr>
          <w:p>
            <w:pPr>
              <w:spacing w:after="0"/>
              <w:rPr>
                <w:sz w:val="19"/>
                <w:szCs w:val="19"/>
                <w:color w:val="auto"/>
              </w:rPr>
            </w:pPr>
          </w:p>
        </w:tc>
      </w:tr>
      <w:tr>
        <w:trPr>
          <w:trHeight w:val="169"/>
        </w:trPr>
        <w:tc>
          <w:tcPr>
            <w:tcW w:w="8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4"/>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 thousands, except per share</w:t>
            </w:r>
          </w:p>
        </w:tc>
      </w:tr>
      <w:tr>
        <w:trPr>
          <w:trHeight w:val="241"/>
        </w:trPr>
        <w:tc>
          <w:tcPr>
            <w:tcW w:w="8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900" w:type="dxa"/>
            <w:vAlign w:val="bottom"/>
          </w:tcPr>
          <w:p>
            <w:pPr>
              <w:spacing w:after="0"/>
              <w:rPr>
                <w:sz w:val="20"/>
                <w:szCs w:val="20"/>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2,969,831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3,818,976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937,031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1,496,346</w:t>
            </w:r>
          </w:p>
        </w:tc>
      </w:tr>
      <w:tr>
        <w:trPr>
          <w:trHeight w:val="270"/>
        </w:trPr>
        <w:tc>
          <w:tcPr>
            <w:tcW w:w="8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w:t>
            </w:r>
          </w:p>
        </w:tc>
      </w:tr>
      <w:tr>
        <w:trPr>
          <w:trHeight w:val="21"/>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Pronto Acquisition</w:t>
      </w:r>
    </w:p>
    <w:p>
      <w:pPr>
        <w:spacing w:after="0" w:line="106"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color w:val="auto"/>
        </w:rPr>
        <w:t>On June 30, 2022, the Company acquired the Marlan Processing Plant, three compressor stations and approximately 45 miles of natural gas gathering pipelines in Lea and Eddy Counties, New Mexico as part of the acquisition (the “Pronto Acquisition”) of a wholly-owned subsidiary of Summit Midstream Partners, LP that was subsequently renamed Pronto. This acquisition was also accounted for as a business combination in accordance with ASC Topic 805. In addition, the Company assumed certain takeaway capacity on a Federal Energy Regulatory Commission regulated natural gas pipeline. As consideration for the business combination, the Company paid approximately $77.8 million in cash, subject to certain customary post-closing purchase price adjustments. The pro forma impact of this business combination to revenues and net income for 2022 would not be material to the Company’s 2022 revenues and net income as reported.</w:t>
      </w:r>
    </w:p>
    <w:p>
      <w:pPr>
        <w:spacing w:after="0" w:line="73"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 allocation of the consideration given related to this business combination was as follows (in thousands), which the Company considered to be final as of December 31, 2022.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Consideration given</w:t>
            </w:r>
          </w:p>
        </w:tc>
        <w:tc>
          <w:tcPr>
            <w:tcW w:w="22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80" w:type="dxa"/>
            <w:vAlign w:val="bottom"/>
            <w:tcBorders>
              <w:bottom w:val="single" w:sz="8" w:color="CCEEFF"/>
            </w:tcBorders>
            <w:shd w:val="clear" w:color="auto" w:fill="CCEEFF"/>
          </w:tcPr>
          <w:p>
            <w:pPr>
              <w:spacing w:after="0"/>
              <w:rPr>
                <w:sz w:val="23"/>
                <w:szCs w:val="23"/>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consideration given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77,828</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0" w:type="dxa"/>
            <w:vAlign w:val="bottom"/>
            <w:shd w:val="clear" w:color="auto" w:fill="CCEEFF"/>
          </w:tcPr>
          <w:p>
            <w:pPr>
              <w:spacing w:after="0"/>
              <w:rPr>
                <w:sz w:val="22"/>
                <w:szCs w:val="22"/>
                <w:color w:val="auto"/>
              </w:rPr>
            </w:pPr>
          </w:p>
        </w:tc>
        <w:tc>
          <w:tcPr>
            <w:tcW w:w="9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acquired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9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74,100</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9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77,828</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BUSINESS COMBINATIONS AND DIVESTITURES —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Divestitures</w:t>
      </w:r>
    </w:p>
    <w:p>
      <w:pPr>
        <w:spacing w:after="0" w:line="119"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During 2023 and 2022, the Company converted approximately $0.7 million and $46.5 million, respectively, of non-core assets to cash. These properties were primarily located in South Texas and Northwest Louisiana.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12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had (i) $699.2 million of outstanding 5.875% senior notes due 2026 (the “2026 Notes”), (ii) $500.0 million of outstanding 6.875% senior notes due 2028 (the “2028 Notes”), (iii) $500.0 million in borrowings outstanding under the Credit Agreement and (iv) approximately $52.3 million in outstanding letters of credit issued pursuant to the Credit Agreement.</w:t>
      </w:r>
    </w:p>
    <w:p>
      <w:pPr>
        <w:spacing w:after="0" w:line="6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2023, San Mateo had $522.0 million in borrowings outstanding under its revolving credit facility (the “San Mateo Credit Facility”) and approximately $9.0 million in outstanding letters of credit issued pursuant to the San Mateo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119"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On November 18, 2021, the Company entered into its Fourth Amended and Restated Credit Agreement with the lenders party thereto, currently led by Truist Bank as administrative agent (the “Credit Agreement”). MRC Energy Company (“MRC”), a subsidiary of Matador that directly or indirectly holds the ownership interests in the Company’s other operating subsidiaries, other than its less-than-wholly-owned subsidiaries, is the borrower under the Credit Agreement. Borrowings are secured by mortgages on at least 85% of MRC’s and the Restricted Subsidiaries’ (as defined in the Credit Agreement) proved oil and natural gas properties and by the equity interests of certain of MRC’s wholly-owned subsidiaries, which are also guarantors. San Mateo and Pronto are not guarantors of the Credit Agreement. In addition, all obligations under the Credit Agreement are guaranteed by Matador, the parent corporation. Various commodity hedging agreements with certain of the lenders under the Credit Agreement (or affiliates thereof) are also secured by the collateral of and guaranteed by certain eligible subsidiaries of MRC. The Credit Agreement matures on October 31, 2026 or, if earlier, the date that is 180 days prior to the earliest stated redemption date of any senior notes of the Company with an outstanding principal balance in excess of $25.0 million.</w:t>
      </w:r>
    </w:p>
    <w:p>
      <w:pPr>
        <w:spacing w:after="0" w:line="80"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spacing w:after="0" w:line="68"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In March 2023, the lenders completed their review of the Company’s proved oil and natural gas reserves, and, as a result, the Company and its lenders entered into an amendment to the Fourth Amended and Restated Credit Agreement, which amended the Credit Agreement to, among other things:</w:t>
      </w:r>
    </w:p>
    <w:p>
      <w:pPr>
        <w:ind w:right="40" w:firstLine="8"/>
        <w:spacing w:after="0" w:line="255"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 the borrowing base at $2.25 billion, (ii) increase the elected borrowing commitment from $775.0 million to $1.25 billion, (iii) maintain the maximum facility amount at $1.50 billion and (iv) add another bank to the lending group. This March 2023 reaffirmation of the borrowing base constituted the regularly scheduled May 1 redetermination.</w:t>
      </w:r>
    </w:p>
    <w:p>
      <w:pPr>
        <w:spacing w:after="0" w:line="78"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In October 2023, the lenders completed their review of the Company’s proved oil and natural gas reserves, and, as a result, the Company and its lenders entered into an amendment to the Fourth Amended and Restated Credit Agreement, which amended the Credit Agreement to, among other things:</w:t>
      </w:r>
    </w:p>
    <w:p>
      <w:pPr>
        <w:ind w:firstLine="8"/>
        <w:spacing w:after="0" w:line="253" w:lineRule="auto"/>
        <w:tabs>
          <w:tab w:leader="none" w:pos="2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borrowing base from $2.25 billion to $2.50 billion, (ii) increase the elected borrowing commitment from $1.25 billion to $1.325 billion, (iii) increase the maximum facility amount from $1.50 billion to $2.00 billion and (iv) add another bank to the lending group. This October 2023 redetermination constituted the regularly scheduled November 1 redetermination. Borrowings under the Credit Agreement are limited to the lowest of the borrowing base, the maximum facility amount and the elected borrowing commitment (subject to compliance with the covenants noted below).</w:t>
      </w:r>
    </w:p>
    <w:p>
      <w:pPr>
        <w:spacing w:after="0" w:line="81"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In the event of an increase in the elected borrowing commitment, the Company is required to pay a fee to the lenders equal to a percentage of the amount of the increase, which is determined based on market conditions at the time of the increase. If, upon a 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60" w:right="254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Total deferred loan costs were $9.3 million at December 31, 2023, and these costs are being amortized over the term of the Credit Agreement. At December 31, 2023, the Company had $500.0 million in borrowings outstanding under the Credit Agreement and approximately $52.3 million in outstanding letters of credit issued pursuant to the Credit Agreement. The Company’s effective interest rate under the Credit Agreement was 7.21% at December 31, 2023.</w:t>
      </w:r>
    </w:p>
    <w:p>
      <w:pPr>
        <w:spacing w:after="0" w:line="72"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After giving effect to the amendment to the Credit Agreement, the applicable interest rate margin for borrowings under the Credit Agreement ranges from 1.75% to 2.75% for borrowings bearing interest with reference to the Adjusted Term SOFR Rate and from 0.75% to 1.75% for borrowings bearing interest with reference to the Alternate Base Rate (as defined in the Credit Agreement), in each case depending on the level of borrowings under the Credit Agreement. In addition, the Adjusted Term SOFR Rate includes a credit spread adjustment of 0.10% for all interest periods. The interest period for Adjusted Term SOFR Rate borrowings may be one, three or six months as designated by MRC. If MRC has outstanding borrowings under the Credit Agreement and interest rates increase, so will MRC’s interest costs, which may have a material adverse effect on the Company’s results of operations and financial condition.</w:t>
      </w:r>
    </w:p>
    <w:p>
      <w:pPr>
        <w:spacing w:after="0" w:line="8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 commitment fee of 0.375% to 0.50%, depending on the level of borrowings under the Credit Agreement, 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(i) a current ratio, which is defined as (x) total consolidated current assets plus the unused availability under the Credit Agreement divided by</w:t>
      </w:r>
    </w:p>
    <w:p>
      <w:pPr>
        <w:spacing w:after="0" w:line="3" w:lineRule="exact"/>
        <w:rPr>
          <w:sz w:val="20"/>
          <w:szCs w:val="20"/>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current liabilities less current maturities under the Credit Agreement, of not less than 1.0 to 1.0 at the end of each fiscal quarter and</w:t>
      </w:r>
    </w:p>
    <w:p>
      <w:pPr>
        <w:spacing w:after="0" w:line="9" w:lineRule="exact"/>
        <w:rPr>
          <w:rFonts w:ascii="Times New Roman" w:cs="Times New Roman" w:eastAsia="Times New Roman" w:hAnsi="Times New Roman"/>
          <w:sz w:val="18"/>
          <w:szCs w:val="18"/>
          <w:color w:val="auto"/>
        </w:rPr>
      </w:pPr>
    </w:p>
    <w:p>
      <w:pPr>
        <w:ind w:right="200" w:firstLine="8"/>
        <w:spacing w:after="0" w:line="260" w:lineRule="auto"/>
        <w:tabs>
          <w:tab w:leader="none" w:pos="2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to EBITDA ratio, which is defined as debt outstanding (net of up to $75 million of unrestricted cash and cash equivalents) divided by a rolling four quarter EBITDA calculation, of 3.50 to 1.0 or less at the end of each fiscal quarter.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certain exceptions, the Credit Agreement contains various covenants that limit MRC’s and its Restricted Subsidiaries’ (as defined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ability to take certain actions, including, but not limited to, the following:</w:t>
      </w:r>
    </w:p>
    <w:p>
      <w:pPr>
        <w:spacing w:after="0" w:line="99"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grant liens on any of its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commodity hedging agreements or interest rate agreements;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distributions or redemptions;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asset dispositions, including a sale of all or substantially all of MRC’s assets;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certain actions with respect to the Company’s senior unsecured notes.</w:t>
      </w:r>
    </w:p>
    <w:p>
      <w:pPr>
        <w:spacing w:after="0" w:line="171"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If an event of default exists under the Credit Agreement, the lenders will be able to terminate their commitments, accelerate the maturity of the borrowings and exercise other rights and remedies. Events of default include, but are not limited to, the following events:</w:t>
      </w:r>
    </w:p>
    <w:p>
      <w:pPr>
        <w:spacing w:after="0" w:line="54" w:lineRule="exact"/>
        <w:rPr>
          <w:sz w:val="20"/>
          <w:szCs w:val="20"/>
          <w:color w:val="auto"/>
        </w:rPr>
      </w:pPr>
    </w:p>
    <w:p>
      <w:pPr>
        <w:ind w:left="340" w:right="380" w:hanging="332"/>
        <w:spacing w:after="0" w:line="282" w:lineRule="auto"/>
        <w:tabs>
          <w:tab w:leader="none" w:pos="3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principal on the outstanding borrowings when due or any interest on the outstanding borrowings, any reimbursement obligation under any letter of credit or any fees or other amounts within certain grace periods;</w:t>
      </w:r>
    </w:p>
    <w:p>
      <w:pPr>
        <w:spacing w:after="0" w:line="53"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otherwise comply with the covenants and obligations in the Credit Agreement or other loan documents, subject, in certain instances, to certain grace periods;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events involving the Company or any of the Restricted Subsidiaries;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as defined in the Credit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believes that it was in compliance with the terms of the Credit Agreement at December 31, 2023.</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60"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On December 19, 2018, San Mateo entered into the San Mateo Credit Facility with the lenders party thereto, currently led by Truist Bank as administrative agent. In October 2023, the lenders under the San Mateo Credit Facility increased the lender</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commitments from $485.0 million to $535.0 million and added one new bank to San Mateo’s lending group. The San Mateo Credit Facility includes an accordion feature, which provides for potential increases in lender commitments of up to $735.0 million. The San Mateo Credit Facility is non-recourse with respect to Matador and its other subsidiaries, but is guaranteed by San Mateo’s subsidiaries and secured by substantially all of San Mateo’s assets, including real property.</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Total deferred loan costs were $3.1 million at December 31, 2023, and these costs are being amortized over the term of the San Mateo Credit Facility. San Mateo’s effective interest rate under the San Mateo Credit Facility was 7.71% at December 31, 2023. At December 31, 2023, San Mateo had $522.0 million in borrowings outstanding under the San Mateo Credit Facility and $9.0 million in outstanding letters of credit issued pursuant to the San Mateo Credit Facility. The outstanding borrowings under the San Mateo Credit Facility mature on December 9, 2026.</w:t>
      </w:r>
    </w:p>
    <w:p>
      <w:pPr>
        <w:spacing w:after="0" w:line="7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Borrowings under the San Mateo Credit Facility may be in the form of a base rate loan or an Adjusted Term SOFR Rate loan. If San Mateo borrows funds as a base rate loan, such borrowings will bear interest at a rate equal to the greatest of (i) the prime rate for such day, (ii) the Federal Funds Effective Rate (as defined in the San Mateo Credit Facility) on such day, plus 0.50%, and (iii) the Adjusted Term SOFR Rate (as defined in the San Mateo Credit Facility) for a one month tenor plus 1.0%, plus, in each case, an amount ranging from 1.25% to 2.25% depending on San Mateo’s Consolidated Total Leverage Ratio (as defined in the San Mateo Credit Facility). If San Mateo borrows funds as an Adjusted Term SOFR Rate loan, such borrowings will bear interest at a rate equal to (x) the Adjusted Term SOFR Rate for the chosen interest period plus (y) an amount ranging from 2.25% to 3.25%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84"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A commitment fee of 0.30% to 0.50%, depending on San Mateo’s Consolidated Total Leverage Ratio,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w:t>
      </w:r>
    </w:p>
    <w:p>
      <w:pPr>
        <w:spacing w:after="0" w:line="8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San Mateo Credit Facility contains various covenants that limit San Mateo’s and its restricted subsidiaries’ ability to take certain actions, including, but not limited to, the following:</w:t>
      </w:r>
    </w:p>
    <w:p>
      <w:pPr>
        <w:spacing w:after="0" w:line="68"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grant liens on any of San Mateo’s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hedging agreements;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distributions or redemptions;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asset dispositions, including a sale of all or substantially all of San Mateo’s assets;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interests in San Mateo or its restricted subsidiaries.</w:t>
      </w:r>
    </w:p>
    <w:p>
      <w:pPr>
        <w:spacing w:after="0" w:line="117"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If an event of default exists under the San Mateo Credit Facility, the lenders will be able to terminate their commitments, accelerate the maturity of the borrowings and exercise other rights and remedies. Events of default include, but are not limited to, the following events:</w:t>
      </w:r>
    </w:p>
    <w:p>
      <w:pPr>
        <w:spacing w:after="0" w:line="54" w:lineRule="exact"/>
        <w:rPr>
          <w:sz w:val="20"/>
          <w:szCs w:val="20"/>
          <w:color w:val="auto"/>
        </w:rPr>
      </w:pPr>
    </w:p>
    <w:p>
      <w:pPr>
        <w:ind w:left="340" w:right="140" w:hanging="332"/>
        <w:spacing w:after="0" w:line="282"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principal or interest on the outstanding borrowings or any reimbursement obligation under any letter of credit when due or any fees or other amounts within certain grace periods;</w:t>
      </w:r>
    </w:p>
    <w:p>
      <w:pPr>
        <w:spacing w:after="0" w:line="5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otherwise comply with the covenants and obligations in the San Mateo Credit Facility or other loan documents, subject, in certain instances, to certain grace periods;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events involving San Mateo or its subsidiaries;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as defined in the San Mateo Credit Facility.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believes that San Mateo was in compliance with the terms of the San Mateo Credit Facility at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2026 Notes</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At December 31, 2023, the Company had $699.2 million of outstanding 2026 Notes, which have a 5.875% coupon rate. The 2026 Notes were registered under the Securities Act and mature September 15, 2026. Interest is payable on the 2026 Notes semi-annually in arrears on each March 15 and September 15. The 2026 Notes are jointly and severally guaranteed on a senior unsecured basis by certain subsidiaries of the Company (the “Guarantors”). San Mateo and Pronto are not Restricted Subsidiaries (as defined in the indenture governing the 2026 Notes (the “2026 Notes Indenture”)) or Guarantors of the 2026 Notes.</w:t>
      </w:r>
    </w:p>
    <w:p>
      <w:pPr>
        <w:spacing w:after="0" w:line="75"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The Company may redeem all or a part of the 2026 Notes at any time or from time to time at the following redemption prices (expressed as percentages of principal amount) plus accrued and unpaid interest, if any, to the applicable redemption date, if redeemed during the twelve-month period beginning on September 15 of the years indicated below:</w:t>
      </w:r>
    </w:p>
    <w:p>
      <w:pPr>
        <w:spacing w:after="0" w:line="199" w:lineRule="exact"/>
        <w:rPr>
          <w:sz w:val="20"/>
          <w:szCs w:val="20"/>
          <w:color w:val="auto"/>
        </w:rPr>
      </w:pPr>
    </w:p>
    <w:tbl>
      <w:tblPr>
        <w:tblLayout w:type="fixed"/>
        <w:tblInd w:w="3740" w:type="dxa"/>
        <w:tblCellMar>
          <w:top w:w="0" w:type="dxa"/>
          <w:left w:w="0" w:type="dxa"/>
          <w:bottom w:w="0" w:type="dxa"/>
          <w:right w:w="0" w:type="dxa"/>
        </w:tblCellMar>
      </w:tblPr>
      <w:tr>
        <w:trPr>
          <w:trHeight w:val="238"/>
        </w:trPr>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Price</w:t>
            </w:r>
          </w:p>
        </w:tc>
      </w:tr>
      <w:tr>
        <w:trPr>
          <w:trHeight w:val="223"/>
        </w:trPr>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101.469%</w:t>
            </w:r>
          </w:p>
        </w:tc>
      </w:tr>
      <w:tr>
        <w:trPr>
          <w:trHeight w:val="234"/>
        </w:trPr>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2024 and thereafter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6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2026 Notes Indenture contains various covenants that limit the Company’s and its Restricted Subsidiaries’ ability to take certain actions, including, but not limited to, the following:</w:t>
      </w:r>
    </w:p>
    <w:p>
      <w:pPr>
        <w:spacing w:after="0" w:line="54"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certain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that secure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117" w:lineRule="exact"/>
        <w:rPr>
          <w:sz w:val="20"/>
          <w:szCs w:val="20"/>
          <w:color w:val="auto"/>
        </w:rPr>
      </w:pPr>
    </w:p>
    <w:p>
      <w:pPr>
        <w:ind w:right="160" w:firstLine="405"/>
        <w:spacing w:after="0" w:line="277" w:lineRule="auto"/>
        <w:rPr>
          <w:sz w:val="20"/>
          <w:szCs w:val="20"/>
          <w:color w:val="auto"/>
        </w:rPr>
      </w:pPr>
      <w:r>
        <w:rPr>
          <w:rFonts w:ascii="Times New Roman" w:cs="Times New Roman" w:eastAsia="Times New Roman" w:hAnsi="Times New Roman"/>
          <w:sz w:val="17"/>
          <w:szCs w:val="17"/>
          <w:color w:val="auto"/>
        </w:rPr>
        <w:t>In the case of an event of default arising from certain events of bankruptcy or insolvency with respect to Matador, any Restricted Subsidiary (as defined in the 2026 Notes Indenture) that is a Significant Subsidiary (as defined in the 2026 Notes Indenture) or any group of Restricted Subsidiaries that, taken together, would constitute a Significant Subsidiary, all outstanding 2026 Notes will become due and payable immediately without further action or notice. If any other event of default occurs and is continuing, the trustee or the holders of at least 25% in principal amount of the then outstanding 2026 Notes may declare all the 2026 Notes to be due and payable immediately. Events of default include, but are not limited to, the following events:</w:t>
      </w:r>
    </w:p>
    <w:p>
      <w:pPr>
        <w:spacing w:after="0" w:line="60"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2026 Notes;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the 2026 Notes;</w:t>
      </w:r>
    </w:p>
    <w:p>
      <w:pPr>
        <w:spacing w:after="0" w:line="117"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to offer to purchase or purchase 2026 Notes pursuant to the change of control or asset sale covenants of the 2026 Notes Indenture or to comply with the covenant relating to mergers;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180 days after notice to comply with its reporting obligations under the 2026 Notes Indenture;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notice to comply with any of the other agreements in the 2026 Notes Indenture;</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the Company and its Restricted Subsidiaries in the aggregate principal amount of $50.0 million or more;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Restricted Subsidiary to pay certain final judgments aggregating in excess of $50.0 million within 60 days;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left="340" w:right="760" w:hanging="332"/>
        <w:spacing w:after="0" w:line="282" w:lineRule="auto"/>
        <w:tabs>
          <w:tab w:leader="none" w:pos="3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guarantee by a Guarantor ceases to be in full force and effect, is declared null and void in a judicial proceeding or is denied or disaffirmed by its maker; and</w:t>
      </w:r>
    </w:p>
    <w:p>
      <w:pPr>
        <w:spacing w:after="0" w:line="53"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2028 Notes</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April 11, 2023, the Company completed the sale of $500.0 million in aggregate principal amount of the 2028 Notes, which have a 6.875% coupon rate and mature April 15, 2028. Interest is payable on the 2028 Notes semi-annually in arrears on each April 15 and October 15. The 2028 Notes are jointly and severally guaranteed on a senior unsecured basis by the Guarantors. San Mateo and Pronto are not Restricted Subsidiaries (as defined in the indenture governing the 2028 Notes (the “2028 Notes Indenture”)) or Guarantors of the 2028 Notes.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any time prior to April 15, 2025, the Company may redeem up to 35% in aggregate principal amount of 2028 Notes at a redemption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106.875% of the principal amount thereof, plus accrued and unpaid interest to the redemption date, in an amount not greater than the net proceeds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offerings so long as the redemption occurs within 180 days of completing such equity offering and at least 65% of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2028 Notes remains outstanding after such redemption. In addition, at any time prior to April 15, 2025, the Company may redeem all or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Notes for cash at a redemption price equal to 100% of their principal amount plus an applicable make-whole premium and accrued and unpaid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99" w:lineRule="exact"/>
        <w:rPr>
          <w:sz w:val="20"/>
          <w:szCs w:val="20"/>
          <w:color w:val="auto"/>
        </w:rPr>
      </w:pPr>
    </w:p>
    <w:p>
      <w:pPr>
        <w:jc w:val="both"/>
        <w:ind w:right="300" w:firstLine="445"/>
        <w:spacing w:after="0" w:line="266" w:lineRule="auto"/>
        <w:rPr>
          <w:sz w:val="20"/>
          <w:szCs w:val="20"/>
          <w:color w:val="auto"/>
        </w:rPr>
      </w:pPr>
      <w:r>
        <w:rPr>
          <w:rFonts w:ascii="Times New Roman" w:cs="Times New Roman" w:eastAsia="Times New Roman" w:hAnsi="Times New Roman"/>
          <w:sz w:val="18"/>
          <w:szCs w:val="18"/>
          <w:color w:val="auto"/>
        </w:rPr>
        <w:t>On or after April 15, 2025, the Company may redeem all or a part of the 2028 Notes at any time or from time to time at the following redemption prices (expressed as percentages of principal amount) plus accrued and unpaid interest, if any, to the applicable redemption date, if redeemed during the twelve-month period beginning on April 15 of the years indicated below:</w:t>
      </w:r>
    </w:p>
    <w:p>
      <w:pPr>
        <w:spacing w:after="0" w:line="199" w:lineRule="exact"/>
        <w:rPr>
          <w:sz w:val="20"/>
          <w:szCs w:val="20"/>
          <w:color w:val="auto"/>
        </w:rPr>
      </w:pPr>
    </w:p>
    <w:tbl>
      <w:tblPr>
        <w:tblLayout w:type="fixed"/>
        <w:tblInd w:w="3740" w:type="dxa"/>
        <w:tblCellMar>
          <w:top w:w="0" w:type="dxa"/>
          <w:left w:w="0" w:type="dxa"/>
          <w:bottom w:w="0" w:type="dxa"/>
          <w:right w:w="0" w:type="dxa"/>
        </w:tblCellMar>
      </w:tblPr>
      <w:tr>
        <w:trPr>
          <w:trHeight w:val="238"/>
        </w:trPr>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Price</w:t>
            </w:r>
          </w:p>
        </w:tc>
      </w:tr>
      <w:tr>
        <w:trPr>
          <w:trHeight w:val="223"/>
        </w:trPr>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103.438%</w:t>
            </w:r>
          </w:p>
        </w:tc>
      </w:tr>
      <w:tr>
        <w:trPr>
          <w:trHeight w:val="230"/>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101.719%</w:t>
            </w:r>
          </w:p>
        </w:tc>
      </w:tr>
      <w:tr>
        <w:trPr>
          <w:trHeight w:val="229"/>
        </w:trPr>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2027 and thereafter</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7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2028 Notes Indenture contains various covenants that limit the Company’s and its Restricted Subsidiaries’ ability to take certain actions, including, but not limited to, the following:</w:t>
      </w:r>
    </w:p>
    <w:p>
      <w:pPr>
        <w:spacing w:after="0" w:line="54" w:lineRule="exact"/>
        <w:rPr>
          <w:sz w:val="20"/>
          <w:szCs w:val="20"/>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certain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that secure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117" w:lineRule="exact"/>
        <w:rPr>
          <w:sz w:val="20"/>
          <w:szCs w:val="20"/>
          <w:color w:val="auto"/>
        </w:rPr>
      </w:pPr>
    </w:p>
    <w:p>
      <w:pPr>
        <w:ind w:right="160" w:firstLine="405"/>
        <w:spacing w:after="0" w:line="277" w:lineRule="auto"/>
        <w:rPr>
          <w:sz w:val="20"/>
          <w:szCs w:val="20"/>
          <w:color w:val="auto"/>
        </w:rPr>
      </w:pPr>
      <w:r>
        <w:rPr>
          <w:rFonts w:ascii="Times New Roman" w:cs="Times New Roman" w:eastAsia="Times New Roman" w:hAnsi="Times New Roman"/>
          <w:sz w:val="17"/>
          <w:szCs w:val="17"/>
          <w:color w:val="auto"/>
        </w:rPr>
        <w:t>In the case of an event of default arising from certain events of bankruptcy or insolvency with respect to Matador, any Restricted Subsidiary (as defined in the 2028 Notes Indenture) that is a Significant Subsidiary (as defined in the 2028 Notes Indenture) or any group of Restricted Subsidiaries that, taken together, would constitute a Significant Subsidiary, all outstanding 2028 Notes will become due and payable immediately without further action or notice. If any other event of default occurs and is continuing, the trustee or the holders of at least 25% in principal amount of the then outstanding 2028 Notes may declare all the 2028 Notes to be due and payable immediately. Events of default include, but are not limited to, the following events:</w:t>
      </w:r>
    </w:p>
    <w:p>
      <w:pPr>
        <w:spacing w:after="0" w:line="60" w:lineRule="exact"/>
        <w:rPr>
          <w:sz w:val="20"/>
          <w:szCs w:val="20"/>
          <w:color w:val="auto"/>
        </w:rPr>
      </w:pPr>
    </w:p>
    <w:p>
      <w:pPr>
        <w:ind w:left="320" w:hanging="312"/>
        <w:spacing w:after="0"/>
        <w:tabs>
          <w:tab w:leader="none" w:pos="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2028 Notes;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the 2028 Notes;</w:t>
      </w:r>
    </w:p>
    <w:p>
      <w:pPr>
        <w:spacing w:after="0" w:line="117"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to offer to purchase or purchase 2028 Notes pursuant to the change of control or asset sale covenants of the 2028 Notes Indenture or to comply with the covenant relating to mergers;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180 days after notice to comply with its reporting obligations under the 2028 Notes Indenture;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left="320" w:hanging="31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notice to comply with any of the other agreements in the 2028 Notes Indenture;</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the Company and its Restricted Subsidiaries in the aggregate principal amount of $100.0 million or more;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Restricted Subsidiary to pay certain final judgments aggregating in excess of $100.0 million within 60 days;</w:t>
      </w:r>
    </w:p>
    <w:p>
      <w:pPr>
        <w:spacing w:after="0" w:line="117" w:lineRule="exact"/>
        <w:rPr>
          <w:rFonts w:ascii="Times New Roman" w:cs="Times New Roman" w:eastAsia="Times New Roman" w:hAnsi="Times New Roman"/>
          <w:sz w:val="18"/>
          <w:szCs w:val="18"/>
          <w:color w:val="auto"/>
        </w:rPr>
      </w:pPr>
    </w:p>
    <w:p>
      <w:pPr>
        <w:ind w:left="340" w:right="760" w:hanging="332"/>
        <w:spacing w:after="0" w:line="282" w:lineRule="auto"/>
        <w:tabs>
          <w:tab w:leader="none" w:pos="3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guarantee by a Guarantor ceases to be in full force and effect, is declared null and void in a judicial proceeding or is denied or disaffirmed by its maker; and</w:t>
      </w:r>
    </w:p>
    <w:p>
      <w:pPr>
        <w:spacing w:after="0" w:line="53"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Maturities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debt, including the effects of issuance costs and net discounts, as of December 31, 2023 and 2022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agreements: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 Agreement due 2026</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San Mateo Credit Facility due 2026</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465,000</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5.875% senior notes due 2026</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6.875% senior notes due 2028</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Issuance costs and discounts, net</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 senior unsecured notes payable</w:t>
      </w:r>
    </w:p>
    <w:p>
      <w:pPr>
        <w:spacing w:after="0" w:line="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699,191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699,191</w:t>
            </w:r>
          </w:p>
        </w:tc>
      </w:tr>
      <w:tr>
        <w:trPr>
          <w:trHeight w:val="333"/>
        </w:trPr>
        <w:tc>
          <w:tcPr>
            <w:tcW w:w="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r>
      <w:tr>
        <w:trPr>
          <w:trHeight w:val="223"/>
        </w:trPr>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1,184,627</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695,245</w:t>
            </w:r>
          </w:p>
        </w:tc>
      </w:tr>
      <w:tr>
        <w:trPr>
          <w:trHeight w:val="223"/>
        </w:trPr>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2,206,627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1,160,245</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-487680</wp:posOffset>
            </wp:positionV>
            <wp:extent cx="713232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-187960</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720"/>
            <w:col w:w="36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08"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the result of temporary differences between the financial statement carrying values and the tax bases of assets and liabilities. The Company’s net deferred tax position as of December 31, 2023 and 2022 is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experimental tax credits, net of reserve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23"/>
        </w:trPr>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41,577</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(11,322)</w:t>
            </w:r>
          </w:p>
        </w:tc>
      </w:tr>
      <w:tr>
        <w:trPr>
          <w:trHeight w:val="223"/>
        </w:trPr>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30,255</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(534,538)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(378,925)</w:t>
            </w: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than wholly-owned subsidiaries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(63,388)</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right of use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23"/>
        </w:trPr>
        <w:tc>
          <w:tcPr>
            <w:tcW w:w="7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(619,385)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(458,606)</w:t>
            </w:r>
          </w:p>
        </w:tc>
      </w:tr>
      <w:tr>
        <w:trPr>
          <w:trHeight w:val="248"/>
        </w:trPr>
        <w:tc>
          <w:tcPr>
            <w:tcW w:w="75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(581,439)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(428,351)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current income tax provision and the deferred income tax provision for the years ended December 31, 2023, 2022 and 2021 were comprised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1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income tax</w:t>
            </w:r>
          </w:p>
        </w:tc>
        <w:tc>
          <w:tcPr>
            <w:tcW w:w="26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income tax</w:t>
            </w:r>
          </w:p>
        </w:tc>
        <w:tc>
          <w:tcPr>
            <w:tcW w:w="16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current income tax provision</w:t>
            </w:r>
          </w:p>
        </w:tc>
        <w:tc>
          <w:tcPr>
            <w:tcW w:w="166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43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income tax provision</w:t>
            </w:r>
          </w:p>
        </w:tc>
        <w:tc>
          <w:tcPr>
            <w:tcW w:w="1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income tax</w:t>
            </w:r>
          </w:p>
        </w:tc>
        <w:tc>
          <w:tcPr>
            <w:tcW w:w="26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145,711</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302,486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44,883</w:t>
            </w:r>
          </w:p>
        </w:tc>
      </w:tr>
      <w:tr>
        <w:trPr>
          <w:trHeight w:val="230"/>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income tax</w:t>
            </w:r>
          </w:p>
        </w:tc>
        <w:tc>
          <w:tcPr>
            <w:tcW w:w="16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29,827</w:t>
            </w:r>
          </w:p>
        </w:tc>
      </w:tr>
      <w:tr>
        <w:trPr>
          <w:trHeight w:val="223"/>
        </w:trPr>
        <w:tc>
          <w:tcPr>
            <w:tcW w:w="4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income tax provision</w:t>
            </w:r>
          </w:p>
        </w:tc>
        <w:tc>
          <w:tcPr>
            <w:tcW w:w="166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172,104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344,480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74,710</w:t>
            </w:r>
          </w:p>
        </w:tc>
      </w:tr>
      <w:tr>
        <w:trPr>
          <w:trHeight w:val="21"/>
        </w:trPr>
        <w:tc>
          <w:tcPr>
            <w:tcW w:w="4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58"/>
        </w:trPr>
        <w:tc>
          <w:tcPr>
            <w:tcW w:w="4300" w:type="dxa"/>
            <w:vAlign w:val="bottom"/>
          </w:tcPr>
          <w:p>
            <w:pPr>
              <w:spacing w:after="0"/>
              <w:rPr>
                <w:sz w:val="24"/>
                <w:szCs w:val="24"/>
                <w:color w:val="auto"/>
              </w:rPr>
            </w:pPr>
          </w:p>
        </w:tc>
        <w:tc>
          <w:tcPr>
            <w:tcW w:w="26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F-29</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 — Continued</w:t>
      </w:r>
    </w:p>
    <w:p>
      <w:pPr>
        <w:spacing w:after="0" w:line="200" w:lineRule="exact"/>
        <w:rPr>
          <w:sz w:val="20"/>
          <w:szCs w:val="20"/>
          <w:color w:val="auto"/>
        </w:rPr>
      </w:pPr>
    </w:p>
    <w:p>
      <w:pPr>
        <w:spacing w:after="0" w:line="24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Reconciliations of the tax expense computed at the statutory federal rate to the Company’s total income tax provision for the years ended December 31, 2023, 2022 and 2021 is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020" w:type="dxa"/>
            <w:vAlign w:val="bottom"/>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Federal tax expense at statutory rate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150,223</w:t>
            </w:r>
          </w:p>
        </w:tc>
      </w:tr>
      <w:tr>
        <w:trPr>
          <w:trHeight w:val="229"/>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income tax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26,646</w:t>
            </w: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Permanent differences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 generated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Reserve on uncertain tax positions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federal valuation allowance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(103,262)</w:t>
            </w:r>
          </w:p>
        </w:tc>
      </w:tr>
      <w:tr>
        <w:trPr>
          <w:trHeight w:val="229"/>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 in state valuation allowance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248"/>
        </w:trPr>
        <w:tc>
          <w:tcPr>
            <w:tcW w:w="60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560" w:hanging="309"/>
        <w:spacing w:after="0"/>
        <w:tabs>
          <w:tab w:leader="none" w:pos="5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federal tax rate was 21% for the years ended December 31, 2023, 2022 and 2021.</w:t>
      </w:r>
    </w:p>
    <w:p>
      <w:pPr>
        <w:spacing w:after="0" w:line="12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files a United States federal income tax return and several state tax returns, a number of which remain open for examination. The earliest tax year open for examination for the federal, the State of New Mexico and the State of Louisiana tax returns is 2020. The earliest tax year open for examination for the State of Texas tax return is 2019.</w:t>
      </w:r>
    </w:p>
    <w:p>
      <w:pPr>
        <w:spacing w:after="0" w:line="68"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unrecognized tax benefits (“UTB”) of $35.3 million as a result of research and experimental expenditures related to horizontal drilling and completion innovations, which would reduce the Company’s effective tax rate in future periods if and when realized. There were no UTBs as of December 31, 2022 or 2021. Although the Company does not anticipate a material change in UTBs within the next 12 months, the timing as to when the Company will substantially resolve the uncertainties associated with the UTBs is unknown.</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UTBs for the years ended December 31, 2023, 2022 and 2021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Balance at end of period</w:t>
            </w:r>
            <w:r>
              <w:rPr>
                <w:rFonts w:ascii="Times New Roman" w:cs="Times New Roman" w:eastAsia="Times New Roman" w:hAnsi="Times New Roman"/>
                <w:sz w:val="23"/>
                <w:szCs w:val="23"/>
                <w:color w:val="auto"/>
                <w:vertAlign w:val="superscript"/>
              </w:rPr>
              <w:t>(1)</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560" w:hanging="309"/>
        <w:spacing w:after="0"/>
        <w:tabs>
          <w:tab w:leader="none" w:pos="5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the UTBs related to the U.S. federal and state of Texas jurisdictions were $30.7 million and $4.6 million,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In 2012, the Company’s Board adopted and shareholders approved the 2012 Incentive Plan. The 2012 Incentive Plan provided for a maximum of 8,700,000 shares of common stock in the aggregate that could be issued pursuant to options, restricted stock, stock appreciation rights, restricted stock units or other performance award grants.</w:t>
      </w:r>
    </w:p>
    <w:p>
      <w:pPr>
        <w:spacing w:after="0" w:line="6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2019, the Board adopted and shareholders approved the 2019 Incentive Plan. In 2022, the Board adopted and shareholders approved the first amendment to the 2019 Long-Term Incentive Plan authorizing an additional 3,725,000 shares of common stock for issuance to employees, directors, contractors or advisors of the Company. As of December 31, 2023, the 2019 Incentive Plan provided for a maximum of 4,488,901 shares of common stock in the aggregate that may be issued pursuant to grants of options, restricted stock, stock appreciation rights, restricted stock units or other performance award grants. The persons eligible to receive awards under the 2019 Incentive Plan include employees, directors, contractors or advisors of the Company. The primary purpose of the 2019 Incentive Plan is to attract and retain key employees, directors, contractors or advisors of the Company. With the adoption of the 2019 Incentive Plan, the Company does not expect to make any future awards under the 2012 Incentive Plan, but the 2012 Incentive Plan will remain in place until all awards outstanding under that plan have been settled.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 — Continued</w:t>
      </w:r>
    </w:p>
    <w:p>
      <w:pPr>
        <w:spacing w:after="0" w:line="200" w:lineRule="exact"/>
        <w:rPr>
          <w:sz w:val="20"/>
          <w:szCs w:val="20"/>
          <w:color w:val="auto"/>
        </w:rPr>
      </w:pPr>
    </w:p>
    <w:p>
      <w:pPr>
        <w:spacing w:after="0" w:line="245"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2012 Incentive Plan and 2019 Incentive Plan (collectively, the “LTIPs”) are administered by the independent members of the Board, who, upon recommendation of the Strategic Planning and Compensation Committee of the Board, determine the number of options, restricted shares or other awards to be granted, the effective dates, the terms of the grants and the vesting periods. The Company typically uses newly issued shares of common stock to satisfy option exercises or restricted share grants.</w:t>
      </w:r>
    </w:p>
    <w:p>
      <w:pPr>
        <w:spacing w:after="0" w:line="7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granted both equity-based and liability-based awards under the 2019 Incentive Plan. The fair value of equity-based awards is fixed at the grant date, while the fair value of liability-based awards is remeasured at each reporting period.</w:t>
      </w:r>
    </w:p>
    <w:p>
      <w:pPr>
        <w:spacing w:after="0" w:line="68"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In 2022, the Board adopted and shareholders approved an Employee Stock Purchase Plan (the “ESPP”), which authorizes a maximum of 4.0 million shares of common stock to be purchased. The purpose of the ESPP is to encourage and enable the Company’s eligible employees to acquire an interest in the Company through the ownership of common stock. At December 31, 2023, the Company had 3,934,015 remaining shares available for issuance under the ESPP.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Service-Based Restricted Stock, Restricted Stock Units and Common Stock</w:t>
      </w:r>
    </w:p>
    <w:p>
      <w:pPr>
        <w:spacing w:after="0" w:line="106"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Company has granted stock, restricted stock and restricted stock unit awards to employees, consultants, outside directors and advisors of the Company under the LTIPs. The stock and restricted stock are issued upon grant, with the restrictions, if any, being removed upon vesting. The equity-based restricted stock units are issued upon vesting, unless the recipient makes an election to defer issuance for a set term after vesting. Liability-based restricted stock units are settled in cash upon vesting. Restricted stock and restricted stock units granted in 2023, 2022 and 2021 were service-based awards, which will settle in cash or equity, and vest over a one-year to three-year period. Performance-based restricted stock units granted in 2023 and 2022 vest in an amount between zero and 200% of the target units granted based on the Company’s relative total shareholder return over the three-year periods ending December 31, 2025 and 2024, respectively, as compared to a designated peer group, and will be settled in equity.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Equity-Based</w:t>
      </w:r>
    </w:p>
    <w:p>
      <w:pPr>
        <w:spacing w:after="0" w:line="173"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A summary of the non-vested equity-based restricted stock and restricted stock units as of December 31, 2023 is presented below (in thousands, except fair value).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top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Service Based</w:t>
            </w:r>
          </w:p>
        </w:tc>
        <w:tc>
          <w:tcPr>
            <w:tcW w:w="120" w:type="dxa"/>
            <w:vAlign w:val="bottom"/>
          </w:tcPr>
          <w:p>
            <w:pPr>
              <w:spacing w:after="0"/>
              <w:rPr>
                <w:sz w:val="19"/>
                <w:szCs w:val="19"/>
                <w:color w:val="auto"/>
              </w:rPr>
            </w:pPr>
          </w:p>
        </w:tc>
        <w:tc>
          <w:tcPr>
            <w:tcW w:w="2420" w:type="dxa"/>
            <w:vAlign w:val="bottom"/>
            <w:tcBorders>
              <w:top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Service Based</w:t>
            </w:r>
          </w:p>
        </w:tc>
        <w:tc>
          <w:tcPr>
            <w:tcW w:w="230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Performance Based</w:t>
            </w:r>
          </w:p>
        </w:tc>
        <w:tc>
          <w:tcPr>
            <w:tcW w:w="0" w:type="dxa"/>
            <w:vAlign w:val="bottom"/>
          </w:tcPr>
          <w:p>
            <w:pPr>
              <w:spacing w:after="0"/>
              <w:rPr>
                <w:sz w:val="1"/>
                <w:szCs w:val="1"/>
                <w:color w:val="auto"/>
              </w:rPr>
            </w:pPr>
          </w:p>
        </w:tc>
      </w:tr>
      <w:tr>
        <w:trPr>
          <w:trHeight w:val="174"/>
        </w:trPr>
        <w:tc>
          <w:tcPr>
            <w:tcW w:w="4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stock and</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6"/>
        </w:trPr>
        <w:tc>
          <w:tcPr>
            <w:tcW w:w="4120" w:type="dxa"/>
            <w:vAlign w:val="bottom"/>
            <w:gridSpan w:val="2"/>
            <w:vMerge w:val="continue"/>
          </w:tcPr>
          <w:p>
            <w:pPr>
              <w:spacing w:after="0"/>
              <w:rPr>
                <w:sz w:val="15"/>
                <w:szCs w:val="15"/>
                <w:color w:val="auto"/>
              </w:rPr>
            </w:pP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fair</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5"/>
                <w:szCs w:val="15"/>
                <w:color w:val="auto"/>
              </w:rPr>
            </w:pPr>
          </w:p>
        </w:tc>
        <w:tc>
          <w:tcPr>
            <w:tcW w:w="10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fair</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fair</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20" w:type="dxa"/>
            <w:vAlign w:val="bottom"/>
          </w:tcPr>
          <w:p>
            <w:pPr>
              <w:spacing w:after="0"/>
              <w:rPr>
                <w:sz w:val="19"/>
                <w:szCs w:val="19"/>
                <w:color w:val="auto"/>
              </w:rPr>
            </w:pPr>
          </w:p>
        </w:tc>
        <w:tc>
          <w:tcPr>
            <w:tcW w:w="1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Pr>
          <w:p>
            <w:pPr>
              <w:spacing w:after="0"/>
              <w:rPr>
                <w:sz w:val="19"/>
                <w:szCs w:val="19"/>
                <w:color w:val="auto"/>
              </w:rPr>
            </w:pPr>
          </w:p>
        </w:tc>
        <w:tc>
          <w:tcPr>
            <w:tcW w:w="1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500" w:right="60" w:hanging="330"/>
        <w:spacing w:after="0" w:line="282" w:lineRule="auto"/>
        <w:tabs>
          <w:tab w:leader="none" w:pos="49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31, 2023, 280,500 of the performance-based awards that were granted in 2021 vested. The vested units earned 178% for each vested award representing 499,290 aggregate shares of common stock, which were issued on December 31,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4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1100" w:type="dxa"/>
            <w:vAlign w:val="bottom"/>
          </w:tcPr>
          <w:p>
            <w:pPr>
              <w:spacing w:after="0"/>
              <w:rPr>
                <w:sz w:val="20"/>
                <w:szCs w:val="20"/>
                <w:color w:val="auto"/>
              </w:rPr>
            </w:pPr>
          </w:p>
        </w:tc>
      </w:tr>
      <w:tr>
        <w:trPr>
          <w:trHeight w:val="248"/>
        </w:trPr>
        <w:tc>
          <w:tcPr>
            <w:tcW w:w="1014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1100" w:type="dxa"/>
            <w:vAlign w:val="bottom"/>
          </w:tcPr>
          <w:p>
            <w:pPr>
              <w:spacing w:after="0"/>
              <w:rPr>
                <w:sz w:val="21"/>
                <w:szCs w:val="21"/>
                <w:color w:val="auto"/>
              </w:rPr>
            </w:pPr>
          </w:p>
        </w:tc>
      </w:tr>
      <w:tr>
        <w:trPr>
          <w:trHeight w:val="270"/>
        </w:trPr>
        <w:tc>
          <w:tcPr>
            <w:tcW w:w="1014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December 31, 2023, 2022 and 2021</w:t>
            </w:r>
          </w:p>
        </w:tc>
        <w:tc>
          <w:tcPr>
            <w:tcW w:w="1100" w:type="dxa"/>
            <w:vAlign w:val="bottom"/>
          </w:tcPr>
          <w:p>
            <w:pPr>
              <w:spacing w:after="0"/>
              <w:rPr>
                <w:sz w:val="23"/>
                <w:szCs w:val="23"/>
                <w:color w:val="auto"/>
              </w:rPr>
            </w:pPr>
          </w:p>
        </w:tc>
      </w:tr>
      <w:tr>
        <w:trPr>
          <w:trHeight w:val="32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 — Continued</w:t>
            </w:r>
          </w:p>
        </w:tc>
        <w:tc>
          <w:tcPr>
            <w:tcW w:w="1100" w:type="dxa"/>
            <w:vAlign w:val="bottom"/>
          </w:tcPr>
          <w:p>
            <w:pPr>
              <w:spacing w:after="0"/>
              <w:rPr>
                <w:sz w:val="24"/>
                <w:szCs w:val="24"/>
                <w:color w:val="auto"/>
              </w:rPr>
            </w:pPr>
          </w:p>
        </w:tc>
      </w:tr>
      <w:tr>
        <w:trPr>
          <w:trHeight w:val="648"/>
        </w:trPr>
        <w:tc>
          <w:tcPr>
            <w:tcW w:w="101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Liability-Based</w:t>
            </w:r>
          </w:p>
        </w:tc>
        <w:tc>
          <w:tcPr>
            <w:tcW w:w="1100" w:type="dxa"/>
            <w:vAlign w:val="bottom"/>
          </w:tcPr>
          <w:p>
            <w:pPr>
              <w:spacing w:after="0"/>
              <w:rPr>
                <w:sz w:val="24"/>
                <w:szCs w:val="24"/>
                <w:color w:val="auto"/>
              </w:rPr>
            </w:pPr>
          </w:p>
        </w:tc>
      </w:tr>
      <w:tr>
        <w:trPr>
          <w:trHeight w:val="378"/>
        </w:trPr>
        <w:tc>
          <w:tcPr>
            <w:tcW w:w="10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summary of the non-vested liability-based restricted stock units as of December 31, 2023 is presented below (in thousands).</w:t>
            </w:r>
          </w:p>
        </w:tc>
        <w:tc>
          <w:tcPr>
            <w:tcW w:w="1100" w:type="dxa"/>
            <w:vAlign w:val="bottom"/>
          </w:tcPr>
          <w:p>
            <w:pPr>
              <w:spacing w:after="0"/>
              <w:rPr>
                <w:sz w:val="24"/>
                <w:szCs w:val="24"/>
                <w:color w:val="auto"/>
              </w:rPr>
            </w:pPr>
          </w:p>
        </w:tc>
      </w:tr>
      <w:tr>
        <w:trPr>
          <w:trHeight w:val="351"/>
        </w:trPr>
        <w:tc>
          <w:tcPr>
            <w:tcW w:w="10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stock units</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23"/>
        </w:trPr>
        <w:tc>
          <w:tcPr>
            <w:tcW w:w="10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722</w:t>
            </w:r>
          </w:p>
        </w:tc>
      </w:tr>
      <w:tr>
        <w:trPr>
          <w:trHeight w:val="229"/>
        </w:trPr>
        <w:tc>
          <w:tcPr>
            <w:tcW w:w="10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6"/>
              </w:rPr>
              <w:t>229</w:t>
            </w:r>
          </w:p>
        </w:tc>
      </w:tr>
      <w:tr>
        <w:trPr>
          <w:trHeight w:val="229"/>
        </w:trPr>
        <w:tc>
          <w:tcPr>
            <w:tcW w:w="10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10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(107)</w:t>
            </w:r>
          </w:p>
        </w:tc>
      </w:tr>
      <w:tr>
        <w:trPr>
          <w:trHeight w:val="248"/>
        </w:trPr>
        <w:tc>
          <w:tcPr>
            <w:tcW w:w="10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10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465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settled 378,852, 587,251 and 487,252 liability-based awards, respectively, for $20.5 million, $30.8 million and $12.4 million in cash, respectively.</w:t>
      </w:r>
    </w:p>
    <w:p>
      <w:pPr>
        <w:spacing w:after="0" w:line="108"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At December 31, 2023, the aggregate intrinsic value for the restricted stock and restricted stock units outstanding was $82.8 million, of which $26.7 million is expected to be settled in cash as calculated based on the maximum number of shares of restricted stock units vesting, based on the closing price of Matador’s common stock on the appropriate date under the LTIPs.</w:t>
      </w:r>
    </w:p>
    <w:p>
      <w:pPr>
        <w:spacing w:after="0" w:line="12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At December 31, 2023, the total remaining unrecognized compensation expense related to unvested restricted stock and restricted stock units was approximately $49.2 million, of which $17.6 million is expected to be settled in cash, based on the closing price of Matador’s common stock on the appropriate date under the LTIPs. The weighted average remaining requisite service period (vesting period) of all non-vested restricted stock and restricted stock units was 1.7 years.</w:t>
      </w:r>
    </w:p>
    <w:p>
      <w:pPr>
        <w:spacing w:after="0" w:line="72"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and restricted stock units vested during 2023, 2022 and 2021 was $64.8 million, $99.6 million and $51.9 million,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73" w:lineRule="exact"/>
        <w:rPr>
          <w:sz w:val="20"/>
          <w:szCs w:val="20"/>
          <w:color w:val="auto"/>
        </w:rPr>
      </w:pPr>
    </w:p>
    <w:p>
      <w:pPr>
        <w:ind w:right="220" w:firstLine="445"/>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total expense attributable to restricted stock and restricted stock units was $33.0 million, $51.6 million and $36.3 million, respectively. During the year ended December 31, 2023, the Company did not recognize expense attributable to stock options. During the years ended December 31, 2022 and 2021, the total expense attributable to stock options was $0.5 million and $1.0 million, respectively. During the years ended December 31, 2023, 2022 and 2021, the Company capitalized $7.4 million, $5.0 million and $7.2 million, respectively, related to stock-based compensation and expensed the remaining $25.6 million, $47.1 million and $30.0 million, respectively.</w:t>
      </w:r>
    </w:p>
    <w:p>
      <w:pPr>
        <w:spacing w:after="0" w:line="7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total tax benefit recognized for all stock-based compensation was $7.0 million, $11.0 million and $7.9 million for the years ended December 31, 2023, 2022 and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EMPLOYEE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401(k) Plan</w:t>
      </w:r>
    </w:p>
    <w:p>
      <w:pPr>
        <w:spacing w:after="0" w:line="119"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that equals 3% of the employee’s annual compensation, up to the maximum allowable under the Internal Revenue Code, referred to as the Employer’s Safe Harbor Non-Elective Contribution, which totaled $2.2 million, $1.8 million and $1.6 million in 2023, 2022 and 2021, respectively. In addition, each year, the Company may make a discretionary matching contribution, as well as additional contributions. The Company’s discretionary matching contributions totaled $2.8 million, $2.3 million and $2.1 million in 2023, 2022 and 2021, respectively. The Company made no additional contributions in any reporting period presented.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420" w:right="248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Dividend</w:t>
      </w:r>
    </w:p>
    <w:p>
      <w:pPr>
        <w:spacing w:after="0" w:line="119"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The Board declared quarterly cash dividends of $0.15 per share of common stock in each of the first, second and third quarters of 2023. The first quarter dividend, which totaled $17.8 million was paid on March 9, 2023 to shareholders of record as of February 27, 2023. The second quarter dividend, which totaled $17.9 million, was paid on June 1, 2023 to shareholders of record as of May 11, 2023. The third quarter dividend, which totaled</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$17.8 million, was paid on September 1, 2023 to shareholders of record as of August 11, 2023. In October 2023, the Board amended the Company’s dividend policy to increase the quarterly dividend to $0.20 per share of common stock and also declared a quarterly cash dividend of $0.20 per share of common stock. The fourth quarter dividend, which totaled $23.7 million, was paid on December 1, 2023 to shareholders of record as of November 10, 2023.</w:t>
      </w:r>
    </w:p>
    <w:p>
      <w:pPr>
        <w:spacing w:after="0" w:line="8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Board declared a quarterly cash dividend of $0.05 per share of common stock in each of the first two quarters of 2022 and the Board declared a quarterly cash dividend of $0.10 per share of common stock for the last two quarters of 2022. Total cash dividends declared and paid totaled $77.2 million and $35.2 million, respectively, during the years ended December 31, 2023 and 2022.</w:t>
      </w:r>
    </w:p>
    <w:p>
      <w:pPr>
        <w:spacing w:after="0" w:line="6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 February 13, 2024, the Board declared a quarterly cash dividend of $0.20 per share of common stock payable on March 13, 2024 to shareholders of record as of February 23,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Treasury Stock</w:t>
      </w:r>
    </w:p>
    <w:p>
      <w:pPr>
        <w:spacing w:after="0" w:line="119"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On October 19, 2023, October 20, 2022 and October 21, 2021, Matador’s Board canceled all of the shares of treasury stock outstanding as of September 30, 2023, 2022 and 2021, respectively. These shares were restored to the status of authorized but unissued shares of common stock of the Company.</w:t>
      </w:r>
    </w:p>
    <w:p>
      <w:pPr>
        <w:spacing w:after="0" w:line="68"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shares of treasury stock outstanding at December 31, 2023, 2022 and 2021 represent forfeitures of non-vested restricted stock awards and forfeitures of fully vested restricted stock awards due to net share settlements with employees.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Formation authorizes 2,000,000 shares of preferred stock. Before any such shares are issued, the Board shall fix and determine the designations, preferences, limitations and relative rights, including voting rights of the shares of each such series.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Distributions and Contributions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San Mateo distributed $81.4 million, $89.5 million and $64.5 million, respectively, to the Company and $78.3 million, $86.0 million and $62.0 million, respectively, to Five Point Energy, LLC (“Five Point”), the Company’s joint venture partner in San Mateo. During the year ended December 31, 2023, the Company contributed $25.5 million and Five Point contributed $24.5 million of cash to San Mateo. During the years ended December 31, 2022 and 2021, neither the Company nor Five Point contributed cash to San Mateo.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As part of the joint venture agreements with Five Point, the Company had the potential to earn two different sets of performance incentives. These performance incentives are recorded as additional contributions related to the formation of San Mateo as they are received. Beginning in 2017, the Company had the potential to earn up to $73.5 million in performance incentives related to the Company’s performance in its Rustler Breaks asset area in Eddy County and the Wolf portion of its West Texas asset area in Loving County over a five-year period, which in October 2020 was extended by an additional year to January 31, 2023. Through January 31, 2023, the Company had earned all of the potential $73.5 million in performance incentives. Five Point paid $14.7 million in performance incentives in each of the first quarters of 2018, 2019, 2020, 2021 and 2023. Beginning in 2019, the Company had the potential to earn up to $150.0 million in additional deferred performance incentives in its Stebbins area and surrounding leaseholds in the southern portion of its Arrowhead asset area (the “Greater Stebbins Area”) and Stateline asset area through mid-2024, of which the Company had earned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$85.7 million through February 20, 2024, plus additional performance incentives for securing volumes from third-party customers. During the years ended December 31, 2023 and 2022, Five Point paid $23.5 million and $28.3 million, respectively, in these additional performance incentives. Both of these performance incentives are recorded when received, net of the $8.0 million and $5.9 million deferred tax impact to Matador for the years ended December 31, 2023 and 2022, respectively, in “Additional paid-in-capital” in the Company’s consolidated balance sheets.</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60" w:right="2540"/>
        <w:spacing w:after="0" w:line="357"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w:t>
      </w:r>
    </w:p>
    <w:p>
      <w:pPr>
        <w:spacing w:after="0" w:line="12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From time to time, the Company uses derivative financial instruments to mitigate its exposure to commodity price risk associated with oil, natural gas and NGL prices. The Company records derivative financial instruments on its consolidated 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income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spacing w:after="0" w:line="8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had natural gas basis differential swap contracts open and in place to mitigate its exposure to natural gas price volatility, with a specific term (calculation period), notional quantity (volume hedged) and fixed price. The Company had no open contracts associated with oil or NGL prices at December 31, 2023.</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Company’s open basis differential swap contracts at December 31, 2023.</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60" w:type="dxa"/>
            <w:vAlign w:val="bottom"/>
          </w:tcPr>
          <w:p>
            <w:pPr>
              <w:spacing w:after="0"/>
              <w:rPr>
                <w:sz w:val="17"/>
                <w:szCs w:val="17"/>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Fair Value of Asset</w:t>
            </w:r>
          </w:p>
        </w:tc>
        <w:tc>
          <w:tcPr>
            <w:tcW w:w="0" w:type="dxa"/>
            <w:vAlign w:val="bottom"/>
          </w:tcPr>
          <w:p>
            <w:pPr>
              <w:spacing w:after="0"/>
              <w:rPr>
                <w:sz w:val="1"/>
                <w:szCs w:val="1"/>
                <w:color w:val="auto"/>
              </w:rPr>
            </w:pPr>
          </w:p>
        </w:tc>
      </w:tr>
      <w:tr>
        <w:trPr>
          <w:trHeight w:val="243"/>
        </w:trPr>
        <w:tc>
          <w:tcPr>
            <w:tcW w:w="2820" w:type="dxa"/>
            <w:vAlign w:val="bottom"/>
            <w:gridSpan w:val="2"/>
            <w:vMerge w:val="continue"/>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280" w:type="dxa"/>
            <w:vAlign w:val="bottom"/>
          </w:tcPr>
          <w:p>
            <w:pPr>
              <w:spacing w:after="0"/>
              <w:rPr>
                <w:sz w:val="21"/>
                <w:szCs w:val="21"/>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(Liability) (thousands)</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Basis Differential</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01/01/2024 - 12/31/2025</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23"/>
        </w:trPr>
        <w:tc>
          <w:tcPr>
            <w:tcW w:w="53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Total open basis differential swap contracts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780" w:right="212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 — Continued</w:t>
      </w:r>
    </w:p>
    <w:p>
      <w:pPr>
        <w:spacing w:after="0" w:line="200" w:lineRule="exact"/>
        <w:rPr>
          <w:sz w:val="20"/>
          <w:szCs w:val="20"/>
          <w:color w:val="auto"/>
        </w:rPr>
      </w:pPr>
    </w:p>
    <w:p>
      <w:pPr>
        <w:spacing w:after="0" w:line="245"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asset and liability fair values of the Company’s commodity price derivative financial instruments and the location of these balances in the consolidated balance sheets as of December 31, 2023 and December 31, 2022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175"/>
        </w:trPr>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176"/>
        </w:trPr>
        <w:tc>
          <w:tcPr>
            <w:tcW w:w="1760" w:type="dxa"/>
            <w:vAlign w:val="bottom"/>
            <w:gridSpan w:val="2"/>
            <w:vMerge w:val="continue"/>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 balance</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 balance</w:t>
            </w: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2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sheets</w:t>
            </w:r>
          </w:p>
        </w:tc>
        <w:tc>
          <w:tcPr>
            <w:tcW w:w="10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-7620</wp:posOffset>
            </wp:positionV>
            <wp:extent cx="7115175"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340" w:space="720"/>
            <w:col w:w="51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6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48"/>
        </w:trPr>
        <w:tc>
          <w:tcPr>
            <w:tcW w:w="6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aggregate gain (loss) of all derivative financial instruments recorded in the consolidated statements of income for the periods presented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3340" w:type="dxa"/>
            <w:vAlign w:val="bottom"/>
            <w:gridSpan w:val="2"/>
          </w:tcPr>
          <w:p>
            <w:pPr>
              <w:spacing w:after="0"/>
              <w:rPr>
                <w:sz w:val="2"/>
                <w:szCs w:val="2"/>
                <w:color w:val="auto"/>
              </w:rPr>
            </w:pPr>
          </w:p>
        </w:tc>
        <w:tc>
          <w:tcPr>
            <w:tcW w:w="4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Location in Statements of Income</w:t>
            </w:r>
          </w:p>
        </w:tc>
        <w:tc>
          <w:tcPr>
            <w:tcW w:w="280" w:type="dxa"/>
            <w:vAlign w:val="bottom"/>
          </w:tcPr>
          <w:p>
            <w:pPr>
              <w:spacing w:after="0"/>
              <w:rPr>
                <w:sz w:val="21"/>
                <w:szCs w:val="21"/>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r>
      <w:tr>
        <w:trPr>
          <w:trHeight w:val="229"/>
        </w:trPr>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Oil</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Realized loss on derivatives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(194,058)</w:t>
            </w:r>
          </w:p>
        </w:tc>
      </w:tr>
      <w:tr>
        <w:trPr>
          <w:trHeight w:val="230"/>
        </w:trPr>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Natural Gas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Realized loss on derivatives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(26,047)</w:t>
            </w:r>
          </w:p>
        </w:tc>
      </w:tr>
      <w:tr>
        <w:trPr>
          <w:trHeight w:val="223"/>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(220,105)</w:t>
            </w:r>
          </w:p>
        </w:tc>
      </w:tr>
      <w:tr>
        <w:trPr>
          <w:trHeight w:val="229"/>
        </w:trPr>
        <w:tc>
          <w:tcPr>
            <w:tcW w:w="3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Unrealized gain on derivatives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26,857</w:t>
            </w:r>
          </w:p>
        </w:tc>
      </w:tr>
      <w:tr>
        <w:trPr>
          <w:trHeight w:val="230"/>
        </w:trPr>
        <w:tc>
          <w:tcPr>
            <w:tcW w:w="33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Natural Gas</w:t>
            </w:r>
          </w:p>
        </w:tc>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Revenues: Unrealized (loss) gain on derivatives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w:t>
            </w:r>
          </w:p>
        </w:tc>
      </w:tr>
      <w:tr>
        <w:trPr>
          <w:trHeight w:val="223"/>
        </w:trPr>
        <w:tc>
          <w:tcPr>
            <w:tcW w:w="3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r>
      <w:tr>
        <w:trPr>
          <w:trHeight w:val="223"/>
        </w:trPr>
        <w:tc>
          <w:tcPr>
            <w:tcW w:w="3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(199,094)</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200" w:lineRule="exact"/>
        <w:rPr>
          <w:sz w:val="20"/>
          <w:szCs w:val="20"/>
          <w:color w:val="auto"/>
        </w:rPr>
      </w:pPr>
    </w:p>
    <w:p>
      <w:pPr>
        <w:spacing w:after="0" w:line="23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not corroborated by market data that reflect a company’s own market assumptions.</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December 31, 2023 and 2022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8"/>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2023 using</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30"/>
        </w:trPr>
        <w:tc>
          <w:tcPr>
            <w:tcW w:w="7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Natural gas derivatives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48"/>
        </w:trPr>
        <w:tc>
          <w:tcPr>
            <w:tcW w:w="702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8"/>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2022 using</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30"/>
        </w:trPr>
        <w:tc>
          <w:tcPr>
            <w:tcW w:w="7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Natural gas derivatives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48"/>
        </w:trPr>
        <w:tc>
          <w:tcPr>
            <w:tcW w:w="702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disclosures related to derivative financial instruments are provided in Note 12.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11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carrying values reported on the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68"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68"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fair value of the 2026 Notes was $694.1 million and $675.7 million, respectively, based on quoted market prices, which represent Level 1 inputs in the fair value hierarchy.</w:t>
      </w:r>
    </w:p>
    <w:p>
      <w:pPr>
        <w:spacing w:after="0" w:line="54"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2023, the fair value of the 2028 Notes was $510.9 million based on quoted market prices, which represent Level 1 inputs in the fair value hierarchy.</w:t>
      </w:r>
    </w:p>
    <w:p>
      <w:pPr>
        <w:spacing w:after="0" w:line="54"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340" w:right="2560"/>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 Continued</w:t>
      </w:r>
    </w:p>
    <w:p>
      <w:pPr>
        <w:spacing w:after="0" w:line="200" w:lineRule="exact"/>
        <w:rPr>
          <w:sz w:val="20"/>
          <w:szCs w:val="20"/>
          <w:color w:val="auto"/>
        </w:rPr>
      </w:pPr>
    </w:p>
    <w:p>
      <w:pPr>
        <w:spacing w:after="0" w:line="24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inventory and other property and equipment that are reduced to fair value when they are impaired or held for sale. The Company recorded no impairment to its lease and well equipment inventory or other property and equipment in 2023 and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agreements with third parties whereby the Company commits to deliver anticipated natural gas and oil production and produced water from certain portions of its acreage for gathering, transportation, processing, fractionation, sales and disposal. The Company paid approximately $51.5 million and $48.3 million for deliveries under these agreements during the years ended December 31, 2023 and 2022,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December 31, 2023, the total deficiencies required to be paid by the Company under these agreements would be approximately $546.0 million.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Commitments</w:t>
      </w:r>
    </w:p>
    <w:p>
      <w:pPr>
        <w:spacing w:after="0" w:line="119" w:lineRule="exact"/>
        <w:rPr>
          <w:sz w:val="20"/>
          <w:szCs w:val="20"/>
          <w:color w:val="auto"/>
        </w:rPr>
      </w:pPr>
    </w:p>
    <w:p>
      <w:pPr>
        <w:ind w:right="80" w:firstLine="405"/>
        <w:spacing w:after="0" w:line="268" w:lineRule="auto"/>
        <w:rPr>
          <w:sz w:val="20"/>
          <w:szCs w:val="20"/>
          <w:color w:val="auto"/>
        </w:rPr>
      </w:pPr>
      <w:r>
        <w:rPr>
          <w:rFonts w:ascii="Times New Roman" w:cs="Times New Roman" w:eastAsia="Times New Roman" w:hAnsi="Times New Roman"/>
          <w:sz w:val="17"/>
          <w:szCs w:val="17"/>
          <w:color w:val="auto"/>
        </w:rPr>
        <w:t>The Company dedicated to San Mateo its current and certain future leasehold interests in the Rustler Breaks asset area and the Wolf portion of the West Texas asset area and acreage in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minimum contractual obligation under the Operational Agreements at December 31, 2023 was approximately $218.2 million.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w:t>
      </w:r>
    </w:p>
    <w:p>
      <w:pPr>
        <w:spacing w:after="0" w:line="119"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$22.2 million at December 31, 2023.</w:t>
      </w:r>
    </w:p>
    <w:p>
      <w:pPr>
        <w:spacing w:after="0" w:line="7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had outstanding commitments to participate in the drilling and completion of various non-operated wells. If all of these wells are drilled and completed as proposed, the Company’s undiscounted minimum outstanding aggregate commitments for its participation in these non-operated wells were approximately $27.9 million at December 31, 2023. The Company expects these costs to be incurred within the next year.</w:t>
      </w:r>
    </w:p>
    <w:p>
      <w:pPr>
        <w:spacing w:after="0" w:line="6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At December 31, 2023, the Company had outstanding midstream commitments of $162.7 million for the construction and installation of Pronto’s additional natural gas processing plant with a designed inlet processing capacity of 200 MMcf per day, including a nitrogen rejection unit and additional related facilities, in addition to commitments to purchase 11 compressors to be utilized in San Mateo and Pronto operations. The Company expects the majority of these costs to be incurred within the next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to the Company cannot be predicted with certainty, in the opinion of management, it is remote that these legal proceedings will have a material adverse impact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SUPPLEMENTAL DISCLOSURES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Accrued Liabilities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current accrued liabilities at December 31, 2023 and 2022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9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112,766</w:t>
            </w: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midstream properties costs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46,975</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debt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w:t>
            </w: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42,199</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payable related to purchased natural gas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3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25,372</w:t>
            </w:r>
          </w:p>
        </w:tc>
      </w:tr>
      <w:tr>
        <w:trPr>
          <w:trHeight w:val="248"/>
        </w:trPr>
        <w:tc>
          <w:tcPr>
            <w:tcW w:w="9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261,310</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years ended December 31, 2023, 2022 and 2021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Cash paid for income taxes, net of refunds received</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74,843</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mineral properties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midstream properties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liabilities for drilling, completion and equipping capital expenditures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liabilities for acquisition of oil and natural gas properties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liabilities for midstream capital expenditures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 as liability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24,494</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of inventory from (to) oil and natural gas properties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500" w:right="20" w:hanging="330"/>
        <w:spacing w:after="0" w:line="302" w:lineRule="auto"/>
        <w:tabs>
          <w:tab w:leader="none" w:pos="492"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tax payments of $13.5 million and $63.5 million for the years ended December 31, 2023 and 2022, respectively, and U.S. federal tax refunds of $8.9 million for the year ended December 31, 2023.</w:t>
      </w:r>
    </w:p>
    <w:p>
      <w:pPr>
        <w:spacing w:after="0" w:line="200" w:lineRule="exact"/>
        <w:rPr>
          <w:sz w:val="20"/>
          <w:szCs w:val="20"/>
          <w:color w:val="auto"/>
        </w:rPr>
      </w:pPr>
    </w:p>
    <w:p>
      <w:pPr>
        <w:spacing w:after="0" w:line="209"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consolidated balance sheets to cash and restricted cash as presented on the consolidated statements of cash flows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48,135</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38,785</w:t>
            </w: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West Texas and Stateline asset areas and the Greater Stebbins Area in the Delaware Basin are conducted through San Mateo. In addition, at December 31, 2023, the Company operated the Marlan Processing Plant, compressor stations and natural gas gathering pipelines in Lea and Eddy Counties, New Mexico through Pronto, which is a wholly-owned subsidiary of the Company. Neither San Mateo nor Pronto is a guarantor of the 2026 Notes or the 2028 Notes.</w:t>
      </w:r>
    </w:p>
    <w:p>
      <w:pPr>
        <w:spacing w:after="0" w:line="86" w:lineRule="exact"/>
        <w:rPr>
          <w:sz w:val="20"/>
          <w:szCs w:val="20"/>
          <w:color w:val="auto"/>
        </w:rPr>
      </w:pP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6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2,538,813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2,545,599</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(224,780)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122,153</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(224,780)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1,597,463</w:t>
            </w: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1,133,541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175,143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(99,362)</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1,209,322</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7,726,996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2,970,230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254,393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3,228,259</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right="180" w:hanging="330"/>
        <w:spacing w:after="0" w:line="302" w:lineRule="auto"/>
        <w:tabs>
          <w:tab w:leader="none" w:pos="49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$675.0 million and $40.4 million for the exploration and production and midstream segments, respectively. Also includes corporate depletion, depreciation and amortization expenses of $1.3 million.</w:t>
      </w:r>
    </w:p>
    <w:p>
      <w:pPr>
        <w:spacing w:after="0" w:line="53"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$64.3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500" w:right="260" w:hanging="330"/>
        <w:spacing w:after="0" w:line="282" w:lineRule="auto"/>
        <w:tabs>
          <w:tab w:leader="none" w:pos="49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$1.81 billion attributable to land and seismic acquisition expenditures related to the exploration and production segment, $63.6 million in midstream acquisition expenditures and $42.2 million in capital expenditures attributable to non-controlling interest in subsidiaries related to the midstream segment.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 — Continued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2,897,336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2,905,738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(207,578)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90,606</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(207,578)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1,298,755</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1,698,330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162,613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(101,673)</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1,759,270</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5,554,505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903,518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158,544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1,063,275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500" w:right="180" w:hanging="330"/>
        <w:spacing w:after="0" w:line="282" w:lineRule="auto"/>
        <w:tabs>
          <w:tab w:leader="none" w:pos="49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$429.7 million and $34.7 million for the exploration and production and midstream segments, respectively. Also includes corporate depletion, depreciation and amortization expenses of $2.0 million.</w:t>
      </w:r>
    </w:p>
    <w:p>
      <w:pPr>
        <w:spacing w:after="0" w:line="67"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$72.1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500" w:right="140" w:hanging="330"/>
        <w:spacing w:after="0" w:line="302" w:lineRule="auto"/>
        <w:tabs>
          <w:tab w:leader="none" w:pos="49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$131.0 million attributable to land and seismic acquisition expenditures related to the exploration and production segment, $75.8 million in midstream acquisition expenditures and $39.6 million in capital expenditures attributable to non-controlling interest in subsidiaries related to the midstream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6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1,700,542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(153,318)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(153,318)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869,905</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748,456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130,519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(85,899)</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793,076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3,324,681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4,262,153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778,191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59,361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837,928</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500" w:right="180" w:hanging="330"/>
        <w:spacing w:after="0" w:line="302" w:lineRule="auto"/>
        <w:tabs>
          <w:tab w:leader="none" w:pos="49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$310.9 million and $31.5 million for the exploration and production and midstream segments, respectively. Also includes corporate depletion, depreciation and amortization expenses of $2.6 million.</w:t>
      </w:r>
    </w:p>
    <w:p>
      <w:pPr>
        <w:spacing w:after="0" w:line="40"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$55.7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500" w:right="140" w:hanging="330"/>
        <w:spacing w:after="0" w:line="302" w:lineRule="auto"/>
        <w:tabs>
          <w:tab w:leader="none" w:pos="49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$263.5 million attributable to land and seismic acquisition expenditures related to the exploration and production segment and $28.5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left="460" w:right="2440"/>
        <w:spacing w:after="0" w:line="351" w:lineRule="auto"/>
        <w:rPr>
          <w:sz w:val="20"/>
          <w:szCs w:val="20"/>
          <w:color w:val="auto"/>
        </w:rPr>
      </w:pPr>
      <w:r>
        <w:rPr>
          <w:rFonts w:ascii="Times New Roman" w:cs="Times New Roman" w:eastAsia="Times New Roman" w:hAnsi="Times New Roman"/>
          <w:sz w:val="18"/>
          <w:szCs w:val="18"/>
          <w:b w:val="1"/>
          <w:bCs w:val="1"/>
          <w:color w:val="auto"/>
        </w:rPr>
        <w:t>Matador Resources Company and Subsidiaries NOTES TO CONSOLIDATED FINANCIAL STATEMENTS — CONTINUED December 31, 2023,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00" w:lineRule="exact"/>
        <w:rPr>
          <w:sz w:val="20"/>
          <w:szCs w:val="20"/>
          <w:color w:val="auto"/>
        </w:rPr>
      </w:pPr>
    </w:p>
    <w:p>
      <w:pPr>
        <w:spacing w:after="0" w:line="259"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8"/>
          <w:szCs w:val="18"/>
          <w:color w:val="auto"/>
        </w:rPr>
        <w:t>Between January 1, 2024 and February 20, 2024, a wholly-owned subsidiary of the Company acquired oil and natural gas producing properties and undeveloped acreage located in Lea and Eddy Counties, New Mexico. The consideration for the acquisitions consisted of an amount in cash equal to approximately $155.1 million (which amount is subject to certain customary post-closing adjustments) and the assumption of certain well costs. The Company is evaluating the accounting treatment of these transactions.</w:t>
      </w:r>
    </w:p>
    <w:p>
      <w:pPr>
        <w:sectPr>
          <w:pgSz w:w="11900" w:h="16838" w:orient="portrait"/>
          <w:cols w:equalWidth="0" w:num="1">
            <w:col w:w="11100"/>
          </w:cols>
          <w:pgMar w:left="320" w:top="1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SUPPLEMENTARY INFORMATION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Costs Incurred</w:t>
      </w:r>
    </w:p>
    <w:p>
      <w:pPr>
        <w:spacing w:after="0" w:line="11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costs incurred and capitalized by the Company in the acquisition, exploration and development of oil and natural gas properties for the years ended December 31, 2023, 2022 and 2021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145,759</w:t>
            </w: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Unproved and unevaluated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104,582</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Exploration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51,534</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476,316</w:t>
            </w:r>
          </w:p>
        </w:tc>
      </w:tr>
      <w:tr>
        <w:trPr>
          <w:trHeight w:val="223"/>
        </w:trPr>
        <w:tc>
          <w:tcPr>
            <w:tcW w:w="744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costs incurred</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3,003,887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778,191</w:t>
            </w: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460" w:right="120" w:hanging="331"/>
        <w:spacing w:after="0" w:line="302" w:lineRule="auto"/>
        <w:tabs>
          <w:tab w:leader="none" w:pos="45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midstream-related development and corporate costs of approximately $258.0 million, $159.8 million and $59.7 million for the years ended December 31, 2023, 2022 and 2021, respectively.</w:t>
      </w:r>
    </w:p>
    <w:p>
      <w:pPr>
        <w:spacing w:after="0" w:line="5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Property acquisition costs are costs incurred to purchase, lease or otherwise acquire oil and natural gas properties, including both unproved and unevaluated leasehold and purchases of reserves in place. For the year ended December 31, 2023, a majority of the Company’s property acquisition costs resulted from the Advance Acquisition.</w:t>
      </w:r>
    </w:p>
    <w:p>
      <w:pPr>
        <w:spacing w:after="0" w:line="6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Exploration costs are costs incurred in identifying areas of these oil and natural gas properties that may warrant examination and in examining specific areas that are considered to have prospects of containing oil and natural gas reserves, including costs of drilling exploratory wells, geological and geophysical costs and costs of carrying and retaining unproved and unevaluated properties. Exploration costs may be incurred before or after acquiring the related oil and natural gas properties. The Company capitalized $7.5 million of geological and geophysical costs, which are included as exploration costs in the table above, for the year ended December 31, 2021. The Company did not capitalize any geological and geophysical costs in 2023 or 2022.</w:t>
      </w:r>
    </w:p>
    <w:p>
      <w:pPr>
        <w:spacing w:after="0" w:line="75"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Development costs are costs incurred to obtain access to proved reserves and to provide facilities for extracting, treating, gathering and storing oil and natural gas. Development costs include the costs of preparing well locations for drilling, drilling and equipping development wells and acquiring, constructing and installing production facilities.</w:t>
      </w:r>
    </w:p>
    <w:p>
      <w:pPr>
        <w:spacing w:after="0" w:line="6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Costs incurred also include newly established asset retirement obligations, as well as changes to asset retirement obligations resulting from revisions in cost estimates or abandonment dates. Asset retirement obligations included in the table above were an increase of $33.8 million, an increase of $10.7 million and an increase of $1.4 million for the years ended December 31, 2023, 2022 and 2021, respectively. Capitalized general and administrative expenses that are directly related to acquisition, exploration and development activities are also included in the table above. The Company capitalized $54.2 million, $47.8 million and $38.4 million of these internal costs for the years ended December 31, 2023, 2022 and 2021, respectively, excluding midstream-related capitalized general and administrative expenses. Capitalized interest expense for qualifying projects is also included in the table above. The Company capitalized $20.2 million, $10.1 million and $4.8 million of its interest expense for the years ended December 31, 2023, 2022 and 2021, respectively, excluding midstream-related capitalized interest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Oil and Natural Gas Reserves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Proved reserves are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of that data can vary. The process also requires certain economic assumptions, including, but not limited to, oil and natural gas prices, drilling, completion and operating expenses, capital expenditures and taxes. Actual future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production, oil and natural gas prices, revenues, taxes, development expenditures, operating expenses and quantities of recoverable oil and natural gas most likely will vary from the Company’s estimates.</w:t>
      </w:r>
    </w:p>
    <w:p>
      <w:pPr>
        <w:spacing w:after="0" w:line="54"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and the Eagle Ford shale in South Texas, the economic value of the NGLs associated with the natural gas is included in the estimated wellhead natural gas price on those properties where</w:t>
      </w:r>
    </w:p>
    <w:p>
      <w:pPr>
        <w:spacing w:after="0" w:line="3"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the NGLs are extracted and sold. The Company’s oil and natural gas reserves estimates for the years ended December 31, 2023, 2022 and 2021 were prepared by the Company’s engineering staff in accordance with guidelines established by the SEC and then audited for their reasonableness and conformance with SEC guidelines by Netherland, Sewell &amp; Associates, Inc., independent reservoir engineers.</w:t>
      </w:r>
    </w:p>
    <w:p>
      <w:pPr>
        <w:spacing w:after="0" w:line="78"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2023, these average oil and natural gas prices were $74.70 per Bbl and $2.64 per MMBtu, respectively. For the period from January through December 2022, these average oil and natural gas prices were $90.15 per Bbl and $6.36 per MMBtu, respectively. For the period from January through December 2021, these average oil and natural gas prices were $63.04 per Bbl and $3.60 per MMBtu, respectively.</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Proved Reserves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40" w:type="dxa"/>
            <w:vAlign w:val="bottom"/>
          </w:tcPr>
          <w:p>
            <w:pPr>
              <w:spacing w:after="0"/>
              <w:rPr>
                <w:sz w:val="11"/>
                <w:szCs w:val="11"/>
                <w:color w:val="auto"/>
              </w:rPr>
            </w:pPr>
          </w:p>
        </w:tc>
        <w:tc>
          <w:tcPr>
            <w:tcW w:w="100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Oil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920" w:type="dxa"/>
            <w:vAlign w:val="bottom"/>
          </w:tcPr>
          <w:p>
            <w:pPr>
              <w:jc w:val="center"/>
              <w:ind w:right="12"/>
              <w:spacing w:after="0" w:line="131" w:lineRule="exact"/>
              <w:rPr>
                <w:sz w:val="20"/>
                <w:szCs w:val="20"/>
                <w:color w:val="auto"/>
              </w:rPr>
            </w:pPr>
            <w:r>
              <w:rPr>
                <w:rFonts w:ascii="Times New Roman" w:cs="Times New Roman" w:eastAsia="Times New Roman" w:hAnsi="Times New Roman"/>
                <w:sz w:val="14"/>
                <w:szCs w:val="14"/>
                <w:b w:val="1"/>
                <w:bCs w:val="1"/>
                <w:color w:val="auto"/>
                <w:w w:val="96"/>
              </w:rPr>
              <w:t>Oil</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100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(MBbl)</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(MMcf)</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(MBOE)</w:t>
            </w: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at December 31, 2020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159,949</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270,332</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prior estimates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121,471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acquisitions of minerals-in-place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138,484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(31,454)</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December 31, 2021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181,306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852,547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323,397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Revisions of prior estimates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acquisitions (divestitures) of minerals-in-place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78,476</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(99,308)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(38,495)</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at 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196,289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962,594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356,722</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prior estimates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(88,779)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acquisitions of minerals-in-place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109,102</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193,054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(48,112)</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December 31, 2023</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272,277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1,126,760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460,070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Proved Developed Reserves</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323,160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193,262</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632,858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292,097</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Proved Undeveloped Reserves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146,825</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306,374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80,259</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135,215</w:t>
            </w:r>
          </w:p>
        </w:tc>
        <w:tc>
          <w:tcPr>
            <w:tcW w:w="0" w:type="dxa"/>
            <w:vAlign w:val="bottom"/>
          </w:tcPr>
          <w:p>
            <w:pPr>
              <w:spacing w:after="0"/>
              <w:rPr>
                <w:sz w:val="1"/>
                <w:szCs w:val="1"/>
                <w:color w:val="auto"/>
              </w:rPr>
            </w:pPr>
          </w:p>
        </w:tc>
      </w:tr>
      <w:tr>
        <w:trPr>
          <w:trHeight w:val="234"/>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changes in the Company’s proved oil and natural gas reserves estimates for the years ended December 31, 2023, 2022 and 2021.</w:t>
      </w:r>
    </w:p>
    <w:p>
      <w:pPr>
        <w:spacing w:after="0" w:line="54"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Company’s proved oil and natural gas reserves increased 29% from 356.7 million BOE at December 31, 2022 to 460.1 million BOE at December 31, 2023. The Company’s proved oil and natural gas reserves increased by 151.5 million BOE and the Company produced 48.1 million BOE during the year ended December 31, 2023, resulting in a net increase of 103.3 million BOE. This increase in proved oil and natural gas reserves was primarily attributable to the Advance Acquisition and the Company’s delineation and development operations in the Delaware Basin during 2023. The Company increased its total proved oil and natural gas reserves by 109.1 million BOE as a result of acquisitions and trades during 2023. The Company also added 88.3 million BOE in proved reserves through extensions and discoveries during 2023, of which 27.6 million BOE resulted from new well locations drilled during 2023 to establish proved developed reserves and 60.7 million BOE resulted</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primarily from new proved undeveloped locations identified as a result of drilling activities on its existing acreage in the Delaware Basin during 2023. These increases were partially offset by the removal of 17.4 million BOE resulting from the 17% decrease in oil prices and the 58% decrease in natural gas prices used to estimate total proved reserves at December 31, 2023, as compared to December 31, 2022, and the removal of 31.5 million BOE in proved undeveloped reserves that were not developed or were no longer expected to be developed within five years of their initial booking resulting primarily from changes in development plans for certain of the Company’s properties in the Delaware Basin. As the Company continues to develop its Delaware Basin assets, the Company may reclassify some or all of this 31.5 million BOE to proved reserves at a future date.</w:t>
      </w:r>
    </w:p>
    <w:p>
      <w:pPr>
        <w:spacing w:after="0" w:line="7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Company’s proved developed oil and natural gas reserves increased 32% from 221.5 million BOE at December 31, 2022 to 292.1 million BOE at December 31, 2023. The Company’s proved developed oil and natural gas reserves increased by 118.7 million BOE and the Company produced 48.1 million BOE during the year ended December 31, 2023, resulting in a net increase of 70.6 million BOE. The Company added 27.6 million BOE in proved developed reserves through extensions and discoveries during 2023, which resulted from new well locations drilled during 2023 to establish proved reserves. In addition, during 2023 the Company converted 34.9 million BOE of its proved undeveloped reserves to proved developed reserves primarily through its development activities in the Delaware Basin. The Company also increased its proved developed reserves by 70.2 million BOE at December 31, 2023 as a result of property acquisitions, including the Advance Acquisition, and trades completed during 2023. Additionally, the Company realized approximately 14.1 million BOE in net downward revisions of prior estimates, most of which was attributable to the lower commodity prices used to estimate proved reserves at December 31, 2023, which resulted in shorter estimated economic lives for certain of its producing properties.</w:t>
      </w:r>
    </w:p>
    <w:p>
      <w:pPr>
        <w:spacing w:after="0" w:line="80"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Company’s proved undeveloped oil and natural gas reserves increased 24% from 135.2 million BOE at December 31, 2022 to 168.0 million at December 31, 2023. The Company added 60.7 million BOE in proved undeveloped reserves through extensions and discoveries during 2023, which resulted primarily from new proved undeveloped locations identified as a result of drilling activities on its existing acreage in the Delaware Basin during 2023. In addition, the Company increased its proved undeveloped reserves by 38.9 million BOE at December 31, 2023 as a result of property acquisitions, including the Advance Acquisition, and trades completed during 2023. These increases were partially offset by approximately 31.9 million BOE in net downward revisions of prior estimates of proved undeveloped reserves due primarily to proved undeveloped reserves that were not developed or were no longer expected to be developed within five years of their initial booking as a result of changes in development plans for certain of the properties in the Delaware Basin at December 31, 2023.</w:t>
      </w:r>
    </w:p>
    <w:p>
      <w:pPr>
        <w:spacing w:after="0" w:line="8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At December 31, 2023, the Company’s proved reserves were comprised of 59% oil and 41% natural gas and were approximately 63% proved developed and 37% proved undeveloped. This increase in the Company’s proved developed reserves to 63% of its total proved reserves at December 31, 2023 reflected a continued increase in the Company’s percentage of proved developed reserves, as compared to 62% and 60% proved developed reserves at December 31, 2022 and 2021, respectively.</w:t>
      </w:r>
    </w:p>
    <w:p>
      <w:pPr>
        <w:spacing w:after="0" w:line="7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Company’s proved oil and natural gas reserves increased 10% from 323.4 million BOE at December 31, 2021 to 356.7 million BOE at December 31, 2022. The Company’s proved oil and natural gas reserves increased by 71.8 million BOE and the Company produced 38.5 million BOE during the year ended December 31, 2022, resulting in a net increase of 33.3 million BOE. The Company added 78.5 million BOE in proved reserves through extensions and discoveries during 2022, of which 24.7 million BOE resulted from new well locations drilled during 2022 to establish proved developed reserves and 53.8 million BOE resulted primarily from new proved undeveloped locations identified as a result of drilling activities on its existing acreage in the Delaware Basin during 2022. The Company realized approximately 7.7 million BOE in net downward revisions of prior estimates due primarily to proved undeveloped reserves that were not developed or were no longer expected to be developed within five years of their initial booking as a result of changes in development plans for certain of the properties in the Delaware Basin at December 31, 2022.</w:t>
      </w:r>
    </w:p>
    <w:p>
      <w:pPr>
        <w:spacing w:after="0" w:line="8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Company’s proved oil and natural gas reserves increased 20% from 270.3 million BOE at December 31, 2020 to 323.4 million BOE at December 31, 2021. The Company’s proved oil and natural gas reserves increased by 84.5 million BOE and the Company produced 31.5 million BOE during the year ended December 31, 2021, resulting in a net increase of 53.1 million BOE. The Company added 49.4 million BOE in proved reserves through extensions and discoveries during 2021, of which 22.4 million BOE resulted from new well locations drilled during 2021 to establish proved developed reserves and 26.9 million BOE resulted primarily from new proved undeveloped locations identified as a result of drilling activities on its existing acreage in the Delaware Basin during 2021. The Company realized approximately 25.6 million BOE in net upward revisions of prior estimates, primarily driven by a 40.1 million BOE increase due to significantly higher commodity prices used to estimate proved reserves at December 31, 2021, which resulted in longer estimated economic lives for certain of its properties. The Company also had small upward revisions of prior estimates attributable to increased working interests and lower estimated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costs on certain of its properties. These upward revisions were partially offset by approximately 16.3 million BOE in downward revisions of prior estimates due primarily to proved undeveloped reserves that were not developed or were no longer expected to be developed within five years of their initial booking as a result of changes in development plans for certain of the properties in the Delaware Basin at December 31, 2021. In addition, the Company realized 9.5 million BOE in net increases to its proved oil and natural gas reserves at December 31, 2021 as a result of property acquisitions and divestitures completed during 2021.</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Standardized Measure of Discounted Future Net Cash Flows and Changes Therein Relating to Proved Oil and Natural Gas Reserves</w:t>
      </w:r>
    </w:p>
    <w:p>
      <w:pPr>
        <w:spacing w:after="0" w:line="11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spacing w:after="0" w:line="7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As noted previously, for the period from January through December 2023, the unweighted, arithmetic averages of first-day-of-the-month oil and natural gas prices were $74.70 per Bbl and $2.64 per MMBtu, respectively. For the period from January through December 2022, the comparable average oil and natural gas prices were $90.15 per Bbl and $6.36 per MMBtu, respectively. For the period from January through December 2021, the comparable average oil and natural gas prices were $63.04 per Bbl and $3.60 per MMBtu, respectively.</w:t>
      </w:r>
    </w:p>
    <w:p>
      <w:pPr>
        <w:spacing w:after="0" w:line="7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development and plugging and abandonment costs associated with producing these reserves; neither prices nor costs were escalated with time in these computations.</w:t>
      </w:r>
    </w:p>
    <w:p>
      <w:pPr>
        <w:spacing w:after="0" w:line="72"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Future income taxes were computed by applying the statutory tax rate to the excess of future net cash flows relating to proved oil and natural gas reserves less the tax basis of the associated properties. Tax credits and net operating loss carryforwards available to the Company were also considered in the computation of future income taxes. Future net cash flows after income taxes were discounted using a 10% annual discount rate to derive the standardized measure of discounted future net cash flows.</w:t>
      </w:r>
    </w:p>
    <w:p>
      <w:pPr>
        <w:spacing w:after="0" w:line="7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standardized measure of discounted future net cash flows relating to proved oil and natural gas reserves for the years ended December 31, 2023, 2022 and 2021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cash inflows</w:t>
            </w:r>
          </w:p>
        </w:tc>
        <w:tc>
          <w:tcPr>
            <w:tcW w:w="2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24,952,118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15,174,065</w:t>
            </w:r>
          </w:p>
        </w:tc>
        <w:tc>
          <w:tcPr>
            <w:tcW w:w="20" w:type="dxa"/>
            <w:vAlign w:val="bottom"/>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production costs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(4,588,677)</w:t>
            </w:r>
          </w:p>
        </w:tc>
        <w:tc>
          <w:tcPr>
            <w:tcW w:w="2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development costs</w:t>
            </w:r>
          </w:p>
        </w:tc>
        <w:tc>
          <w:tcPr>
            <w:tcW w:w="2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(1,251,581)</w:t>
            </w:r>
          </w:p>
        </w:tc>
        <w:tc>
          <w:tcPr>
            <w:tcW w:w="20" w:type="dxa"/>
            <w:vAlign w:val="bottom"/>
          </w:tcPr>
          <w:p>
            <w:pPr>
              <w:spacing w:after="0"/>
              <w:rPr>
                <w:sz w:val="19"/>
                <w:szCs w:val="19"/>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Future income tax expense</w:t>
            </w:r>
          </w:p>
        </w:tc>
        <w:tc>
          <w:tcPr>
            <w:tcW w:w="2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(2,939,514)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(3,935,271)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(1,836,009)</w:t>
            </w:r>
          </w:p>
        </w:tc>
        <w:tc>
          <w:tcPr>
            <w:tcW w:w="20" w:type="dxa"/>
            <w:vAlign w:val="bottom"/>
          </w:tcPr>
          <w:p>
            <w:pPr>
              <w:spacing w:after="0"/>
              <w:rPr>
                <w:sz w:val="19"/>
                <w:szCs w:val="19"/>
                <w:color w:val="auto"/>
              </w:rPr>
            </w:pPr>
          </w:p>
        </w:tc>
      </w:tr>
      <w:tr>
        <w:trPr>
          <w:trHeight w:val="22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Future net cash flows</w:t>
            </w:r>
          </w:p>
        </w:tc>
        <w:tc>
          <w:tcPr>
            <w:tcW w:w="2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12,488,066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7,497,798</w:t>
            </w:r>
          </w:p>
        </w:tc>
        <w:tc>
          <w:tcPr>
            <w:tcW w:w="20" w:type="dxa"/>
            <w:vAlign w:val="bottom"/>
          </w:tcPr>
          <w:p>
            <w:pPr>
              <w:spacing w:after="0"/>
              <w:rPr>
                <w:sz w:val="19"/>
                <w:szCs w:val="19"/>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 annual discount for estimated timing of cash flows</w:t>
            </w:r>
          </w:p>
        </w:tc>
        <w:tc>
          <w:tcPr>
            <w:tcW w:w="2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(4,729,916)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(5,504,863)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(3,122,373)</w:t>
            </w:r>
          </w:p>
        </w:tc>
        <w:tc>
          <w:tcPr>
            <w:tcW w:w="20" w:type="dxa"/>
            <w:vAlign w:val="bottom"/>
          </w:tcPr>
          <w:p>
            <w:pPr>
              <w:spacing w:after="0"/>
              <w:rPr>
                <w:sz w:val="19"/>
                <w:szCs w:val="19"/>
                <w:color w:val="auto"/>
              </w:rPr>
            </w:pPr>
          </w:p>
        </w:tc>
      </w:tr>
      <w:tr>
        <w:trPr>
          <w:trHeight w:val="248"/>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4,375,425</w:t>
            </w:r>
          </w:p>
        </w:tc>
        <w:tc>
          <w:tcPr>
            <w:tcW w:w="20" w:type="dxa"/>
            <w:vAlign w:val="bottom"/>
          </w:tcPr>
          <w:p>
            <w:pPr>
              <w:spacing w:after="0"/>
              <w:rPr>
                <w:sz w:val="21"/>
                <w:szCs w:val="2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5"/>
        </w:trPr>
        <w:tc>
          <w:tcPr>
            <w:tcW w:w="4980" w:type="dxa"/>
            <w:vAlign w:val="bottom"/>
          </w:tcPr>
          <w:p>
            <w:pPr>
              <w:spacing w:after="0"/>
              <w:rPr>
                <w:sz w:val="24"/>
                <w:szCs w:val="24"/>
                <w:color w:val="auto"/>
              </w:rPr>
            </w:pPr>
          </w:p>
        </w:tc>
        <w:tc>
          <w:tcPr>
            <w:tcW w:w="266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F-46</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SUPPLEMENTARY INFORMATION —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standardized measure of discounted future net cash flows relating to proved oil and natural gas reserves for the years ended December 31, 2023, 2022 and 2021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1,584,399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sales and transfer prices and in production (lifting) costs related to future production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3,347,910</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estimated future development costs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(238,871)</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transfers of oil and natural gas produced during the period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(1,412,591)</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purchases of reserves in place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178,695</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due to extensions and discoveries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620,235</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due to revisions in estimates of reserves quantities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786,061</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Previously estimated development costs incurred during the period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240,664</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discount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(898,613)</w:t>
            </w:r>
          </w:p>
        </w:tc>
      </w:tr>
      <w:tr>
        <w:trPr>
          <w:trHeight w:val="22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6,113,492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6,983,203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4,375,425</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20"/>
          </w:cols>
          <w:pgMar w:left="320" w:top="117" w:right="35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jc w:val="center"/>
        <w:spacing w:after="0"/>
        <w:rPr>
          <w:sz w:val="20"/>
          <w:szCs w:val="20"/>
          <w:color w:val="auto"/>
        </w:rPr>
      </w:pPr>
      <w:r>
        <w:rPr>
          <w:rFonts w:ascii="Times New Roman" w:cs="Times New Roman" w:eastAsia="Times New Roman" w:hAnsi="Times New Roman"/>
          <w:sz w:val="18"/>
          <w:szCs w:val="18"/>
          <w:b w:val="1"/>
          <w:bCs w:val="1"/>
          <w:color w:val="auto"/>
        </w:rPr>
        <w:t>TO SECURITIES PURCHASE AGREEMENT</w:t>
      </w:r>
    </w:p>
    <w:p>
      <w:pPr>
        <w:spacing w:after="0" w:line="201" w:lineRule="exact"/>
        <w:rPr>
          <w:sz w:val="20"/>
          <w:szCs w:val="20"/>
          <w:color w:val="auto"/>
        </w:rPr>
      </w:pPr>
    </w:p>
    <w:p>
      <w:pPr>
        <w:jc w:val="both"/>
        <w:ind w:firstLine="256"/>
        <w:spacing w:after="0" w:line="217" w:lineRule="auto"/>
        <w:rPr>
          <w:sz w:val="20"/>
          <w:szCs w:val="20"/>
          <w:color w:val="auto"/>
        </w:rPr>
      </w:pPr>
      <w:r>
        <w:rPr>
          <w:rFonts w:ascii="Times New Roman" w:cs="Times New Roman" w:eastAsia="Times New Roman" w:hAnsi="Times New Roman"/>
          <w:sz w:val="18"/>
          <w:szCs w:val="18"/>
          <w:color w:val="auto"/>
        </w:rPr>
        <w:t>This AMENDMENT NO. 1 TO SECURITIES PURCHASE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dated as of April 5, 2023, is by and among AEP EnCap HoldCo, LLC, a Delaware limited liability company (“</w:t>
      </w:r>
      <w:r>
        <w:rPr>
          <w:rFonts w:ascii="Times New Roman" w:cs="Times New Roman" w:eastAsia="Times New Roman" w:hAnsi="Times New Roman"/>
          <w:sz w:val="18"/>
          <w:szCs w:val="18"/>
          <w:b w:val="1"/>
          <w:bCs w:val="1"/>
          <w:i w:val="1"/>
          <w:iCs w:val="1"/>
          <w:color w:val="auto"/>
        </w:rPr>
        <w:t>AEP EnCap</w:t>
      </w:r>
      <w:r>
        <w:rPr>
          <w:rFonts w:ascii="Times New Roman" w:cs="Times New Roman" w:eastAsia="Times New Roman" w:hAnsi="Times New Roman"/>
          <w:sz w:val="18"/>
          <w:szCs w:val="18"/>
          <w:color w:val="auto"/>
        </w:rPr>
        <w:t>”), Ameradvance Management LLC, a Delaware limited liability company (“</w:t>
      </w:r>
      <w:r>
        <w:rPr>
          <w:rFonts w:ascii="Times New Roman" w:cs="Times New Roman" w:eastAsia="Times New Roman" w:hAnsi="Times New Roman"/>
          <w:sz w:val="18"/>
          <w:szCs w:val="18"/>
          <w:b w:val="1"/>
          <w:bCs w:val="1"/>
          <w:i w:val="1"/>
          <w:iCs w:val="1"/>
          <w:color w:val="auto"/>
        </w:rPr>
        <w:t>ManagementCo</w:t>
      </w:r>
      <w:r>
        <w:rPr>
          <w:rFonts w:ascii="Times New Roman" w:cs="Times New Roman" w:eastAsia="Times New Roman" w:hAnsi="Times New Roman"/>
          <w:sz w:val="18"/>
          <w:szCs w:val="18"/>
          <w:color w:val="auto"/>
        </w:rPr>
        <w:t>” and, together with AEP EnCap, each a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i w:val="1"/>
          <w:iCs w:val="1"/>
          <w:color w:val="auto"/>
        </w:rPr>
        <w:t>Sellers</w:t>
      </w:r>
      <w:r>
        <w:rPr>
          <w:rFonts w:ascii="Times New Roman" w:cs="Times New Roman" w:eastAsia="Times New Roman" w:hAnsi="Times New Roman"/>
          <w:sz w:val="18"/>
          <w:szCs w:val="18"/>
          <w:color w:val="auto"/>
        </w:rPr>
        <w:t>”), Advance Energy Partners Holdings, LLC, a Delaware</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MRC Hat Mesa, LLC, a Delaware limited liability company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Capitalized terms used in this Amendment but not otherwise defined herein shall have the respective meanings given to such terms in the Agreement (as defined below).</w:t>
      </w:r>
    </w:p>
    <w:p>
      <w:pPr>
        <w:spacing w:after="0" w:line="184" w:lineRule="exact"/>
        <w:rPr>
          <w:sz w:val="20"/>
          <w:szCs w:val="20"/>
          <w:color w:val="auto"/>
        </w:rPr>
      </w:pPr>
    </w:p>
    <w:p>
      <w:pPr>
        <w:jc w:val="both"/>
        <w:ind w:firstLine="261"/>
        <w:spacing w:after="0" w:line="250" w:lineRule="auto"/>
        <w:rPr>
          <w:sz w:val="20"/>
          <w:szCs w:val="20"/>
          <w:color w:val="auto"/>
        </w:rPr>
      </w:pPr>
      <w:r>
        <w:rPr>
          <w:rFonts w:ascii="Times New Roman" w:cs="Times New Roman" w:eastAsia="Times New Roman" w:hAnsi="Times New Roman"/>
          <w:sz w:val="18"/>
          <w:szCs w:val="18"/>
          <w:color w:val="auto"/>
        </w:rPr>
        <w:t>WHEREAS, Sellers, the Company, Purchaser and, solely for purposes of Section 14.18 thereof, MRC Energy Company, a Texas corporation, have entered into that certain Securities Purchase Agreement, dated as of January 24, 2023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20" w:firstLine="187"/>
        <w:spacing w:after="0" w:line="237" w:lineRule="auto"/>
        <w:rPr>
          <w:sz w:val="20"/>
          <w:szCs w:val="20"/>
          <w:color w:val="auto"/>
        </w:rPr>
      </w:pPr>
      <w:r>
        <w:rPr>
          <w:rFonts w:ascii="Times New Roman" w:cs="Times New Roman" w:eastAsia="Times New Roman" w:hAnsi="Times New Roman"/>
          <w:sz w:val="18"/>
          <w:szCs w:val="18"/>
          <w:color w:val="auto"/>
        </w:rPr>
        <w:t>WHEREAS, pursuant to and in accordance with Section 14.9 of the Agreement, Sellers, the Company and Purchaser desire to amend the Agreement, on the terms and subject to the conditions set forth herein, in order to extend the Target Closing Date to April 12, 2023.</w:t>
      </w:r>
    </w:p>
    <w:p>
      <w:pPr>
        <w:spacing w:after="0" w:line="199" w:lineRule="exact"/>
        <w:rPr>
          <w:sz w:val="20"/>
          <w:szCs w:val="20"/>
          <w:color w:val="auto"/>
        </w:rPr>
      </w:pPr>
    </w:p>
    <w:p>
      <w:pPr>
        <w:jc w:val="both"/>
        <w:ind w:right="20" w:firstLine="182"/>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and agreements contained herein and in the Agreement, and other good and valuable consideration, the receipt and sufficiency of which are hereby acknowledged, the parties hereto agree as follows:</w:t>
      </w:r>
    </w:p>
    <w:p>
      <w:pPr>
        <w:spacing w:after="0" w:line="185" w:lineRule="exact"/>
        <w:rPr>
          <w:sz w:val="20"/>
          <w:szCs w:val="20"/>
          <w:color w:val="auto"/>
        </w:rPr>
      </w:pPr>
    </w:p>
    <w:p>
      <w:pPr>
        <w:ind w:left="1300" w:right="20" w:hanging="644"/>
        <w:spacing w:after="0" w:line="250"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10.1 of the Agreement is hereby amended by deleting the words “April 6, 2023” and substituting them with the words “April 12, 2023.”</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16"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this Amendment, all of the terms and conditions of the Agreement are and will remain in full force and effect, and are hereby ratified and confirmed by Sellers, the Company and Purchaser. Without limiting the generality of the foregoing, the amendments contained herein will not be construed as an amendment to or waiver of any other provision of the Agreement or as a waiver of or consent to any further or future action on the part of any party hereto that would require the waiver or consent of any other party. Except as expressly provided herein or in the Agreement, this Amendment shall not release, waive or excuse, and each party hereto shall remain responsible and liable for, such party’s respective rights and obligations (or breach thereof) under the Agreement, as amended by this Amendment, arising prior to, on or after the date hereof. Each reference in the Agreement to “this Agreement,” “the Agreement,” “hereunder,” “hereof,” “herein” or words of similar import will mean and be a reference to the Agreement as amended by this Amendment.</w:t>
      </w:r>
    </w:p>
    <w:p>
      <w:pPr>
        <w:spacing w:after="0" w:line="184" w:lineRule="exact"/>
        <w:rPr>
          <w:rFonts w:ascii="Times New Roman" w:cs="Times New Roman" w:eastAsia="Times New Roman" w:hAnsi="Times New Roman"/>
          <w:sz w:val="18"/>
          <w:szCs w:val="18"/>
          <w:color w:val="auto"/>
        </w:rPr>
      </w:pPr>
    </w:p>
    <w:p>
      <w:pPr>
        <w:ind w:left="1300" w:right="20" w:hanging="644"/>
        <w:spacing w:after="0" w:line="238"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of the Agreement are hereby incorporated into and specifically made applicable to this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construing such incorporated provisions, any reference to “this Agreement” shall be deemed to refer to this Amendment):</w:t>
      </w:r>
    </w:p>
    <w:p>
      <w:pPr>
        <w:spacing w:after="0" w:line="171" w:lineRule="exact"/>
        <w:rPr>
          <w:rFonts w:ascii="Times New Roman" w:cs="Times New Roman" w:eastAsia="Times New Roman" w:hAnsi="Times New Roman"/>
          <w:sz w:val="18"/>
          <w:szCs w:val="18"/>
          <w:color w:val="auto"/>
        </w:rPr>
      </w:pPr>
    </w:p>
    <w:p>
      <w:pPr>
        <w:ind w:left="1300" w:right="7720"/>
        <w:spacing w:after="0" w:line="2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14.2 Governing Law Section 14.3 Arbitration</w:t>
      </w:r>
    </w:p>
    <w:p>
      <w:pPr>
        <w:ind w:left="1300" w:right="6900"/>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14.4 Headings and Construction Section 14.9 Amendment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14.17  Counterparts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Amendment on the date first set forth above.</w:t>
      </w:r>
    </w:p>
    <w:p>
      <w:pPr>
        <w:spacing w:after="0" w:line="26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AEP ENCAP:</w:t>
      </w:r>
    </w:p>
    <w:p>
      <w:pPr>
        <w:spacing w:after="0" w:line="2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AEP ENCAP HOLDCO, LLC</w:t>
      </w:r>
    </w:p>
    <w:p>
      <w:pPr>
        <w:spacing w:after="0" w:line="200" w:lineRule="exact"/>
        <w:rPr>
          <w:sz w:val="20"/>
          <w:szCs w:val="20"/>
          <w:color w:val="auto"/>
        </w:rPr>
      </w:pPr>
    </w:p>
    <w:p>
      <w:pPr>
        <w:spacing w:after="0" w:line="25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Kyle Kafka</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Kyle Kafka</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35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MANAGEMENTCO</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AMERADVANCE MANAGEMENT LLC</w:t>
      </w:r>
    </w:p>
    <w:p>
      <w:pPr>
        <w:spacing w:after="0" w:line="200" w:lineRule="exact"/>
        <w:rPr>
          <w:sz w:val="20"/>
          <w:szCs w:val="20"/>
          <w:color w:val="auto"/>
        </w:rPr>
      </w:pPr>
    </w:p>
    <w:p>
      <w:pPr>
        <w:spacing w:after="0" w:line="25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Parker Reese</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Parker Reese</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3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43"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8"/>
          <w:szCs w:val="18"/>
          <w:color w:val="auto"/>
        </w:rPr>
        <w:t>ADVANCE ENERGY PARTNERS HOLDINGS, LLC</w:t>
      </w:r>
    </w:p>
    <w:p>
      <w:pPr>
        <w:spacing w:after="0" w:line="200" w:lineRule="exact"/>
        <w:rPr>
          <w:sz w:val="20"/>
          <w:szCs w:val="20"/>
          <w:color w:val="auto"/>
        </w:rPr>
      </w:pPr>
    </w:p>
    <w:p>
      <w:pPr>
        <w:spacing w:after="0" w:line="25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Kyle Kafka</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Kyle Kafka</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Securities Purchase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980" w:top="1404" w:right="339" w:bottom="1440" w:gutter="0" w:footer="0" w:header="0"/>
        </w:sectPr>
      </w:pPr>
    </w:p>
    <w:bookmarkStart w:id="159" w:name="page160"/>
    <w:bookmarkEnd w:id="159"/>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MRC HAT MESA, LLC</w:t>
      </w:r>
    </w:p>
    <w:p>
      <w:pPr>
        <w:spacing w:after="0" w:line="200" w:lineRule="exact"/>
        <w:rPr>
          <w:sz w:val="20"/>
          <w:szCs w:val="20"/>
          <w:color w:val="auto"/>
        </w:rPr>
      </w:pPr>
    </w:p>
    <w:p>
      <w:pPr>
        <w:spacing w:after="0" w:line="255" w:lineRule="exact"/>
        <w:rPr>
          <w:sz w:val="20"/>
          <w:szCs w:val="20"/>
          <w:color w:val="auto"/>
        </w:rPr>
      </w:pPr>
    </w:p>
    <w:tbl>
      <w:tblPr>
        <w:tblLayout w:type="fixed"/>
        <w:tblInd w:w="41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Van H. Singleton II</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 H. Singleton II</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President–Land, A&amp;D and Planning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Securities Purchase Agreement</w:t>
      </w:r>
      <w:r>
        <w:rPr>
          <w:rFonts w:ascii="Times New Roman" w:cs="Times New Roman" w:eastAsia="Times New Roman" w:hAnsi="Times New Roman"/>
          <w:sz w:val="18"/>
          <w:szCs w:val="18"/>
          <w:color w:val="auto"/>
        </w:rPr>
        <w:t>]</w:t>
      </w:r>
    </w:p>
    <w:p>
      <w:pPr>
        <w:sectPr>
          <w:pgSz w:w="11900" w:h="16838" w:orient="portrait"/>
          <w:cols w:equalWidth="0" w:num="1">
            <w:col w:w="10120"/>
          </w:cols>
          <w:pgMar w:left="1440" w:top="144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AND RELEASE AGREEMENT AND AMENDMENT NO. 2</w:t>
      </w:r>
    </w:p>
    <w:p>
      <w:pPr>
        <w:jc w:val="center"/>
        <w:spacing w:after="0"/>
        <w:rPr>
          <w:sz w:val="20"/>
          <w:szCs w:val="20"/>
          <w:color w:val="auto"/>
        </w:rPr>
      </w:pPr>
      <w:r>
        <w:rPr>
          <w:rFonts w:ascii="Times New Roman" w:cs="Times New Roman" w:eastAsia="Times New Roman" w:hAnsi="Times New Roman"/>
          <w:sz w:val="18"/>
          <w:szCs w:val="18"/>
          <w:b w:val="1"/>
          <w:bCs w:val="1"/>
          <w:color w:val="auto"/>
        </w:rPr>
        <w:t>TO SECURITIES PURCHASE AGREEMENT</w:t>
      </w:r>
    </w:p>
    <w:p>
      <w:pPr>
        <w:spacing w:after="0" w:line="201" w:lineRule="exact"/>
        <w:rPr>
          <w:sz w:val="20"/>
          <w:szCs w:val="20"/>
          <w:color w:val="auto"/>
        </w:rPr>
      </w:pPr>
    </w:p>
    <w:p>
      <w:pPr>
        <w:jc w:val="both"/>
        <w:ind w:firstLine="258"/>
        <w:spacing w:after="0" w:line="217" w:lineRule="auto"/>
        <w:rPr>
          <w:sz w:val="20"/>
          <w:szCs w:val="20"/>
          <w:color w:val="auto"/>
        </w:rPr>
      </w:pPr>
      <w:r>
        <w:rPr>
          <w:rFonts w:ascii="Times New Roman" w:cs="Times New Roman" w:eastAsia="Times New Roman" w:hAnsi="Times New Roman"/>
          <w:sz w:val="18"/>
          <w:szCs w:val="18"/>
          <w:color w:val="auto"/>
        </w:rPr>
        <w:t>This WAIVER AND RELEASE AGREEMENT AND AMENDMENT NO. 2 TO SECURITIES PURCHASE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dated as of December 1, 2023, is by and among AEP EnCap HoldCo, LLC, a Delaware limited liability company (“</w:t>
      </w:r>
      <w:r>
        <w:rPr>
          <w:rFonts w:ascii="Times New Roman" w:cs="Times New Roman" w:eastAsia="Times New Roman" w:hAnsi="Times New Roman"/>
          <w:sz w:val="18"/>
          <w:szCs w:val="18"/>
          <w:b w:val="1"/>
          <w:bCs w:val="1"/>
          <w:i w:val="1"/>
          <w:iCs w:val="1"/>
          <w:color w:val="auto"/>
        </w:rPr>
        <w:t>AEP EnCap</w:t>
      </w:r>
      <w:r>
        <w:rPr>
          <w:rFonts w:ascii="Times New Roman" w:cs="Times New Roman" w:eastAsia="Times New Roman" w:hAnsi="Times New Roman"/>
          <w:sz w:val="18"/>
          <w:szCs w:val="18"/>
          <w:color w:val="auto"/>
        </w:rPr>
        <w:t>”), Ameradvance Management LLC, a Delaware limited liability company (“</w:t>
      </w:r>
      <w:r>
        <w:rPr>
          <w:rFonts w:ascii="Times New Roman" w:cs="Times New Roman" w:eastAsia="Times New Roman" w:hAnsi="Times New Roman"/>
          <w:sz w:val="18"/>
          <w:szCs w:val="18"/>
          <w:b w:val="1"/>
          <w:bCs w:val="1"/>
          <w:i w:val="1"/>
          <w:iCs w:val="1"/>
          <w:color w:val="auto"/>
        </w:rPr>
        <w:t>ManagementCo</w:t>
      </w:r>
      <w:r>
        <w:rPr>
          <w:rFonts w:ascii="Times New Roman" w:cs="Times New Roman" w:eastAsia="Times New Roman" w:hAnsi="Times New Roman"/>
          <w:sz w:val="18"/>
          <w:szCs w:val="18"/>
          <w:color w:val="auto"/>
        </w:rPr>
        <w:t>” and, together with AEP EnCap, each a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i w:val="1"/>
          <w:iCs w:val="1"/>
          <w:color w:val="auto"/>
        </w:rPr>
        <w:t>Sellers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MRC Hat Mesa, LLC, a Delaware limited liability company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Capitalized terms used in this Amendment but not otherwise defined herein shall have the respective meanings given to such terms in the Agreement (as defined below).</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WHEREAS, Sellers, Advance Energy Partners Holdings, LLC, a predecessor in interest to Purchaser, Purchaser and, solely for purposes of Section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14.18 thereof, MRC Energy Company, a Texas corporation, have entered into that certain Securities Purchase Agreement, dated as of January 24, 2023 (as amended by that certain Amendment No. 1 to Securities Purchase Agreement, dated as of April 5, 2023, and as may be further amended, restated, and/or otherwise supplemented, from time to time,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WHEREAS, Purchaser has asserted Defects with respect to certain of the Assets;</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WHEREAS, Purchaser has asserted certain claims for indemnification under the Agreement pursuant to that certain Indemnity Claims Notice, dated September 1, 2023 (the “</w:t>
      </w:r>
      <w:r>
        <w:rPr>
          <w:rFonts w:ascii="Times New Roman" w:cs="Times New Roman" w:eastAsia="Times New Roman" w:hAnsi="Times New Roman"/>
          <w:sz w:val="18"/>
          <w:szCs w:val="18"/>
          <w:b w:val="1"/>
          <w:bCs w:val="1"/>
          <w:i w:val="1"/>
          <w:iCs w:val="1"/>
          <w:color w:val="auto"/>
        </w:rPr>
        <w:t>Indemnity Notice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WHEREAS, the Parties desire to fully and finally settle (i) all claims related to Defects under the Agreement and (ii) all claims for indemnification asserted pursuant to the Indemnity Notice, in each case, subject to the terms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AEP EnCap and MRC Permian Company (“</w:t>
      </w:r>
      <w:r>
        <w:rPr>
          <w:rFonts w:ascii="Times New Roman" w:cs="Times New Roman" w:eastAsia="Times New Roman" w:hAnsi="Times New Roman"/>
          <w:sz w:val="18"/>
          <w:szCs w:val="18"/>
          <w:b w:val="1"/>
          <w:bCs w:val="1"/>
          <w:i w:val="1"/>
          <w:iCs w:val="1"/>
          <w:color w:val="auto"/>
        </w:rPr>
        <w:t>MRC Permian</w:t>
      </w:r>
      <w:r>
        <w:rPr>
          <w:rFonts w:ascii="Times New Roman" w:cs="Times New Roman" w:eastAsia="Times New Roman" w:hAnsi="Times New Roman"/>
          <w:sz w:val="18"/>
          <w:szCs w:val="18"/>
          <w:color w:val="auto"/>
        </w:rPr>
        <w:t>”), an Affiliate of Purchaser, are entering into a Purchase and Sale</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Agreement concurrently with the execution of this Amendment pursuant to which MRC Permian will purchase certain mineral and royalty interests, rights and related assets and will receive a benefit from the transaction contemplated therein such that the Purchaser has agreed to enter into this Amendment;</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pursuant to and in accordance with Section 14.9 of the Agreement, Sellers and Purchaser desire to amend the Agreement, on the terms and subject to the conditions set forth herein.</w:t>
      </w:r>
    </w:p>
    <w:p>
      <w:pPr>
        <w:spacing w:after="0" w:line="176" w:lineRule="exact"/>
        <w:rPr>
          <w:sz w:val="20"/>
          <w:szCs w:val="20"/>
          <w:color w:val="auto"/>
        </w:rPr>
      </w:pPr>
    </w:p>
    <w:p>
      <w:pPr>
        <w:jc w:val="both"/>
        <w:ind w:right="20" w:firstLine="182"/>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and agreements contained herein and in the Agreement, and other good and valuable consideration, the receipt and sufficiency of which are hereby acknowledged, the parties hereto agree as follows:</w:t>
      </w:r>
    </w:p>
    <w:p>
      <w:pPr>
        <w:spacing w:after="0" w:line="199"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w:t>
      </w:r>
    </w:p>
    <w:p>
      <w:pPr>
        <w:spacing w:after="0" w:line="211" w:lineRule="exact"/>
        <w:rPr>
          <w:rFonts w:ascii="Times New Roman" w:cs="Times New Roman" w:eastAsia="Times New Roman" w:hAnsi="Times New Roman"/>
          <w:sz w:val="18"/>
          <w:szCs w:val="18"/>
          <w:color w:val="auto"/>
        </w:rPr>
      </w:pPr>
    </w:p>
    <w:p>
      <w:pPr>
        <w:jc w:val="both"/>
        <w:ind w:left="1620" w:hanging="316"/>
        <w:spacing w:after="0" w:line="213" w:lineRule="auto"/>
        <w:tabs>
          <w:tab w:leader="none" w:pos="161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(for itself and its Affiliates, and all of its and their respective stockholders, partners, members, directors, officers, managers, employees, attorneys, consultants, agents and representatives (collectively, the “</w:t>
      </w:r>
      <w:r>
        <w:rPr>
          <w:rFonts w:ascii="Times New Roman" w:cs="Times New Roman" w:eastAsia="Times New Roman" w:hAnsi="Times New Roman"/>
          <w:sz w:val="18"/>
          <w:szCs w:val="18"/>
          <w:b w:val="1"/>
          <w:bCs w:val="1"/>
          <w:i w:val="1"/>
          <w:iCs w:val="1"/>
          <w:color w:val="auto"/>
        </w:rPr>
        <w:t>Purchaser Releasors</w:t>
      </w:r>
      <w:r>
        <w:rPr>
          <w:rFonts w:ascii="Times New Roman" w:cs="Times New Roman" w:eastAsia="Times New Roman" w:hAnsi="Times New Roman"/>
          <w:sz w:val="18"/>
          <w:szCs w:val="18"/>
          <w:color w:val="auto"/>
        </w:rPr>
        <w:t>”)) does hereby fully and finally release, waive and forever discharge Sellers and each of their respective Affiliates, and all of their respective stockholders, partners, members, directors, officers, managers, employees, attorneys, consultants, agents and representatives (collectively, the “</w:t>
      </w:r>
      <w:r>
        <w:rPr>
          <w:rFonts w:ascii="Times New Roman" w:cs="Times New Roman" w:eastAsia="Times New Roman" w:hAnsi="Times New Roman"/>
          <w:sz w:val="18"/>
          <w:szCs w:val="18"/>
          <w:b w:val="1"/>
          <w:bCs w:val="1"/>
          <w:i w:val="1"/>
          <w:iCs w:val="1"/>
          <w:color w:val="auto"/>
        </w:rPr>
        <w:t>Seller Releasees</w:t>
      </w:r>
      <w:r>
        <w:rPr>
          <w:rFonts w:ascii="Times New Roman" w:cs="Times New Roman" w:eastAsia="Times New Roman" w:hAnsi="Times New Roman"/>
          <w:sz w:val="18"/>
          <w:szCs w:val="18"/>
          <w:color w:val="auto"/>
        </w:rPr>
        <w:t>”) from any and all claims, causes of action, demands, liabilities, obligations, rights, damages, costs, expenses, interest, attorney fees, and compensation of any nature whatsoever, known or unknown, asserted or unasserted, absolute or contingent, liquidated or unliquidated, whether based upon tort, contract, statute, common law, or any other theory of recovery, and whether for compensatory, statutory, exemplary, or any other type of damages or for equitable relief, which a Purchaser Releasor might now or subsequently may have (collectively,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arising from, based upon, related to or associated with (i) any Defects under the Agreement, whether or not asserted by Purchaser, or (ii) the claims or factual matters expressly described in the Indemnity Notice, including the exhibits attached thereto (the “</w:t>
      </w:r>
      <w:r>
        <w:rPr>
          <w:rFonts w:ascii="Times New Roman" w:cs="Times New Roman" w:eastAsia="Times New Roman" w:hAnsi="Times New Roman"/>
          <w:sz w:val="18"/>
          <w:szCs w:val="18"/>
          <w:b w:val="1"/>
          <w:bCs w:val="1"/>
          <w:i w:val="1"/>
          <w:iCs w:val="1"/>
          <w:color w:val="auto"/>
        </w:rPr>
        <w:t>Supporting Documentation</w:t>
      </w:r>
      <w:r>
        <w:rPr>
          <w:rFonts w:ascii="Times New Roman" w:cs="Times New Roman" w:eastAsia="Times New Roman" w:hAnsi="Times New Roman"/>
          <w:sz w:val="18"/>
          <w:szCs w:val="18"/>
          <w:color w:val="auto"/>
        </w:rPr>
        <w:t>”), IN EACH CASE REGARDLESS OF CAUSE, INCLUDING THE NEGLIGENCE (WHETHER SOLE, JOINT OR CONCURRENT) OF ANY SELLER OR SELLER RELEASEE, STRICT LIABILITY, OR ANY OTHER REASON WHATSOEVER.</w:t>
      </w:r>
    </w:p>
    <w:p>
      <w:pPr>
        <w:spacing w:after="0" w:line="190" w:lineRule="exact"/>
        <w:rPr>
          <w:rFonts w:ascii="Times New Roman" w:cs="Times New Roman" w:eastAsia="Times New Roman" w:hAnsi="Times New Roman"/>
          <w:sz w:val="18"/>
          <w:szCs w:val="18"/>
          <w:color w:val="auto"/>
        </w:rPr>
      </w:pPr>
    </w:p>
    <w:p>
      <w:pPr>
        <w:jc w:val="both"/>
        <w:ind w:left="1620" w:hanging="316"/>
        <w:spacing w:after="0" w:line="224" w:lineRule="auto"/>
        <w:tabs>
          <w:tab w:leader="none" w:pos="16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they may be unaware of or may discover facts in addition to or different from those which they now know or believe to be true related to or concerning the Claims released under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The Parties know that such presently unknown or unappreciated facts could materially affect the claims or defenses of a party or parties hereto or other Persons. It is nonetheless the intent of the parties</w:t>
      </w:r>
    </w:p>
    <w:p>
      <w:pPr>
        <w:sectPr>
          <w:pgSz w:w="11900" w:h="16838" w:orient="portrait"/>
          <w:cols w:equalWidth="0" w:num="1">
            <w:col w:w="11240"/>
          </w:cols>
          <w:pgMar w:left="320" w:top="104" w:right="339" w:bottom="1440" w:gutter="0" w:footer="0" w:header="0"/>
        </w:sectPr>
      </w:pPr>
    </w:p>
    <w:bookmarkStart w:id="161" w:name="page162"/>
    <w:bookmarkEnd w:id="161"/>
    <w:p>
      <w:pPr>
        <w:ind w:left="1620"/>
        <w:spacing w:after="0" w:line="222" w:lineRule="auto"/>
        <w:rPr>
          <w:sz w:val="20"/>
          <w:szCs w:val="20"/>
          <w:color w:val="auto"/>
        </w:rPr>
      </w:pPr>
      <w:r>
        <w:rPr>
          <w:rFonts w:ascii="Times New Roman" w:cs="Times New Roman" w:eastAsia="Times New Roman" w:hAnsi="Times New Roman"/>
          <w:sz w:val="18"/>
          <w:szCs w:val="18"/>
          <w:color w:val="auto"/>
        </w:rPr>
        <w:t>hereto to give a full and complete release and discharge of the Released Claims. To that end, with respect to the Released Claims only, Purchaser expressly waives and relinquishes any and all provisions, rights and benefits conferred by any Law of the United</w:t>
      </w:r>
    </w:p>
    <w:p>
      <w:pPr>
        <w:spacing w:after="0" w:line="2" w:lineRule="exact"/>
        <w:rPr>
          <w:sz w:val="20"/>
          <w:szCs w:val="20"/>
          <w:color w:val="auto"/>
        </w:rPr>
      </w:pPr>
    </w:p>
    <w:p>
      <w:pPr>
        <w:ind w:left="1620"/>
        <w:spacing w:after="0" w:line="226" w:lineRule="auto"/>
        <w:rPr>
          <w:sz w:val="20"/>
          <w:szCs w:val="20"/>
          <w:color w:val="auto"/>
        </w:rPr>
      </w:pPr>
      <w:r>
        <w:rPr>
          <w:rFonts w:ascii="Times New Roman" w:cs="Times New Roman" w:eastAsia="Times New Roman" w:hAnsi="Times New Roman"/>
          <w:sz w:val="18"/>
          <w:szCs w:val="18"/>
          <w:color w:val="auto"/>
        </w:rPr>
        <w:t xml:space="preserve">States or of any state or territory of the United States or of any other relevant jurisdiction, or principle of common law. The Parties acknowledge and agree that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was separately bargained for and is a key element of this Amendment.</w:t>
      </w:r>
    </w:p>
    <w:p>
      <w:pPr>
        <w:spacing w:after="0" w:line="184" w:lineRule="exact"/>
        <w:rPr>
          <w:sz w:val="20"/>
          <w:szCs w:val="20"/>
          <w:color w:val="auto"/>
        </w:rPr>
      </w:pPr>
    </w:p>
    <w:p>
      <w:pPr>
        <w:jc w:val="both"/>
        <w:ind w:left="1620" w:hanging="316"/>
        <w:spacing w:after="0" w:line="223" w:lineRule="auto"/>
        <w:tabs>
          <w:tab w:leader="none" w:pos="161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hereby covenants, on behalf of itself and the Purchaser Releasors, not to bring any Released Claim before any court, arbitrator, or other tribunal in any jurisdiction, whether as a claim, a cross-claim or counterclaim or otherwise seek to recover any purported damages or losses or other amounts arising or resulting from or relating to any Released Claims. Any Seller Releasee subject to a Released Claim (a “</w:t>
      </w:r>
      <w:r>
        <w:rPr>
          <w:rFonts w:ascii="Times New Roman" w:cs="Times New Roman" w:eastAsia="Times New Roman" w:hAnsi="Times New Roman"/>
          <w:sz w:val="18"/>
          <w:szCs w:val="18"/>
          <w:b w:val="1"/>
          <w:bCs w:val="1"/>
          <w:i w:val="1"/>
          <w:iCs w:val="1"/>
          <w:color w:val="auto"/>
        </w:rPr>
        <w:t>Released Person</w:t>
      </w:r>
      <w:r>
        <w:rPr>
          <w:rFonts w:ascii="Times New Roman" w:cs="Times New Roman" w:eastAsia="Times New Roman" w:hAnsi="Times New Roman"/>
          <w:sz w:val="18"/>
          <w:szCs w:val="18"/>
          <w:color w:val="auto"/>
        </w:rPr>
        <w:t>”) may plead this Amendment as a complete bar to any Released Claim brought in derogation of this covenant not to sue.</w:t>
      </w:r>
    </w:p>
    <w:p>
      <w:pPr>
        <w:spacing w:after="0" w:line="185" w:lineRule="exact"/>
        <w:rPr>
          <w:rFonts w:ascii="Times New Roman" w:cs="Times New Roman" w:eastAsia="Times New Roman" w:hAnsi="Times New Roman"/>
          <w:sz w:val="18"/>
          <w:szCs w:val="18"/>
          <w:color w:val="auto"/>
        </w:rPr>
      </w:pPr>
    </w:p>
    <w:p>
      <w:pPr>
        <w:jc w:val="both"/>
        <w:ind w:left="1620" w:hanging="316"/>
        <w:spacing w:after="0" w:line="215" w:lineRule="auto"/>
        <w:tabs>
          <w:tab w:leader="none" w:pos="1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this Amendment, each Seller (for itself and each of the other Seller Releasees) agrees and acknowledges, for the avoidance of doubt, that nothing in this Amendment shall restrict or limit in any way Purchaser or any other member of the Purchaser Group from asserting and prosecuting any claim for indemnification under the Agreement, and otherwise seeking any and all remedies available to any member of the Purchaser Group under the Agreement for such indemnification, with respect to any claim or factual matter that is not a Defect or expressly described in the Indemnity Notice or Supporting Documentation, including any additional claim or Action under the SUA or Letter Agreement (as such terms are defined in the Indemnity Notice) with respect to any claim or factual matter that is not expressly described in the Indemnity Notice or Supporting Documentation.</w:t>
      </w:r>
    </w:p>
    <w:p>
      <w:pPr>
        <w:spacing w:after="0" w:line="204" w:lineRule="exact"/>
        <w:rPr>
          <w:rFonts w:ascii="Times New Roman" w:cs="Times New Roman" w:eastAsia="Times New Roman" w:hAnsi="Times New Roman"/>
          <w:sz w:val="18"/>
          <w:szCs w:val="18"/>
          <w:color w:val="auto"/>
        </w:rPr>
      </w:pPr>
    </w:p>
    <w:p>
      <w:pPr>
        <w:jc w:val="both"/>
        <w:ind w:firstLine="656"/>
        <w:spacing w:after="0" w:line="226" w:lineRule="auto"/>
        <w:tabs>
          <w:tab w:leader="none" w:pos="12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Amendment, Purchaser and Sellers’ Representative shall deliver joint written instructions directing the Escrow Agent to disburse the entirety of the funds remaining in the Defect Escrow Account (as such term is defined in the Escrow Agreement) directly to Sellers’ Representative.</w:t>
      </w:r>
    </w:p>
    <w:p>
      <w:pPr>
        <w:spacing w:after="0" w:line="198"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expressly warrants and represents that such party: (a) has full power and authority to execute and deliver this Amendment, and that this Amendment constitutes the valid and legally binding obligation of such party, enforceable against such party in accordance with its terms; and (b)(i) has read and understands this Amendment, (ii) has consulted with legal counsel with respect to the terms and conditions hereof, (iii) is fully aware of the legal effect of this Amendment, (iv) has entered into this Amendment freely based on such party’s own judgment with the advice of legal counsel and such other advisers as such party deemed necessary or advisable and (v) has received direct or indirect, tangible or intangible benefits and sufficient consideration in exchange for agreeing to the waivers and releases in this Amendment and shall not take a position to the contrary.</w:t>
      </w:r>
    </w:p>
    <w:p>
      <w:pPr>
        <w:spacing w:after="0" w:line="200"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the Specified Assets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attached hereto constitute Uncured Specified Assets (the “</w:t>
      </w:r>
      <w:r>
        <w:rPr>
          <w:rFonts w:ascii="Times New Roman" w:cs="Times New Roman" w:eastAsia="Times New Roman" w:hAnsi="Times New Roman"/>
          <w:sz w:val="18"/>
          <w:szCs w:val="18"/>
          <w:b w:val="1"/>
          <w:bCs w:val="1"/>
          <w:i w:val="1"/>
          <w:iCs w:val="1"/>
          <w:color w:val="auto"/>
        </w:rPr>
        <w:t>Remaining Specified Assets</w:t>
      </w:r>
      <w:r>
        <w:rPr>
          <w:rFonts w:ascii="Times New Roman" w:cs="Times New Roman" w:eastAsia="Times New Roman" w:hAnsi="Times New Roman"/>
          <w:sz w:val="18"/>
          <w:szCs w:val="18"/>
          <w:color w:val="auto"/>
        </w:rPr>
        <w:t xml:space="preserve">”). Notwithstanding anything to the contrary in the Agreement, including Schedule 8.17 thereof, the Parties hereby acknowledge and agree that (a) </w:t>
      </w:r>
      <w:r>
        <w:rPr>
          <w:rFonts w:ascii="Times New Roman" w:cs="Times New Roman" w:eastAsia="Times New Roman" w:hAnsi="Times New Roman"/>
          <w:sz w:val="18"/>
          <w:szCs w:val="18"/>
          <w:u w:val="single" w:color="auto"/>
          <w:color w:val="auto"/>
        </w:rPr>
        <w:t>Schedule 8.17</w:t>
      </w:r>
      <w:r>
        <w:rPr>
          <w:rFonts w:ascii="Times New Roman" w:cs="Times New Roman" w:eastAsia="Times New Roman" w:hAnsi="Times New Roman"/>
          <w:sz w:val="18"/>
          <w:szCs w:val="18"/>
          <w:color w:val="auto"/>
        </w:rPr>
        <w:t xml:space="preserve"> of the Agreement is hereby amended to provide that the Specified Matters Cure Period has expired as of November 29, 2023, (b) the Remaining Specified Assets shall constitute Excluded Assets under the terms of the Agreement, (c) Sellers and their Affiliates, including AEP EnCap HoldCo, LLC, shall be free to enjoy all rights of ownership of such Remaining Specified Assets and to sell, transfer, encumber or otherwise dispose of all or any portion of the Remaining Specified Assets to any Person without restriction under the Agreement, and (d) Purchaser shall have no further rights or obligations under Schedule 8.17 of the Agreement or Section 8.2(b)(i), (ii), (vii), (ix), (x) and (xiii) of the Agreement with respect to such Remaining Specified Assets.</w:t>
      </w:r>
    </w:p>
    <w:p>
      <w:pPr>
        <w:spacing w:after="0" w:line="190"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this Amendment, all of the terms and conditions of the Agreement are and will remain in full force and effect, and are hereby ratified and confirmed by Sellers and Purchaser (for itself and as successor in interest to the Company). Without limiting the generality of the foregoing, the amendments contained herein will not be construed as an amendment to or waiver of any other provision of the Agreement or as a waiver of or consent to any further or future action on the part of any party hereto that would require the waiver or consent of any other party. Except as expressly provided herein or in the Agreement, this Amendment shall not release, waive or excuse, and each party hereto shall remain responsible and liable for, such party’s respective rights and obligations (or breach thereof) under the Agreement, as amended by this Amendment, arising prior to, on or after the date hereof. Each reference in the Agreement to “this Agreement,” “the Agreement,”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“hereof,” “herein” or words of similar import will mean and be a reference to the Agreement as amended by this Amendment.</w:t>
      </w:r>
    </w:p>
    <w:p>
      <w:pPr>
        <w:spacing w:after="0" w:line="212" w:lineRule="exact"/>
        <w:rPr>
          <w:sz w:val="20"/>
          <w:szCs w:val="20"/>
          <w:color w:val="auto"/>
        </w:rPr>
      </w:pPr>
    </w:p>
    <w:p>
      <w:pPr>
        <w:jc w:val="both"/>
        <w:ind w:firstLine="656"/>
        <w:spacing w:after="0" w:line="224"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acknowledges and agrees that each of the non-party Released Persons are express third party beneficiaries of the releases of such non-party Released Persons contained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are entitled to enforce rights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to the same extent that such non-party Released Persons could enforce such rights if they were a party to this Amendment. Except as provided in the preceding sentence, there are no third party beneficiaries to this Amendment.</w:t>
      </w:r>
    </w:p>
    <w:p>
      <w:pPr>
        <w:spacing w:after="0" w:line="199" w:lineRule="exact"/>
        <w:rPr>
          <w:rFonts w:ascii="Times New Roman" w:cs="Times New Roman" w:eastAsia="Times New Roman" w:hAnsi="Times New Roman"/>
          <w:sz w:val="18"/>
          <w:szCs w:val="18"/>
          <w:color w:val="auto"/>
        </w:rPr>
      </w:pPr>
    </w:p>
    <w:p>
      <w:pPr>
        <w:ind w:firstLine="656"/>
        <w:spacing w:after="0" w:line="237"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terms and provisions of this Amendment are binding upon and inure to the benefit of each Party and its respective principals, heirs, personal representatives, successors, and assigns.</w:t>
      </w:r>
    </w:p>
    <w:p>
      <w:pPr>
        <w:spacing w:after="0" w:line="183" w:lineRule="exact"/>
        <w:rPr>
          <w:rFonts w:ascii="Times New Roman" w:cs="Times New Roman" w:eastAsia="Times New Roman" w:hAnsi="Times New Roman"/>
          <w:sz w:val="18"/>
          <w:szCs w:val="18"/>
          <w:color w:val="auto"/>
        </w:rPr>
      </w:pPr>
    </w:p>
    <w:p>
      <w:pPr>
        <w:ind w:right="20" w:firstLine="656"/>
        <w:spacing w:after="0" w:line="253"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of the Agreement are hereby incorporated into and specifically made applicable to this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construing such incorporated provisions, any reference to “this Agreement” shall be deemed to refer to this Amendment):</w:t>
      </w:r>
    </w:p>
    <w:p>
      <w:pPr>
        <w:spacing w:after="0" w:line="135"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14.2</w:t>
        <w:tab/>
        <w:t>Governing Law</w:t>
      </w:r>
    </w:p>
    <w:p>
      <w:pPr>
        <w:ind w:left="1300"/>
        <w:spacing w:after="0" w:line="219" w:lineRule="auto"/>
        <w:tabs>
          <w:tab w:leader="none" w:pos="2360" w:val="left"/>
        </w:tabs>
        <w:rPr>
          <w:sz w:val="20"/>
          <w:szCs w:val="20"/>
          <w:color w:val="auto"/>
        </w:rPr>
      </w:pPr>
      <w:r>
        <w:rPr>
          <w:rFonts w:ascii="Times New Roman" w:cs="Times New Roman" w:eastAsia="Times New Roman" w:hAnsi="Times New Roman"/>
          <w:sz w:val="18"/>
          <w:szCs w:val="18"/>
          <w:color w:val="auto"/>
        </w:rPr>
        <w:t>Section 14.3</w:t>
        <w:tab/>
        <w:t>Arbitration</w:t>
      </w:r>
    </w:p>
    <w:p>
      <w:pPr>
        <w:ind w:left="1300"/>
        <w:spacing w:after="0" w:line="215" w:lineRule="auto"/>
        <w:tabs>
          <w:tab w:leader="none" w:pos="2360" w:val="left"/>
        </w:tabs>
        <w:rPr>
          <w:sz w:val="20"/>
          <w:szCs w:val="20"/>
          <w:color w:val="auto"/>
        </w:rPr>
      </w:pPr>
      <w:r>
        <w:rPr>
          <w:rFonts w:ascii="Times New Roman" w:cs="Times New Roman" w:eastAsia="Times New Roman" w:hAnsi="Times New Roman"/>
          <w:sz w:val="18"/>
          <w:szCs w:val="18"/>
          <w:color w:val="auto"/>
        </w:rPr>
        <w:t>Section 14.4</w:t>
      </w:r>
      <w:r>
        <w:rPr>
          <w:sz w:val="20"/>
          <w:szCs w:val="20"/>
          <w:color w:val="auto"/>
        </w:rPr>
        <w:tab/>
      </w:r>
      <w:r>
        <w:rPr>
          <w:rFonts w:ascii="Times New Roman" w:cs="Times New Roman" w:eastAsia="Times New Roman" w:hAnsi="Times New Roman"/>
          <w:sz w:val="17"/>
          <w:szCs w:val="17"/>
          <w:color w:val="auto"/>
        </w:rPr>
        <w:t>Headings and Construction</w:t>
      </w:r>
    </w:p>
    <w:p>
      <w:pPr>
        <w:ind w:left="1300"/>
        <w:spacing w:after="0" w:line="204" w:lineRule="auto"/>
        <w:tabs>
          <w:tab w:leader="none" w:pos="2360" w:val="left"/>
        </w:tabs>
        <w:rPr>
          <w:sz w:val="20"/>
          <w:szCs w:val="20"/>
          <w:color w:val="auto"/>
        </w:rPr>
      </w:pPr>
      <w:r>
        <w:rPr>
          <w:rFonts w:ascii="Times New Roman" w:cs="Times New Roman" w:eastAsia="Times New Roman" w:hAnsi="Times New Roman"/>
          <w:sz w:val="18"/>
          <w:szCs w:val="18"/>
          <w:color w:val="auto"/>
        </w:rPr>
        <w:t>Section 14.6</w:t>
        <w:tab/>
        <w:t>Severability</w:t>
      </w:r>
    </w:p>
    <w:p>
      <w:pPr>
        <w:ind w:left="1300"/>
        <w:spacing w:after="0" w:line="219" w:lineRule="auto"/>
        <w:tabs>
          <w:tab w:leader="none" w:pos="2400" w:val="left"/>
        </w:tabs>
        <w:rPr>
          <w:sz w:val="20"/>
          <w:szCs w:val="20"/>
          <w:color w:val="auto"/>
        </w:rPr>
      </w:pPr>
      <w:r>
        <w:rPr>
          <w:rFonts w:ascii="Times New Roman" w:cs="Times New Roman" w:eastAsia="Times New Roman" w:hAnsi="Times New Roman"/>
          <w:sz w:val="18"/>
          <w:szCs w:val="18"/>
          <w:color w:val="auto"/>
        </w:rPr>
        <w:t>Section 14.8</w:t>
        <w:tab/>
        <w:t>Entire Agreement</w:t>
      </w:r>
    </w:p>
    <w:p>
      <w:pPr>
        <w:ind w:left="1300"/>
        <w:spacing w:after="0" w:line="215" w:lineRule="auto"/>
        <w:tabs>
          <w:tab w:leader="none" w:pos="2360" w:val="left"/>
        </w:tabs>
        <w:rPr>
          <w:sz w:val="20"/>
          <w:szCs w:val="20"/>
          <w:color w:val="auto"/>
        </w:rPr>
      </w:pPr>
      <w:r>
        <w:rPr>
          <w:rFonts w:ascii="Times New Roman" w:cs="Times New Roman" w:eastAsia="Times New Roman" w:hAnsi="Times New Roman"/>
          <w:sz w:val="18"/>
          <w:szCs w:val="18"/>
          <w:color w:val="auto"/>
        </w:rPr>
        <w:t>Section 14.9</w:t>
      </w:r>
      <w:r>
        <w:rPr>
          <w:sz w:val="20"/>
          <w:szCs w:val="20"/>
          <w:color w:val="auto"/>
        </w:rPr>
        <w:tab/>
      </w:r>
      <w:r>
        <w:rPr>
          <w:rFonts w:ascii="Times New Roman" w:cs="Times New Roman" w:eastAsia="Times New Roman" w:hAnsi="Times New Roman"/>
          <w:sz w:val="17"/>
          <w:szCs w:val="17"/>
          <w:color w:val="auto"/>
        </w:rPr>
        <w:t>Amendment</w:t>
      </w:r>
    </w:p>
    <w:p>
      <w:pPr>
        <w:spacing w:after="0" w:line="1"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8"/>
          <w:szCs w:val="18"/>
          <w:color w:val="auto"/>
        </w:rPr>
        <w:t>Section 14.17</w:t>
      </w:r>
      <w:r>
        <w:rPr>
          <w:sz w:val="20"/>
          <w:szCs w:val="20"/>
          <w:color w:val="auto"/>
        </w:rPr>
        <w:tab/>
      </w:r>
      <w:r>
        <w:rPr>
          <w:rFonts w:ascii="Times New Roman" w:cs="Times New Roman" w:eastAsia="Times New Roman" w:hAnsi="Times New Roman"/>
          <w:sz w:val="17"/>
          <w:szCs w:val="17"/>
          <w:color w:val="auto"/>
        </w:rPr>
        <w:t>Counterparts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Amendment on the date first set forth above.</w:t>
      </w:r>
    </w:p>
    <w:p>
      <w:pPr>
        <w:spacing w:after="0" w:line="200" w:lineRule="exact"/>
        <w:rPr>
          <w:sz w:val="20"/>
          <w:szCs w:val="20"/>
          <w:color w:val="auto"/>
        </w:rPr>
      </w:pPr>
    </w:p>
    <w:p>
      <w:pPr>
        <w:spacing w:after="0" w:line="2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AEP ENCAP:</w:t>
      </w:r>
    </w:p>
    <w:p>
      <w:pPr>
        <w:spacing w:after="0" w:line="2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AEP ENCAP HOLDCO, LLC</w:t>
      </w:r>
    </w:p>
    <w:p>
      <w:pPr>
        <w:spacing w:after="0" w:line="200" w:lineRule="exact"/>
        <w:rPr>
          <w:sz w:val="20"/>
          <w:szCs w:val="20"/>
          <w:color w:val="auto"/>
        </w:rPr>
      </w:pPr>
    </w:p>
    <w:p>
      <w:pPr>
        <w:spacing w:after="0" w:line="25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Brooks Despot</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Brooks Despot</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3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MANAGEMENTCO</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AMERADVANCE MANAGEMENT LLC</w:t>
      </w:r>
    </w:p>
    <w:p>
      <w:pPr>
        <w:spacing w:after="0" w:line="200" w:lineRule="exact"/>
        <w:rPr>
          <w:sz w:val="20"/>
          <w:szCs w:val="20"/>
          <w:color w:val="auto"/>
        </w:rPr>
      </w:pPr>
    </w:p>
    <w:p>
      <w:pPr>
        <w:spacing w:after="0" w:line="25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Parker Reese</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Parker Reese</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Waiver and Release Agreement and Amendment No. 2 to Securities Purchase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980" w:top="1404" w:right="339" w:bottom="1440" w:gutter="0" w:footer="0" w:header="0"/>
        </w:sectPr>
      </w:pPr>
    </w:p>
    <w:bookmarkStart w:id="164" w:name="page165"/>
    <w:bookmarkEnd w:id="164"/>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PURCHASER (for itself and as successor in interest to the Company):</w:t>
      </w:r>
    </w:p>
    <w:p>
      <w:pPr>
        <w:spacing w:after="0" w:line="2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MRC HAT MESA, LLC</w:t>
      </w:r>
    </w:p>
    <w:p>
      <w:pPr>
        <w:spacing w:after="0" w:line="200" w:lineRule="exact"/>
        <w:rPr>
          <w:sz w:val="20"/>
          <w:szCs w:val="20"/>
          <w:color w:val="auto"/>
        </w:rPr>
      </w:pPr>
    </w:p>
    <w:p>
      <w:pPr>
        <w:spacing w:after="0" w:line="255" w:lineRule="exact"/>
        <w:rPr>
          <w:sz w:val="20"/>
          <w:szCs w:val="20"/>
          <w:color w:val="auto"/>
        </w:rPr>
      </w:pPr>
    </w:p>
    <w:tbl>
      <w:tblPr>
        <w:tblLayout w:type="fixed"/>
        <w:tblInd w:w="41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Bryan Erman</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Bryan Erman</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General Counsel and Head of M&amp;A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Waiver and Release Agreement and Amendment No. 2 to Securities Purchase Agreement</w:t>
      </w:r>
      <w:r>
        <w:rPr>
          <w:rFonts w:ascii="Times New Roman" w:cs="Times New Roman" w:eastAsia="Times New Roman" w:hAnsi="Times New Roman"/>
          <w:sz w:val="18"/>
          <w:szCs w:val="18"/>
          <w:color w:val="auto"/>
        </w:rPr>
        <w:t>]</w:t>
      </w:r>
    </w:p>
    <w:p>
      <w:pPr>
        <w:sectPr>
          <w:pgSz w:w="11900" w:h="16838" w:orient="portrait"/>
          <w:cols w:equalWidth="0" w:num="1">
            <w:col w:w="10120"/>
          </w:cols>
          <w:pgMar w:left="1440" w:top="1440" w:right="339" w:bottom="1440" w:gutter="0" w:footer="0" w:header="0"/>
        </w:sectPr>
      </w:pPr>
    </w:p>
    <w:bookmarkStart w:id="165" w:name="page166"/>
    <w:bookmarkEnd w:id="165"/>
    <w:p>
      <w:pPr>
        <w:jc w:val="center"/>
        <w:ind w:right="-431"/>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12" w:lineRule="exact"/>
        <w:rPr>
          <w:sz w:val="20"/>
          <w:szCs w:val="20"/>
          <w:color w:val="auto"/>
        </w:rPr>
      </w:pPr>
    </w:p>
    <w:p>
      <w:pPr>
        <w:ind w:left="4212"/>
        <w:spacing w:after="0"/>
        <w:rPr>
          <w:sz w:val="20"/>
          <w:szCs w:val="20"/>
          <w:color w:val="auto"/>
        </w:rPr>
      </w:pPr>
      <w:r>
        <w:rPr>
          <w:rFonts w:ascii="Times New Roman" w:cs="Times New Roman" w:eastAsia="Times New Roman" w:hAnsi="Times New Roman"/>
          <w:sz w:val="18"/>
          <w:szCs w:val="18"/>
          <w:b w:val="1"/>
          <w:bCs w:val="1"/>
          <w:color w:val="auto"/>
        </w:rPr>
        <w:t>REMAINING SPECIFIED ASSETS</w:t>
      </w:r>
    </w:p>
    <w:p>
      <w:pPr>
        <w:spacing w:after="0" w:line="225" w:lineRule="exact"/>
        <w:rPr>
          <w:sz w:val="20"/>
          <w:szCs w:val="20"/>
          <w:color w:val="auto"/>
        </w:rPr>
      </w:pPr>
    </w:p>
    <w:p>
      <w:pPr>
        <w:ind w:left="652" w:hanging="652"/>
        <w:spacing w:after="0"/>
        <w:tabs>
          <w:tab w:leader="none" w:pos="65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Wells described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Remaining Wells</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8" w:firstLine="8"/>
        <w:spacing w:after="0" w:line="237" w:lineRule="auto"/>
        <w:tabs>
          <w:tab w:leader="none" w:pos="63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Leases, Lands and other Oil and Gas Properties to the extent pooled, unitized, communitized with, or otherwise allocated to, such Remaining Wells; and</w:t>
      </w:r>
    </w:p>
    <w:p>
      <w:pPr>
        <w:spacing w:after="0" w:line="198"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Assets reasonably necessary or desirable for the ownership or operation of the assets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31"/>
        <w:spacing w:after="0"/>
        <w:rPr>
          <w:sz w:val="20"/>
          <w:szCs w:val="20"/>
          <w:color w:val="auto"/>
        </w:rPr>
      </w:pPr>
      <w:r>
        <w:rPr>
          <w:rFonts w:ascii="Times New Roman" w:cs="Times New Roman" w:eastAsia="Times New Roman" w:hAnsi="Times New Roman"/>
          <w:sz w:val="18"/>
          <w:szCs w:val="18"/>
          <w:color w:val="auto"/>
        </w:rPr>
        <w:t>Appendix A</w:t>
      </w:r>
    </w:p>
    <w:p>
      <w:pPr>
        <w:sectPr>
          <w:pgSz w:w="11900" w:h="16838" w:orient="portrait"/>
          <w:cols w:equalWidth="0" w:num="1">
            <w:col w:w="10792"/>
          </w:cols>
          <w:pgMar w:left="328" w:top="1400" w:right="77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90"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672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3660" w:type="dxa"/>
            <w:vAlign w:val="bottom"/>
          </w:tcPr>
          <w:p>
            <w:pPr>
              <w:spacing w:after="0"/>
              <w:rPr>
                <w:sz w:val="20"/>
                <w:szCs w:val="20"/>
                <w:color w:val="auto"/>
              </w:rPr>
            </w:pPr>
          </w:p>
        </w:tc>
      </w:tr>
      <w:tr>
        <w:trPr>
          <w:trHeight w:val="310"/>
        </w:trPr>
        <w:tc>
          <w:tcPr>
            <w:tcW w:w="672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List of Subsidiaries</w:t>
            </w:r>
          </w:p>
        </w:tc>
        <w:tc>
          <w:tcPr>
            <w:tcW w:w="3660" w:type="dxa"/>
            <w:vAlign w:val="bottom"/>
          </w:tcPr>
          <w:p>
            <w:pPr>
              <w:spacing w:after="0"/>
              <w:rPr>
                <w:sz w:val="24"/>
                <w:szCs w:val="24"/>
                <w:color w:val="auto"/>
              </w:rPr>
            </w:pPr>
          </w:p>
        </w:tc>
      </w:tr>
      <w:tr>
        <w:trPr>
          <w:trHeight w:val="311"/>
        </w:trPr>
        <w:tc>
          <w:tcPr>
            <w:tcW w:w="672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as of December 31, 2023</w:t>
            </w:r>
          </w:p>
        </w:tc>
        <w:tc>
          <w:tcPr>
            <w:tcW w:w="3660" w:type="dxa"/>
            <w:vAlign w:val="bottom"/>
          </w:tcPr>
          <w:p>
            <w:pPr>
              <w:spacing w:after="0"/>
              <w:rPr>
                <w:sz w:val="24"/>
                <w:szCs w:val="24"/>
                <w:color w:val="auto"/>
              </w:rPr>
            </w:pPr>
          </w:p>
        </w:tc>
      </w:tr>
      <w:tr>
        <w:trPr>
          <w:trHeight w:val="321"/>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231"/>
        </w:trPr>
        <w:tc>
          <w:tcPr>
            <w:tcW w:w="6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 Water Management Company, LLC</w:t>
            </w:r>
          </w:p>
        </w:tc>
        <w:tc>
          <w:tcPr>
            <w:tcW w:w="520" w:type="dxa"/>
            <w:vAlign w:val="bottom"/>
          </w:tcPr>
          <w:p>
            <w:pPr>
              <w:spacing w:after="0"/>
              <w:rPr>
                <w:sz w:val="20"/>
                <w:szCs w:val="20"/>
                <w:color w:val="auto"/>
              </w:rPr>
            </w:pPr>
          </w:p>
        </w:tc>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Greyhound Midstream,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Greyhound Resources,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Gathering and Disposal Systems GP, Inc.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Gathering and Disposal Systems, LP</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Delaware,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Holdings,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South Texas,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Southeast,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Matador Production Company</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Delaware Resources,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Company</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South Texas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Southeast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Hat Mesa,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Permian Company</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Permian LKE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Rockies Company</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Pronto Midstream,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Pronto Midstream Finance,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Black River Oil Pipeline,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Black River Oil Pipeline II,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Black River Water Management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DLK Black River Midstream,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Midstream,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RB Pipeline,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32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Stateline Water Management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Stebbins Water Management,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Wolf Pipeline,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Wolf Water Resources,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Southeast Water Management Company,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 Permian,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WR Permian, LLC</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Inclusion of an entity on the list of subsidiaries is not a representation that such subsidiary is a significant subsidiary.</w:t>
      </w:r>
    </w:p>
    <w:p>
      <w:pPr>
        <w:sectPr>
          <w:pgSz w:w="11900" w:h="16838" w:orient="portrait"/>
          <w:cols w:equalWidth="0" w:num="1">
            <w:col w:w="11240"/>
          </w:cols>
          <w:pgMar w:left="320" w:top="981" w:right="339" w:bottom="1440" w:gutter="0" w:footer="0" w:header="0"/>
        </w:sectPr>
      </w:pPr>
    </w:p>
    <w:bookmarkStart w:id="167" w:name="page168"/>
    <w:bookmarkEnd w:id="1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135" w:lineRule="exact"/>
        <w:rPr>
          <w:sz w:val="20"/>
          <w:szCs w:val="20"/>
          <w:color w:val="auto"/>
        </w:rPr>
      </w:pPr>
    </w:p>
    <w:p>
      <w:pPr>
        <w:ind w:right="120"/>
        <w:spacing w:after="0" w:line="329" w:lineRule="auto"/>
        <w:rPr>
          <w:sz w:val="20"/>
          <w:szCs w:val="20"/>
          <w:color w:val="auto"/>
        </w:rPr>
      </w:pPr>
      <w:r>
        <w:rPr>
          <w:rFonts w:ascii="Times New Roman" w:cs="Times New Roman" w:eastAsia="Times New Roman" w:hAnsi="Times New Roman"/>
          <w:sz w:val="18"/>
          <w:szCs w:val="18"/>
          <w:color w:val="auto"/>
        </w:rPr>
        <w:t>As of December 31, 2023, the following subsidiaries of Matador Resources Company (the “Company”) were guarantors of the Company’s 5.875% Senior Notes due 2026.</w:t>
      </w:r>
    </w:p>
    <w:p>
      <w:pPr>
        <w:spacing w:after="0" w:line="5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Pr>
          <w:p>
            <w:pPr>
              <w:spacing w:after="0"/>
              <w:rPr>
                <w:sz w:val="18"/>
                <w:szCs w:val="18"/>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32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 Water Management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Gathering and Disposal Systems GP, Inc.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Gathering and Disposal Systems, LP</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Delaware,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Holdings,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South Texas,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Southeast,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Matador Production Company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Delaware Resources,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Company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South Texas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Southeast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Hat Mesa,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Permian Company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Permian LKE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Rockies Company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Southeast Water Management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WR Permian,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31"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333-204868, 333-231989, 333-180641 and 333-266409) on Form S-8 of our reports dated February 27, 2024, with respect to the consolidated financial statements of Matador Resources Company and the effectiveness of internal control over financial reporting.</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ectPr>
          <w:pgSz w:w="11900" w:h="16838" w:orient="portrait"/>
          <w:cols w:equalWidth="0" w:num="1">
            <w:col w:w="11200"/>
          </w:cols>
          <w:pgMar w:left="320" w:top="1062" w:right="379" w:bottom="1440" w:gutter="0" w:footer="0" w:header="0"/>
        </w:sectPr>
      </w:pPr>
    </w:p>
    <w:bookmarkStart w:id="170" w:name="page171"/>
    <w:bookmarkEnd w:id="170"/>
    <w:p>
      <w:pPr>
        <w:spacing w:after="0" w:line="200" w:lineRule="exact"/>
        <w:rPr>
          <w:sz w:val="20"/>
          <w:szCs w:val="20"/>
          <w:color w:val="auto"/>
        </w:rPr>
      </w:pPr>
    </w:p>
    <w:p>
      <w:pPr>
        <w:spacing w:after="0" w:line="233"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CONSENT OF INDEPENDENT PETROLEUM ENGINEERS AND GEOLOGISTS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use of the name Netherland, Sewell &amp; Associates, Inc.; the references to our audit of Matador Resources Company’s proved oil and natural gas reserves estimates and future net revenue at December 31, 2023; and the inclusion of our corresponding audit letter, dated January 17, 2024, in this Annual Report on Form 10-K of Matador Resources Company for the fiscal year ended December 31, 2023, as well as in the notes to the financial statements included therein. In addition, we hereby consent to the incorporation by reference of our audit letter, dated January 17, 2024, in Matador Resources Company’s Forms S-8 (File No. 333-180641, File No. 333-204868, File No. 333-231989 and File No. 333-266409).</w:t>
      </w:r>
    </w:p>
    <w:p>
      <w:pPr>
        <w:spacing w:after="0" w:line="277"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80" w:lineRule="exact"/>
        <w:rPr>
          <w:sz w:val="20"/>
          <w:szCs w:val="20"/>
          <w:color w:val="auto"/>
        </w:rPr>
      </w:pPr>
    </w:p>
    <w:tbl>
      <w:tblPr>
        <w:tblLayout w:type="fixed"/>
        <w:tblInd w:w="720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Eric J. Stevens</w:t>
            </w:r>
          </w:p>
        </w:tc>
        <w:tc>
          <w:tcPr>
            <w:tcW w:w="1560" w:type="dxa"/>
            <w:vAlign w:val="bottom"/>
          </w:tcPr>
          <w:p>
            <w:pPr>
              <w:spacing w:after="0"/>
              <w:rPr>
                <w:sz w:val="17"/>
                <w:szCs w:val="17"/>
                <w:color w:val="auto"/>
              </w:rPr>
            </w:pPr>
          </w:p>
        </w:tc>
      </w:tr>
      <w:tr>
        <w:trPr>
          <w:trHeight w:val="245"/>
        </w:trPr>
        <w:tc>
          <w:tcPr>
            <w:tcW w:w="860" w:type="dxa"/>
            <w:vAlign w:val="bottom"/>
          </w:tcPr>
          <w:p>
            <w:pPr>
              <w:spacing w:after="0"/>
              <w:rPr>
                <w:sz w:val="21"/>
                <w:szCs w:val="21"/>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Eric J. Stevens, P.E.</w:t>
            </w:r>
          </w:p>
        </w:tc>
      </w:tr>
      <w:tr>
        <w:trPr>
          <w:trHeight w:val="239"/>
        </w:trPr>
        <w:tc>
          <w:tcPr>
            <w:tcW w:w="86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9"/>
              </w:rPr>
              <w:t>President and Chief Operating Officer</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2024</w:t>
      </w:r>
    </w:p>
    <w:p>
      <w:pPr>
        <w:sectPr>
          <w:pgSz w:w="11900" w:h="16838" w:orient="portrait"/>
          <w:cols w:equalWidth="0" w:num="1">
            <w:col w:w="11240"/>
          </w:cols>
          <w:pgMar w:left="320" w:top="144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200" w:firstLine="887"/>
        <w:spacing w:after="0" w:line="266" w:lineRule="auto"/>
        <w:tabs>
          <w:tab w:leader="none" w:pos="19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right="200" w:firstLine="887"/>
        <w:spacing w:after="0" w:line="266" w:lineRule="auto"/>
        <w:tabs>
          <w:tab w:leader="none" w:pos="195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140" w:firstLine="887"/>
        <w:spacing w:after="0" w:line="312" w:lineRule="auto"/>
        <w:tabs>
          <w:tab w:leader="none" w:pos="1946"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600" w:firstLine="887"/>
        <w:spacing w:after="0" w:line="266" w:lineRule="auto"/>
        <w:tabs>
          <w:tab w:leader="none" w:pos="195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80" w:firstLine="887"/>
        <w:spacing w:after="0" w:line="282" w:lineRule="auto"/>
        <w:tabs>
          <w:tab w:leader="none" w:pos="19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80" w:firstLine="887"/>
        <w:spacing w:after="0" w:line="282" w:lineRule="auto"/>
        <w:tabs>
          <w:tab w:leader="none" w:pos="195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65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6580" w:type="dxa"/>
            <w:vAlign w:val="bottom"/>
          </w:tcPr>
          <w:p>
            <w:pPr>
              <w:spacing w:after="0"/>
              <w:rPr>
                <w:sz w:val="15"/>
                <w:szCs w:val="15"/>
                <w:color w:val="auto"/>
              </w:rPr>
            </w:pPr>
          </w:p>
        </w:tc>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65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J. Willey, certify that:</w:t>
      </w:r>
    </w:p>
    <w:p>
      <w:pPr>
        <w:spacing w:after="0" w:line="171" w:lineRule="exact"/>
        <w:rPr>
          <w:sz w:val="20"/>
          <w:szCs w:val="20"/>
          <w:color w:val="auto"/>
        </w:rPr>
      </w:pPr>
    </w:p>
    <w:p>
      <w:pPr>
        <w:ind w:left="640" w:hanging="187"/>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200" w:firstLine="887"/>
        <w:spacing w:after="0" w:line="266" w:lineRule="auto"/>
        <w:tabs>
          <w:tab w:leader="none" w:pos="194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right="200" w:firstLine="887"/>
        <w:spacing w:after="0" w:line="266" w:lineRule="auto"/>
        <w:tabs>
          <w:tab w:leader="none" w:pos="195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140" w:firstLine="887"/>
        <w:spacing w:after="0" w:line="312" w:lineRule="auto"/>
        <w:tabs>
          <w:tab w:leader="none" w:pos="1946"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600" w:firstLine="887"/>
        <w:spacing w:after="0" w:line="266" w:lineRule="auto"/>
        <w:tabs>
          <w:tab w:leader="none" w:pos="195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80" w:firstLine="887"/>
        <w:spacing w:after="0" w:line="282" w:lineRule="auto"/>
        <w:tabs>
          <w:tab w:leader="none" w:pos="194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80" w:firstLine="887"/>
        <w:spacing w:after="0" w:line="282" w:lineRule="auto"/>
        <w:tabs>
          <w:tab w:leader="none" w:pos="195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8"/>
          <w:szCs w:val="18"/>
          <w:color w:val="auto"/>
        </w:rPr>
        <w:t>February 27, 2024</w:t>
      </w:r>
      <w:r>
        <w:rPr>
          <w:sz w:val="20"/>
          <w:szCs w:val="20"/>
          <w:color w:val="auto"/>
        </w:rPr>
        <w:tab/>
      </w:r>
      <w:r>
        <w:rPr>
          <w:rFonts w:ascii="Times New Roman" w:cs="Times New Roman" w:eastAsia="Times New Roman" w:hAnsi="Times New Roman"/>
          <w:sz w:val="17"/>
          <w:szCs w:val="17"/>
          <w:color w:val="auto"/>
        </w:rPr>
        <w:t>/s/ Brian J. Willey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36690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2">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Brian J. Willey</w:t>
      </w:r>
    </w:p>
    <w:p>
      <w:pPr>
        <w:ind w:left="546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6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Matador Resources Company (the “Company”) on Form 10-K for the year ended December 31, 2023 as filed with the Securities and Exchange Commission on the date hereof (the “Form 10-K”), I, Joseph Wm. Foran, Chairman and Chief Executive Officer of the Company, hereby certify, pursuant to 18 U.S.C. § 1350, as adopted pursuant to § 906 of the Sarbanes-Oxley Act of 2002, that to the best of my knowledge:</w:t>
      </w:r>
    </w:p>
    <w:p>
      <w:pPr>
        <w:spacing w:after="0" w:line="104" w:lineRule="exact"/>
        <w:rPr>
          <w:sz w:val="20"/>
          <w:szCs w:val="20"/>
          <w:color w:val="auto"/>
        </w:rPr>
      </w:pPr>
    </w:p>
    <w:p>
      <w:pPr>
        <w:ind w:left="260" w:hanging="252"/>
        <w:spacing w:after="0"/>
        <w:tabs>
          <w:tab w:leader="none" w:pos="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65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6580" w:type="dxa"/>
            <w:vAlign w:val="bottom"/>
          </w:tcPr>
          <w:p>
            <w:pPr>
              <w:spacing w:after="0"/>
              <w:rPr>
                <w:sz w:val="15"/>
                <w:szCs w:val="15"/>
                <w:color w:val="auto"/>
              </w:rPr>
            </w:pPr>
          </w:p>
        </w:tc>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65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Matador Resources Company (the “Company”) on Form 10-K for the year ended December 31, 2023 as filed with the Securities and Exchange Commission on the date hereof (the “Form 10-K”), I, Brian J. Willey, Executive Vice President and Chief Financial Officer of the Company, hereby certify,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J. Willey</w:t>
            </w:r>
          </w:p>
        </w:tc>
      </w:tr>
      <w:tr>
        <w:trPr>
          <w:trHeight w:val="218"/>
        </w:trPr>
        <w:tc>
          <w:tcPr>
            <w:tcW w:w="51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Brian J. Willey</w:t>
            </w:r>
          </w:p>
        </w:tc>
      </w:tr>
      <w:tr>
        <w:trPr>
          <w:trHeight w:val="180"/>
        </w:trPr>
        <w:tc>
          <w:tcPr>
            <w:tcW w:w="5140" w:type="dxa"/>
            <w:vAlign w:val="bottom"/>
          </w:tcPr>
          <w:p>
            <w:pPr>
              <w:spacing w:after="0"/>
              <w:rPr>
                <w:sz w:val="15"/>
                <w:szCs w:val="15"/>
                <w:color w:val="auto"/>
              </w:rPr>
            </w:pPr>
          </w:p>
        </w:tc>
        <w:tc>
          <w:tcPr>
            <w:tcW w:w="6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14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MATADOR RESOURCES COMPANY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of Incentive-Based Compensation</w:t>
      </w:r>
    </w:p>
    <w:p>
      <w:pPr>
        <w:spacing w:after="0" w:line="21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It is the policy of Matador Resources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in the event the Company is required to prepare an accounting restatement of the Company’s financial statements (including any such correction recorded in the Company’s current period financial statements) due to material non-</w:t>
      </w:r>
    </w:p>
    <w:p>
      <w:pPr>
        <w:jc w:val="both"/>
        <w:spacing w:after="0" w:line="218" w:lineRule="auto"/>
        <w:rPr>
          <w:sz w:val="20"/>
          <w:szCs w:val="20"/>
          <w:color w:val="auto"/>
        </w:rPr>
      </w:pPr>
      <w:r>
        <w:rPr>
          <w:rFonts w:ascii="Times New Roman" w:cs="Times New Roman" w:eastAsia="Times New Roman" w:hAnsi="Times New Roman"/>
          <w:sz w:val="18"/>
          <w:szCs w:val="18"/>
          <w:color w:val="auto"/>
        </w:rPr>
        <w:t>compliance with any financial reporting requirement under the federal securities laws,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Administration and Definitions</w:t>
      </w:r>
    </w:p>
    <w:p>
      <w:pPr>
        <w:spacing w:after="0" w:line="21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This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is administered by the Strategic Planning and Compensation Committee of the Company’s Board of Directors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and is intended to comply with, and as applicable to be administered and interpreted consistent with, Listing Standard 303A.14 adopted by the New York</w:t>
      </w:r>
    </w:p>
    <w:p>
      <w:pPr>
        <w:spacing w:after="0"/>
        <w:rPr>
          <w:sz w:val="20"/>
          <w:szCs w:val="20"/>
          <w:color w:val="auto"/>
        </w:rPr>
      </w:pPr>
      <w:r>
        <w:rPr>
          <w:rFonts w:ascii="Times New Roman" w:cs="Times New Roman" w:eastAsia="Times New Roman" w:hAnsi="Times New Roman"/>
          <w:sz w:val="18"/>
          <w:szCs w:val="18"/>
          <w:color w:val="auto"/>
        </w:rPr>
        <w:t>Stock Exchange to implement Rule 10D-1 under the Securities Exchange Act of 1934, as amended (collectively, “</w:t>
      </w:r>
      <w:r>
        <w:rPr>
          <w:rFonts w:ascii="Times New Roman" w:cs="Times New Roman" w:eastAsia="Times New Roman" w:hAnsi="Times New Roman"/>
          <w:sz w:val="18"/>
          <w:szCs w:val="18"/>
          <w:b w:val="1"/>
          <w:bCs w:val="1"/>
          <w:i w:val="1"/>
          <w:iCs w:val="1"/>
          <w:color w:val="auto"/>
        </w:rPr>
        <w:t>Rule 10D-1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any compensation granted, earned or vested based in whole or in part on the Company’s attainment of a</w:t>
      </w:r>
    </w:p>
    <w:p>
      <w:pPr>
        <w:spacing w:after="0" w:line="6"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w:t>
      </w:r>
    </w:p>
    <w:p>
      <w:pPr>
        <w:spacing w:after="0" w:line="2"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18"/>
          <w:szCs w:val="18"/>
          <w:color w:val="auto"/>
        </w:rPr>
        <w:t>Company’s financial statements and any measure derived wholly or in part from such a measure, and (ii) any measure based in whole or in part on the Company’s stock price or total shareholder return.</w:t>
      </w:r>
    </w:p>
    <w:p>
      <w:pPr>
        <w:spacing w:after="0" w:line="18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Incentive-Based Compensation is deemed to be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fiscal period during which the relevant financial reporting measure is attained, regardless of when the compensation is actually paid or awarded.</w:t>
      </w:r>
    </w:p>
    <w:p>
      <w:pPr>
        <w:spacing w:after="0" w:line="168"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Executive</w:t>
      </w:r>
      <w:r>
        <w:rPr>
          <w:rFonts w:ascii="Times New Roman" w:cs="Times New Roman" w:eastAsia="Times New Roman" w:hAnsi="Times New Roman"/>
          <w:sz w:val="18"/>
          <w:szCs w:val="18"/>
          <w:color w:val="auto"/>
        </w:rPr>
        <w:t>” means any officer of the Company as defined under Rule 16a-1(f) under the Securities Exchange Act of 1934, as amended, including the Company’s president, principal financial officer, principal accounting officer (or if there is no such accounting officer, the</w:t>
      </w:r>
    </w:p>
    <w:p>
      <w:pPr>
        <w:jc w:val="both"/>
        <w:ind w:left="660" w:right="20"/>
        <w:spacing w:after="0" w:line="226" w:lineRule="auto"/>
        <w:rPr>
          <w:sz w:val="20"/>
          <w:szCs w:val="20"/>
          <w:color w:val="auto"/>
        </w:rPr>
      </w:pPr>
      <w:r>
        <w:rPr>
          <w:rFonts w:ascii="Times New Roman" w:cs="Times New Roman" w:eastAsia="Times New Roman" w:hAnsi="Times New Roman"/>
          <w:sz w:val="18"/>
          <w:szCs w:val="18"/>
          <w:color w:val="auto"/>
        </w:rPr>
        <w:t>controller), any vice-president of the Company in charge of a principal business unit, division, or function and any other officer who performs a significant policy-making function, and any other person who performs similar policy-making functions for the Company.</w:t>
      </w:r>
    </w:p>
    <w:p>
      <w:pPr>
        <w:spacing w:after="0" w:line="18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Recovery Period</w:t>
      </w:r>
      <w:r>
        <w:rPr>
          <w:rFonts w:ascii="Times New Roman" w:cs="Times New Roman" w:eastAsia="Times New Roman" w:hAnsi="Times New Roman"/>
          <w:sz w:val="18"/>
          <w:szCs w:val="18"/>
          <w:color w:val="auto"/>
        </w:rPr>
        <w:t>” means the three completed fiscal years immediately preceding the date that the Company is required to prepare the accounting restatement described in this Policy and any “transition period” as prescribed under Rule 10D-1.</w:t>
      </w:r>
    </w:p>
    <w:p>
      <w:pPr>
        <w:spacing w:after="0" w:line="17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Based Compensation shall be subject to recoupment by the Company pursuant to this Policy. For Incentive-Based Compensation based on stock price or total shareholder return, the Committee will determine the amount based on a reasonable estimate of the effect of the accounting restatement on the relevant stock price or total shareholder return. In all cases, the calculation of the excess amount of Incentive-Based Compensation to be recovered will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on a pre-tax basis. Any determinations made by the Committee under this Policy shall be final and binding on all affected individuals.</w:t>
      </w:r>
    </w:p>
    <w:p>
      <w:pPr>
        <w:spacing w:after="0" w:line="19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and not required under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sectPr>
          <w:pgSz w:w="11900" w:h="16838" w:orient="portrait"/>
          <w:cols w:equalWidth="0" w:num="1">
            <w:col w:w="11240"/>
          </w:cols>
          <w:pgMar w:left="320" w:top="10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16"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w:t>
      </w:r>
    </w:p>
    <w:p>
      <w:pPr>
        <w:spacing w:after="0" w:line="22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requirements of the securities laws, including the disclosure required by the applicable Commission filings.</w:t>
      </w:r>
    </w:p>
    <w:p>
      <w:pPr>
        <w:spacing w:after="0" w:line="185"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Indemnification</w:t>
      </w:r>
    </w:p>
    <w:p>
      <w:pPr>
        <w:spacing w:after="0" w:line="22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shall not indemnify any current or former Covered Executive against the loss of compensation pursuant to this Policy, and shall not pay, or reimburse any current or former Covered Executives for premiums for any insurance policy to fund such Covered Executive’s potential recovery obligations.</w:t>
      </w:r>
    </w:p>
    <w:p>
      <w:pPr>
        <w:spacing w:after="0" w:line="198"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shall be effective as of October 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and Interpretation</w:t>
      </w:r>
    </w:p>
    <w:p>
      <w:pPr>
        <w:spacing w:after="0" w:line="22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Committee may amend this Policy from time to time in its discretion and shall amend this Policy as it deems necessary or advisable to reflect the regulations adopted by the Securities and Exchange Commission and to comply with any rules or standards adopted by the New York Stock Exchange. The Committee may at any time in its sole discretion, supplement, amend or terminate any provision of this Policy in any respect as the Committee determines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be necessary or appropriate. The Committee shall interpret and construe this Policy and make all determinations necessary or advisable for the administration of this Policy. It is intended that this Policy be interpreted in a manner that is consistent with the requirements of Section 10D of the Exchange Act and Rule 10D-1 thereunder and Section 303A.14 of the NYSE Listed Company Manual and any other applicable rules adopted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92"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Recoupment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intends that this Policy will be applied to the fullest extent of the law. The Compensation Committee may require that any employment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equity award agreement or similar agreement entered into on or after the Effective Date shall, as a condition to the grant of any benefit thereunder, require the party thereto to agree to abide by the terms of this Policy or implement arrangements designed to facilitate the administration hereof. Although not a prerequisite to enforcement of this Policy, each Covered Executive shall be required to sign and return to the Company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Acknowledgment Form attached hereto as Exhibit A pursuant to which such Executive Officer will agree to be bound by the terms of and comply with this Policy. Any right of recovery under this Policy is in addition to, and not in lieu of, any other remedies or rights of recovery that may be available to the Company pursuant to the terms of any employment agreement, equity award agreement, or similar agreement and any other legal remedies available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92"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Policy shall be binding and enforceable against all current and former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MATADOR RESOURCES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the undersigned acknowledges and confirms the undersigned has received and reviewed a copy of the Matador Resources Company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Clawback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Capitalized terms used but not otherwise defined in this Acknowledgement Form shall have the meanings ascribed to such terms in the Policy.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that the Policy will apply both during and after the undersigned’s employment with the Company. Further, by signing below, the undersigned agrees to abide by the terms of the Policy, including, without limitation, by returning any excess amount of Incentive-Based Compensation (as defined in the Policy) to the Company, and expressly acknowledges and agrees that the Company shall have the right to reduce, cancel, or withhold against outstanding, unvested,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vested, or future cash or equity-based compensation owed or due to the undersigned to the extent required by, and in a manner permitted by, the Policy. For the avoidance of doubt, (i) any recovery affected under the Policy shall not constitute grounds to terminate the undersigned’s employment for “Good Reason” (or any term of similar meaning) and (ii) the Company shall not indemnify against the loss of compensation pursuant to the Policy, and shall not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pay, or reimburse for premiums for any insurance policy to fund potential recovery obligations under any employment, compensation or indemnification arrangements, agreements,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445770</wp:posOffset>
            </wp:positionV>
            <wp:extent cx="3566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1240"/>
          </w:cols>
          <w:pgMar w:left="320" w:top="1400"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[Netherland, Sewell &amp; Associates, Inc.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17,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Mr. Tanner Schulz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MRC Energy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Dear Mr. Schulz:</w:t>
      </w:r>
    </w:p>
    <w:p>
      <w:pPr>
        <w:spacing w:after="0" w:line="23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accordance with your request, we have audited the estimates prepared by MRC Energy Company (MRC), as of December 31, 2023, of the proved reserves and future revenue to the MRC interest in certain oil and gas properties located in Louisiana, New Mexico, and Texas. It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is our understanding that the proved reserves estimates shown herein constitute all of the proved reserves owned by MRC.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conform to the FASB Accounting Standards Codification Topic 932, Extractive Activities—Oil and Gas, except that per-well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overhead expenses are excluded for the operated properties and future income taxes are excluded for all properties. We completed our audit</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or about the date of this letter. This report has been prepared for MRC's use in filing with the SEC; in our opinion the assumptions, data, methods, and procedures used in the preparation of this report are appropriate for such purpose.</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MRC's estimates of the net reserves and future net revenue, as of December 31, 2023, for the audited properties:</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5"/>
        </w:trPr>
        <w:tc>
          <w:tcPr>
            <w:tcW w:w="3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4"/>
          </w:tcPr>
          <w:p>
            <w:pPr>
              <w:ind w:left="1000"/>
              <w:spacing w:after="0"/>
              <w:rPr>
                <w:sz w:val="20"/>
                <w:szCs w:val="20"/>
                <w:color w:val="auto"/>
              </w:rPr>
            </w:pPr>
            <w:r>
              <w:rPr>
                <w:rFonts w:ascii="Arial" w:cs="Arial" w:eastAsia="Arial" w:hAnsi="Arial"/>
                <w:sz w:val="18"/>
                <w:szCs w:val="18"/>
                <w:color w:val="auto"/>
              </w:rPr>
              <w:t>Net Reserves</w:t>
            </w:r>
          </w:p>
        </w:tc>
        <w:tc>
          <w:tcPr>
            <w:tcW w:w="3580" w:type="dxa"/>
            <w:vAlign w:val="bottom"/>
            <w:gridSpan w:val="3"/>
          </w:tcPr>
          <w:p>
            <w:pPr>
              <w:jc w:val="right"/>
              <w:ind w:right="690"/>
              <w:spacing w:after="0"/>
              <w:rPr>
                <w:sz w:val="20"/>
                <w:szCs w:val="20"/>
                <w:color w:val="auto"/>
              </w:rPr>
            </w:pPr>
            <w:r>
              <w:rPr>
                <w:rFonts w:ascii="Arial" w:cs="Arial" w:eastAsia="Arial" w:hAnsi="Arial"/>
                <w:sz w:val="18"/>
                <w:szCs w:val="18"/>
                <w:color w:val="auto"/>
              </w:rPr>
              <w:t>Future Net Revenue (M$)</w:t>
            </w:r>
          </w:p>
        </w:tc>
      </w:tr>
      <w:tr>
        <w:trPr>
          <w:trHeight w:val="218"/>
        </w:trPr>
        <w:tc>
          <w:tcPr>
            <w:tcW w:w="3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color w:val="auto"/>
              </w:rPr>
              <w:t>Oil</w:t>
            </w:r>
          </w:p>
        </w:tc>
        <w:tc>
          <w:tcPr>
            <w:tcW w:w="1380" w:type="dxa"/>
            <w:vAlign w:val="bottom"/>
            <w:tcBorders>
              <w:top w:val="single" w:sz="8" w:color="auto"/>
            </w:tcBorders>
          </w:tcPr>
          <w:p>
            <w:pPr>
              <w:jc w:val="right"/>
              <w:ind w:right="370"/>
              <w:spacing w:after="0" w:line="218" w:lineRule="exact"/>
              <w:rPr>
                <w:sz w:val="20"/>
                <w:szCs w:val="20"/>
                <w:color w:val="auto"/>
              </w:rPr>
            </w:pPr>
            <w:r>
              <w:rPr>
                <w:rFonts w:ascii="Arial" w:cs="Arial" w:eastAsia="Arial" w:hAnsi="Arial"/>
                <w:sz w:val="18"/>
                <w:szCs w:val="18"/>
                <w:color w:val="auto"/>
              </w:rPr>
              <w:t>Gas</w:t>
            </w:r>
            <w:r>
              <w:rPr>
                <w:rFonts w:ascii="Arial" w:cs="Arial" w:eastAsia="Arial" w:hAnsi="Arial"/>
                <w:sz w:val="23"/>
                <w:szCs w:val="23"/>
                <w:color w:val="auto"/>
                <w:vertAlign w:val="superscript"/>
              </w:rPr>
              <w:t>(1)</w:t>
            </w: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Present Worth</w:t>
            </w:r>
          </w:p>
        </w:tc>
      </w:tr>
      <w:tr>
        <w:trPr>
          <w:trHeight w:val="235"/>
        </w:trPr>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Category</w:t>
            </w:r>
          </w:p>
        </w:tc>
        <w:tc>
          <w:tcPr>
            <w:tcW w:w="400" w:type="dxa"/>
            <w:vAlign w:val="bottom"/>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(MBBL)</w:t>
            </w:r>
          </w:p>
        </w:tc>
        <w:tc>
          <w:tcPr>
            <w:tcW w:w="400" w:type="dxa"/>
            <w:vAlign w:val="bottom"/>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(MMCF)</w:t>
            </w:r>
          </w:p>
        </w:tc>
        <w:tc>
          <w:tcPr>
            <w:tcW w:w="34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at 10%</w:t>
            </w:r>
          </w:p>
        </w:tc>
      </w:tr>
      <w:tr>
        <w:trPr>
          <w:trHeight w:val="461"/>
        </w:trPr>
        <w:tc>
          <w:tcPr>
            <w:tcW w:w="3820" w:type="dxa"/>
            <w:vAlign w:val="bottom"/>
            <w:gridSpan w:val="2"/>
          </w:tcPr>
          <w:p>
            <w:pPr>
              <w:spacing w:after="0"/>
              <w:rPr>
                <w:sz w:val="20"/>
                <w:szCs w:val="20"/>
                <w:color w:val="auto"/>
              </w:rPr>
            </w:pPr>
            <w:r>
              <w:rPr>
                <w:rFonts w:ascii="Arial" w:cs="Arial" w:eastAsia="Arial" w:hAnsi="Arial"/>
                <w:sz w:val="18"/>
                <w:szCs w:val="18"/>
                <w:color w:val="auto"/>
              </w:rPr>
              <w:t>Proved Developed 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154,335.2</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765,236.8</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8,659,154.9</w:t>
            </w:r>
          </w:p>
        </w:tc>
        <w:tc>
          <w:tcPr>
            <w:tcW w:w="3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5,327,942.1</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Proved Developed Non-Producing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7,306.4</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17,496.7</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387,395.2</w:t>
            </w:r>
          </w:p>
        </w:tc>
        <w:tc>
          <w:tcPr>
            <w:tcW w:w="3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222,621.7</w:t>
            </w:r>
          </w:p>
        </w:tc>
      </w:tr>
      <w:tr>
        <w:trPr>
          <w:trHeight w:val="235"/>
        </w:trPr>
        <w:tc>
          <w:tcPr>
            <w:tcW w:w="3820" w:type="dxa"/>
            <w:vAlign w:val="bottom"/>
            <w:gridSpan w:val="2"/>
          </w:tcPr>
          <w:p>
            <w:pPr>
              <w:spacing w:after="0"/>
              <w:rPr>
                <w:sz w:val="20"/>
                <w:szCs w:val="20"/>
                <w:color w:val="auto"/>
              </w:rPr>
            </w:pPr>
            <w:r>
              <w:rPr>
                <w:rFonts w:ascii="Arial" w:cs="Arial" w:eastAsia="Arial" w:hAnsi="Arial"/>
                <w:sz w:val="18"/>
                <w:szCs w:val="18"/>
                <w:color w:val="auto"/>
              </w:rPr>
              <w:t>Proved Undeveloped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110,635.0</w:t>
            </w:r>
          </w:p>
        </w:tc>
        <w:tc>
          <w:tcPr>
            <w:tcW w:w="4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344,026.3</w:t>
            </w:r>
          </w:p>
        </w:tc>
        <w:tc>
          <w:tcPr>
            <w:tcW w:w="3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4,736,378.4</w:t>
            </w:r>
          </w:p>
        </w:tc>
        <w:tc>
          <w:tcPr>
            <w:tcW w:w="38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2,153,506.0</w:t>
            </w:r>
          </w:p>
        </w:tc>
      </w:tr>
      <w:tr>
        <w:trPr>
          <w:trHeight w:val="497"/>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Total Proved</w:t>
            </w:r>
          </w:p>
        </w:tc>
        <w:tc>
          <w:tcPr>
            <w:tcW w:w="1340" w:type="dxa"/>
            <w:vAlign w:val="bottom"/>
          </w:tcPr>
          <w:p>
            <w:pPr>
              <w:jc w:val="right"/>
              <w:spacing w:after="0"/>
              <w:rPr>
                <w:sz w:val="20"/>
                <w:szCs w:val="20"/>
                <w:color w:val="auto"/>
              </w:rPr>
            </w:pPr>
            <w:r>
              <w:rPr>
                <w:rFonts w:ascii="Arial" w:cs="Arial" w:eastAsia="Arial" w:hAnsi="Arial"/>
                <w:sz w:val="18"/>
                <w:szCs w:val="18"/>
                <w:color w:val="auto"/>
              </w:rPr>
              <w:t>272,276.6</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1,126,759.8</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13,782,925.3</w:t>
            </w:r>
          </w:p>
        </w:tc>
        <w:tc>
          <w:tcPr>
            <w:tcW w:w="3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7,704,071.2</w:t>
            </w:r>
          </w:p>
        </w:tc>
      </w:tr>
    </w:tbl>
    <w:p>
      <w:pPr>
        <w:spacing w:after="0" w:line="318"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241" w:lineRule="exact"/>
        <w:rPr>
          <w:sz w:val="20"/>
          <w:szCs w:val="20"/>
          <w:color w:val="auto"/>
        </w:rPr>
      </w:pPr>
    </w:p>
    <w:p>
      <w:pPr>
        <w:ind w:left="540" w:hanging="208"/>
        <w:spacing w:after="0"/>
        <w:tabs>
          <w:tab w:leader="none" w:pos="540" w:val="left"/>
        </w:tabs>
        <w:numPr>
          <w:ilvl w:val="0"/>
          <w:numId w:val="111"/>
        </w:numPr>
        <w:rPr>
          <w:rFonts w:ascii="Arial" w:cs="Arial" w:eastAsia="Arial" w:hAnsi="Arial"/>
          <w:sz w:val="23"/>
          <w:szCs w:val="23"/>
          <w:color w:val="auto"/>
          <w:vertAlign w:val="superscript"/>
        </w:rPr>
      </w:pPr>
      <w:r>
        <w:rPr>
          <w:rFonts w:ascii="Arial" w:cs="Arial" w:eastAsia="Arial" w:hAnsi="Arial"/>
          <w:sz w:val="18"/>
          <w:szCs w:val="18"/>
          <w:color w:val="auto"/>
        </w:rPr>
        <w:t>Gas reserves are inclusive of fuel gas volumes expected to be consumed in field operations.</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167"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color w:val="auto"/>
        </w:rPr>
        <w:t>When compared on a well-by-well basis, some of the estimates of MRC are greater and some are less than the estimates of Netherland, Sewell &amp; Associates, Inc. (NSAI). However, in our opinion the estimates shown herein of</w:t>
      </w:r>
    </w:p>
    <w:p>
      <w:pPr>
        <w:sectPr>
          <w:pgSz w:w="11900" w:h="16838" w:orient="portrait"/>
          <w:cols w:equalWidth="0" w:num="1">
            <w:col w:w="11240"/>
          </w:cols>
          <w:pgMar w:left="320" w:top="117" w:right="33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MRC's reserves and future revenue are reasonable when aggregated at the proved level and have been prepared in accordance with the Standards Pertaining to the Estimating and Auditing of Oil and Gas Reserves Information promulgated by the Society of Petroleum</w:t>
      </w:r>
    </w:p>
    <w:p>
      <w:pPr>
        <w:spacing w:after="0"/>
        <w:rPr>
          <w:sz w:val="20"/>
          <w:szCs w:val="20"/>
          <w:color w:val="auto"/>
        </w:rPr>
      </w:pPr>
      <w:r>
        <w:rPr>
          <w:rFonts w:ascii="Arial" w:cs="Arial" w:eastAsia="Arial" w:hAnsi="Arial"/>
          <w:sz w:val="18"/>
          <w:szCs w:val="18"/>
          <w:color w:val="auto"/>
        </w:rPr>
        <w:t>Engineers (SPE Standards). Additionally, these estimates are within the recommended 10 percent tolerance threshold set forth in the SPE</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Standards. We are satisfied with the methods and procedures used by MRC in preparing the December 31, 2023, estimates of reserves and future revenue, and we saw nothing of an unusual nature that would cause us to take exception with the estimates, in the aggregate, as prepared by MRC.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w:t>
      </w:r>
    </w:p>
    <w:p>
      <w:pPr>
        <w:spacing w:after="0" w:line="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estimates of reserves and future revenue included herein have not been adjusted for risk. MRC's estimates do not include probable or possible reserves that may exist for these properties, nor do they include any value for undeveloped acreage beyond those tracts for which undeveloped reserves have been estimated.</w:t>
      </w:r>
    </w:p>
    <w:p>
      <w:pPr>
        <w:spacing w:after="0" w:line="20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Prices used by MRC are based on the 12-month unweighted arithmetic average of the first-day-of-the-month price for each month in the period January through December 2023. For oil volumes, the average West Texas Intermediate posted price of $74.70 per barrel is adjusted by lease for quality, transportation fees, and market differentials. For gas volumes, the average Henry Hub spot price of $2.637 per MMBTU is adjusted by lease for energy content, transportation fees, and market differentials. All prices are held constant throughout the lives of the</w:t>
      </w:r>
    </w:p>
    <w:p>
      <w:pPr>
        <w:spacing w:after="0" w:line="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properties. The average adjusted product prices weighted by production over the remaining lives of the properties are $78.35 per barrel of oil and $1.966 per MCF of gas.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Operating costs used by MRC are based on historical operating expense records. For the nonoperated properties, these costs include the per-well overhead expenses allowed under joint operating agreements along with estimates of costs to be incurred at and below the district</w:t>
      </w:r>
    </w:p>
    <w:p>
      <w:pPr>
        <w:jc w:val="both"/>
        <w:spacing w:after="0" w:line="277" w:lineRule="auto"/>
        <w:rPr>
          <w:sz w:val="20"/>
          <w:szCs w:val="20"/>
          <w:color w:val="auto"/>
        </w:rPr>
      </w:pPr>
      <w:r>
        <w:rPr>
          <w:rFonts w:ascii="Arial" w:cs="Arial" w:eastAsia="Arial" w:hAnsi="Arial"/>
          <w:sz w:val="18"/>
          <w:szCs w:val="18"/>
          <w:color w:val="auto"/>
        </w:rPr>
        <w:t>and field levels. Operating costs for the operated properties include only direct lease- and field-level costs. Operating costs have been divided into field-level costs, per-well costs, and per-unit-of-production costs. For all properties, headquarters general and administrative overhead expenses of MRC are not included. Capital costs used by MRC are based on authorizations for expenditure and actual costs from recent activity. Capital costs are included as required for workovers, new development wells, and production equipment. Abandonment costs</w:t>
      </w:r>
    </w:p>
    <w:p>
      <w:pPr>
        <w:spacing w:after="0" w:line="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used are MRC's estimates of the costs to abandon the wells and production facilities, net of any salvage value. Operating, capital, and abandonment costs are not escalated for inflation.</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reserves. Estimates of reserves may increase or decrease as a result of market conditions, future operations, changes in regulations, or</w:t>
      </w:r>
    </w:p>
    <w:p>
      <w:pPr>
        <w:spacing w:after="0" w:line="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actual reservoir performance. In addition to the primary economic assumptions discussed herein, estimates of MRC and NSAI are based on certain assumptions including, but not limited to, that the properties will be developed consistent with current development plans as provided to us by MRC, that the properties will be operated in a prudent manner, that no governmental regulations or controls will be put in place that would impact the ability of the interest owner to recover the reserves, and that projections of future production will prove consistent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actual performance. If the reserves are recovered, the revenues therefrom and the costs related thereto could be more or less than the</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estimated amounts. Because of governmental policies and uncertainties of supply and demand, the sales rates, prices received for the reserves, and costs incurred in recovering such reserves may vary from assumptions made while preparing these estimates.</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w:t>
      </w:r>
    </w:p>
    <w:p>
      <w:pPr>
        <w:spacing w:after="0" w:line="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consisted primarily of substantive testing, wherein we conducted a detailed review of all properties. In the conduct of our audit, we have not independently verified the accuracy and completeness of information and data furnished by MRC with respect to ownership interests, oil and gas production, well test data, historical costs of operation and development, product prices, or any agreements relating to current and future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operations of the properties and sales of production. However, if in the course of our examination something came to our attention that brought into question the validity or sufficiency of any such information or data, we did not rely on such information or data until we had</w:t>
      </w:r>
    </w:p>
    <w:p>
      <w:pPr>
        <w:jc w:val="both"/>
        <w:ind w:right="20"/>
        <w:spacing w:after="0" w:line="256" w:lineRule="auto"/>
        <w:rPr>
          <w:sz w:val="20"/>
          <w:szCs w:val="20"/>
          <w:color w:val="auto"/>
        </w:rPr>
      </w:pPr>
      <w:r>
        <w:rPr>
          <w:rFonts w:ascii="Arial" w:cs="Arial" w:eastAsia="Arial" w:hAnsi="Arial"/>
          <w:sz w:val="18"/>
          <w:szCs w:val="18"/>
          <w:color w:val="auto"/>
        </w:rPr>
        <w:t>satisfactorily resolved our questions relating thereto or had independently verified such information or data. Our audit did not include a review of MRC's overall reserves management processes and practices.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used standard engineering and geoscience methods, or a combination of methods, including performance analysis and analogy, that we</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Supporting data documenting this audit, along with data provided by MRC, are on file in our office. The technical person primarily responsible for conducting this audit meets the requirements regarding qualifications, independence, objectivity, and confidentiality set forth in the SPE Standards. Nathan C. Shahan, a Licensed Professional Engineer in the State of Texas, has been practicing consulting petroleum engineering</w:t>
      </w:r>
    </w:p>
    <w:p>
      <w:pPr>
        <w:jc w:val="both"/>
        <w:spacing w:after="0" w:line="271" w:lineRule="auto"/>
        <w:rPr>
          <w:sz w:val="20"/>
          <w:szCs w:val="20"/>
          <w:color w:val="auto"/>
        </w:rPr>
      </w:pPr>
      <w:r>
        <w:rPr>
          <w:rFonts w:ascii="Arial" w:cs="Arial" w:eastAsia="Arial" w:hAnsi="Arial"/>
          <w:sz w:val="18"/>
          <w:szCs w:val="18"/>
          <w:color w:val="auto"/>
        </w:rPr>
        <w:t>at NSAI since 2007 and has over 5 years of prior industry experience. We are independent petroleum engineers, geologists, geophysicists, and petrophysicists; we do not own an interest in these properties nor are we employed on a contingent basis.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/s/ Richard B. Talley, Jr.</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Richard B. Talley, Jr., P.E.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/s/ Nathan C. Shahan</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Nathan C. Shahan, P.E. 102389</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Signed: January 17,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NCS:MBG</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CERTIFICATION OF QUALIFICATION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 Nathan C. Shahan, Licensed Professional Engineer, 2100 Ross Avenue, Suite 2200, Dallas, Texas, hereby certify: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I am an employee of Netherland, Sewell &amp; Associates, Inc. in the position of Vice President.</w:t>
      </w:r>
    </w:p>
    <w:p>
      <w:pPr>
        <w:spacing w:after="0" w:line="252" w:lineRule="exact"/>
        <w:rPr>
          <w:sz w:val="20"/>
          <w:szCs w:val="20"/>
          <w:color w:val="auto"/>
        </w:rPr>
      </w:pPr>
    </w:p>
    <w:p>
      <w:pPr>
        <w:jc w:val="both"/>
        <w:ind w:left="660" w:right="660"/>
        <w:spacing w:after="0" w:line="287" w:lineRule="auto"/>
        <w:rPr>
          <w:sz w:val="20"/>
          <w:szCs w:val="20"/>
          <w:color w:val="auto"/>
        </w:rPr>
      </w:pPr>
      <w:r>
        <w:rPr>
          <w:rFonts w:ascii="Arial" w:cs="Arial" w:eastAsia="Arial" w:hAnsi="Arial"/>
          <w:sz w:val="18"/>
          <w:szCs w:val="18"/>
          <w:color w:val="auto"/>
        </w:rPr>
        <w:t>That I do not have, nor do I expect to receive, any direct or indirect interest in the securities of Matador Resources Company or its subsidiaries.</w:t>
      </w:r>
    </w:p>
    <w:p>
      <w:pPr>
        <w:spacing w:after="0" w:line="180" w:lineRule="exact"/>
        <w:rPr>
          <w:sz w:val="20"/>
          <w:szCs w:val="20"/>
          <w:color w:val="auto"/>
        </w:rPr>
      </w:pPr>
    </w:p>
    <w:p>
      <w:pPr>
        <w:jc w:val="both"/>
        <w:ind w:left="660" w:right="660"/>
        <w:spacing w:after="0" w:line="262" w:lineRule="auto"/>
        <w:rPr>
          <w:sz w:val="20"/>
          <w:szCs w:val="20"/>
          <w:color w:val="auto"/>
        </w:rPr>
      </w:pPr>
      <w:r>
        <w:rPr>
          <w:rFonts w:ascii="Arial" w:cs="Arial" w:eastAsia="Arial" w:hAnsi="Arial"/>
          <w:sz w:val="18"/>
          <w:szCs w:val="18"/>
          <w:color w:val="auto"/>
        </w:rPr>
        <w:t>That I attended Texas A&amp;M University and graduated in 2002 with a Bachelor of Science Degree in Petroleum Engineering and in 2007 with a Master of Engineering Degree in Petroleum Engineering; that I am a Licensed Professional Engineer in the State of Texas, United States of America; and that I have in excess of 5 years of prior industry experience in engineering and geoscience studies and evaluations.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C. Shahan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Nathan C. Shahan, P.E.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Texas Registration No. 102389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1)"/>
      <w:numFmt w:val="decimal"/>
      <w:start w:val="1"/>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1)"/>
      <w:numFmt w:val="decimal"/>
      <w:start w:val="1"/>
    </w:lvl>
  </w:abstractNum>
  <w:abstractNum w:abstractNumId="14">
    <w:nsid w:val="77AE35EB"/>
    <w:multiLevelType w:val="hybridMultilevel"/>
    <w:lvl w:ilvl="0">
      <w:lvlJc w:val="left"/>
      <w:lvlText w:val="(%1)"/>
      <w:numFmt w:val="decimal"/>
      <w:start w:val="2"/>
    </w:lvl>
  </w:abstractNum>
  <w:abstractNum w:abstractNumId="15">
    <w:nsid w:val="579BE4F1"/>
    <w:multiLevelType w:val="hybridMultilevel"/>
    <w:lvl w:ilvl="0">
      <w:lvlJc w:val="left"/>
      <w:lvlText w:val="(%1)"/>
      <w:numFmt w:val="decimal"/>
      <w:start w:val="1"/>
    </w:lvl>
  </w:abstractNum>
  <w:abstractNum w:abstractNumId="16">
    <w:nsid w:val="310C50B3"/>
    <w:multiLevelType w:val="hybridMultilevel"/>
    <w:lvl w:ilvl="0">
      <w:lvlJc w:val="left"/>
      <w:lvlText w:val="(%1)"/>
      <w:numFmt w:val="decimal"/>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1)"/>
      <w:numFmt w:val="decimal"/>
      <w:start w:val="1"/>
    </w:lvl>
  </w:abstractNum>
  <w:abstractNum w:abstractNumId="19">
    <w:nsid w:val="25A70BF7"/>
    <w:multiLevelType w:val="hybridMultilevel"/>
    <w:lvl w:ilvl="0">
      <w:lvlJc w:val="left"/>
      <w:lvlText w:val="(%1)"/>
      <w:numFmt w:val="decimal"/>
      <w:start w:val="1"/>
    </w:lvl>
  </w:abstractNum>
  <w:abstractNum w:abstractNumId="20">
    <w:nsid w:val="1DBABF00"/>
    <w:multiLevelType w:val="hybridMultilevel"/>
    <w:lvl w:ilvl="0">
      <w:lvlJc w:val="left"/>
      <w:lvlText w:val="(%1)"/>
      <w:numFmt w:val="decimal"/>
      <w:start w:val="1"/>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1)"/>
      <w:numFmt w:val="decimal"/>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1)"/>
      <w:numFmt w:val="lowerRoman"/>
      <w:start w:val="10"/>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1)"/>
      <w:numFmt w:val="decimal"/>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lowerRoman"/>
      <w:start w:val="3"/>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lowerRoman"/>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1)"/>
      <w:numFmt w:val="decimal"/>
      <w:start w:val="1"/>
    </w:lvl>
  </w:abstractNum>
  <w:abstractNum w:abstractNumId="59">
    <w:nsid w:val="6F6DD9AC"/>
    <w:multiLevelType w:val="hybridMultilevel"/>
    <w:lvl w:ilvl="0">
      <w:lvlJc w:val="left"/>
      <w:lvlText w:val="(%1)"/>
      <w:numFmt w:val="lowerLetter"/>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97"/>
    </w:lvl>
  </w:abstractNum>
  <w:abstractNum w:abstractNumId="62">
    <w:nsid w:val="76272110"/>
    <w:multiLevelType w:val="hybridMultilevel"/>
    <w:lvl w:ilvl="0">
      <w:lvlJc w:val="left"/>
      <w:lvlText w:val="%1"/>
      <w:numFmt w:val="decimal"/>
      <w:start w:val="10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1)"/>
      <w:numFmt w:val="decimal"/>
      <w:start w:val="2"/>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1)"/>
      <w:numFmt w:val="lowerLetter"/>
      <w:start w:val="2"/>
    </w:lvl>
  </w:abstractNum>
  <w:abstractNum w:abstractNumId="69">
    <w:nsid w:val="2DF6D648"/>
    <w:multiLevelType w:val="hybridMultilevel"/>
    <w:lvl w:ilvl="0">
      <w:lvlJc w:val="left"/>
      <w:lvlText w:val="(%1)"/>
      <w:numFmt w:val="decimal"/>
      <w:start w:val="1"/>
    </w:lvl>
  </w:abstractNum>
  <w:abstractNum w:abstractNumId="70">
    <w:nsid w:val="46B7D447"/>
    <w:multiLevelType w:val="hybridMultilevel"/>
    <w:lvl w:ilvl="0">
      <w:lvlJc w:val="left"/>
      <w:lvlText w:val="(%1)"/>
      <w:numFmt w:val="decimal"/>
      <w:start w:val="1"/>
    </w:lvl>
  </w:abstractNum>
  <w:abstractNum w:abstractNumId="71">
    <w:nsid w:val="4A2AC315"/>
    <w:multiLevelType w:val="hybridMultilevel"/>
    <w:lvl w:ilvl="0">
      <w:lvlJc w:val="left"/>
      <w:lvlText w:val="(%1)"/>
      <w:numFmt w:val="lowerRoman"/>
      <w:start w:val="1"/>
    </w:lvl>
  </w:abstractNum>
  <w:abstractNum w:abstractNumId="72">
    <w:nsid w:val="39EE015C"/>
    <w:multiLevelType w:val="hybridMultilevel"/>
    <w:lvl w:ilvl="0">
      <w:lvlJc w:val="left"/>
      <w:lvlText w:val="(%1)"/>
      <w:numFmt w:val="lowerRoman"/>
      <w:start w:val="1"/>
    </w:lvl>
  </w:abstractNum>
  <w:abstractNum w:abstractNumId="73">
    <w:nsid w:val="57FC4FBB"/>
    <w:multiLevelType w:val="hybridMultilevel"/>
    <w:lvl w:ilvl="0">
      <w:lvlJc w:val="left"/>
      <w:lvlText w:val="(%1)"/>
      <w:numFmt w:val="lowerLetter"/>
      <w:start w:val="25"/>
    </w:lvl>
  </w:abstractNum>
  <w:abstractNum w:abstractNumId="74">
    <w:nsid w:val="CC1016F"/>
    <w:multiLevelType w:val="hybridMultilevel"/>
    <w:lvl w:ilvl="0">
      <w:lvlJc w:val="left"/>
      <w:lvlText w:val="(%1)"/>
      <w:numFmt w:val="lowerLetter"/>
      <w:start w:val="35"/>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abstractNum>
  <w:abstractNum w:abstractNumId="86">
    <w:nsid w:val="7672BD23"/>
    <w:multiLevelType w:val="hybridMultilevel"/>
    <w:lvl w:ilvl="0">
      <w:lvlJc w:val="left"/>
      <w:lvlText w:val="(%1)"/>
      <w:numFmt w:val="decimal"/>
      <w:start w:val="1"/>
    </w:lvl>
  </w:abstractNum>
  <w:abstractNum w:abstractNumId="87">
    <w:nsid w:val="6FC75AF8"/>
    <w:multiLevelType w:val="hybridMultilevel"/>
    <w:lvl w:ilvl="0">
      <w:lvlJc w:val="left"/>
      <w:lvlText w:val="(%1)"/>
      <w:numFmt w:val="decimal"/>
      <w:start w:val="1"/>
    </w:lvl>
  </w:abstractNum>
  <w:abstractNum w:abstractNumId="88">
    <w:nsid w:val="6A5F7029"/>
    <w:multiLevelType w:val="hybridMultilevel"/>
    <w:lvl w:ilvl="0">
      <w:lvlJc w:val="left"/>
      <w:lvlText w:val="(%1)"/>
      <w:numFmt w:val="decimal"/>
      <w:start w:val="1"/>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1)"/>
      <w:numFmt w:val="decimal"/>
      <w:start w:val="1"/>
    </w:lvl>
  </w:abstractNum>
  <w:abstractNum w:abstractNumId="91">
    <w:nsid w:val="73A1821B"/>
    <w:multiLevelType w:val="hybridMultilevel"/>
    <w:lvl w:ilvl="0">
      <w:lvlJc w:val="left"/>
      <w:lvlText w:val="(%1)"/>
      <w:numFmt w:val="decimal"/>
      <w:start w:val="1"/>
    </w:lvl>
  </w:abstractNum>
  <w:abstractNum w:abstractNumId="92">
    <w:nsid w:val="7DE67713"/>
    <w:multiLevelType w:val="hybridMultilevel"/>
    <w:lvl w:ilvl="0">
      <w:lvlJc w:val="left"/>
      <w:lvlText w:val="(%1)"/>
      <w:numFmt w:val="decimal"/>
      <w:start w:val="1"/>
    </w:lvl>
  </w:abstractNum>
  <w:abstractNum w:abstractNumId="93">
    <w:nsid w:val="555C55B5"/>
    <w:multiLevelType w:val="hybridMultilevel"/>
    <w:lvl w:ilvl="0">
      <w:lvlJc w:val="left"/>
      <w:lvlText w:val="(%1)"/>
      <w:numFmt w:val="decimal"/>
      <w:start w:val="1"/>
    </w:lvl>
  </w:abstractNum>
  <w:abstractNum w:abstractNumId="94">
    <w:nsid w:val="3FA62ACA"/>
    <w:multiLevelType w:val="hybridMultilevel"/>
    <w:lvl w:ilvl="0">
      <w:lvlJc w:val="left"/>
      <w:lvlText w:val="%1."/>
      <w:numFmt w:val="decimal"/>
      <w:start w:val="1"/>
    </w:lvl>
  </w:abstractNum>
  <w:abstractNum w:abstractNumId="95">
    <w:nsid w:val="14FCE74E"/>
    <w:multiLevelType w:val="hybridMultilevel"/>
    <w:lvl w:ilvl="0">
      <w:lvlJc w:val="left"/>
      <w:lvlText w:val="%1."/>
      <w:numFmt w:val="decimal"/>
      <w:start w:val="1"/>
    </w:lvl>
    <w:lvl w:ilvl="1">
      <w:lvlJc w:val="left"/>
      <w:lvlText w:val="%2."/>
      <w:numFmt w:val="lowerLetter"/>
      <w:start w:val="1"/>
    </w:lvl>
  </w:abstractNum>
  <w:abstractNum w:abstractNumId="96">
    <w:nsid w:val="6A3DD3E8"/>
    <w:multiLevelType w:val="hybridMultilevel"/>
    <w:lvl w:ilvl="0">
      <w:lvlJc w:val="left"/>
      <w:lvlText w:val="%1"/>
      <w:numFmt w:val="decimal"/>
      <w:start w:val="1"/>
    </w:lvl>
    <w:lvl w:ilvl="1">
      <w:lvlJc w:val="left"/>
      <w:lvlText w:val="%2."/>
      <w:numFmt w:val="lowerLetter"/>
      <w:start w:val="3"/>
    </w:lvl>
  </w:abstractNum>
  <w:abstractNum w:abstractNumId="97">
    <w:nsid w:val="71C91298"/>
    <w:multiLevelType w:val="hybridMultilevel"/>
    <w:lvl w:ilvl="0">
      <w:lvlJc w:val="left"/>
      <w:lvlText w:val="%1."/>
      <w:numFmt w:val="decimal"/>
      <w:start w:val="2"/>
    </w:lvl>
    <w:lvl w:ilvl="1">
      <w:lvlJc w:val="left"/>
      <w:lvlText w:val="%2"/>
      <w:numFmt w:val="lowerLetter"/>
      <w:start w:val="1"/>
    </w:lvl>
  </w:abstractNum>
  <w:abstractNum w:abstractNumId="98">
    <w:nsid w:val="9DAF632"/>
    <w:multiLevelType w:val="hybridMultilevel"/>
    <w:lvl w:ilvl="0">
      <w:lvlJc w:val="left"/>
      <w:lvlText w:val="%1."/>
      <w:numFmt w:val="decimal"/>
      <w:start w:val="6"/>
    </w:lvl>
  </w:abstractNum>
  <w:abstractNum w:abstractNumId="99">
    <w:nsid w:val="53299938"/>
    <w:multiLevelType w:val="hybridMultilevel"/>
    <w:lvl w:ilvl="0">
      <w:lvlJc w:val="left"/>
      <w:lvlText w:val="(%1)"/>
      <w:numFmt w:val="lowerLetter"/>
      <w:start w:val="1"/>
    </w:lvl>
  </w:abstractNum>
  <w:abstractNum w:abstractNumId="100">
    <w:nsid w:val="1FBFE8E0"/>
    <w:multiLevelType w:val="hybridMultilevel"/>
    <w:lvl w:ilvl="0">
      <w:lvlJc w:val="left"/>
      <w:lvlText w:val="%1."/>
      <w:numFmt w:val="decimal"/>
      <w:start w:val="1"/>
    </w:lvl>
    <w:lvl w:ilvl="1">
      <w:lvlJc w:val="left"/>
      <w:lvlText w:val="%2."/>
      <w:numFmt w:val="lowerLetter"/>
      <w:start w:val="1"/>
    </w:lvl>
  </w:abstractNum>
  <w:abstractNum w:abstractNumId="101">
    <w:nsid w:val="5092CA79"/>
    <w:multiLevelType w:val="hybridMultilevel"/>
    <w:lvl w:ilvl="0">
      <w:lvlJc w:val="left"/>
      <w:lvlText w:val="%1."/>
      <w:numFmt w:val="decimal"/>
      <w:start w:val="1"/>
    </w:lvl>
    <w:lvl w:ilvl="1">
      <w:lvlJc w:val="left"/>
      <w:lvlText w:val="%2."/>
      <w:numFmt w:val="lowerLetter"/>
      <w:start w:val="1"/>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1)"/>
      <w:numFmt w:val="decimal"/>
      <w:start w:val="1"/>
    </w:lvl>
  </w:abstractNum>
  <w:abstractNum w:abstractNumId="104">
    <w:nsid w:val="288F1A34"/>
    <w:multiLevelType w:val="hybridMultilevel"/>
    <w:lvl w:ilvl="0">
      <w:lvlJc w:val="left"/>
      <w:lvlText w:val="%1."/>
      <w:numFmt w:val="decimal"/>
      <w:start w:val="1"/>
    </w:lvl>
  </w:abstractNum>
  <w:abstractNum w:abstractNumId="105">
    <w:nsid w:val="2A155DBC"/>
    <w:multiLevelType w:val="hybridMultilevel"/>
    <w:lvl w:ilvl="0">
      <w:lvlJc w:val="left"/>
      <w:lvlText w:val="%1."/>
      <w:numFmt w:val="decimal"/>
      <w:start w:val="2"/>
    </w:lvl>
  </w:abstractNum>
  <w:abstractNum w:abstractNumId="106">
    <w:nsid w:val="1D9F6E5F"/>
    <w:multiLevelType w:val="hybridMultilevel"/>
    <w:lvl w:ilvl="0">
      <w:lvlJc w:val="left"/>
      <w:lvlText w:val="%1."/>
      <w:numFmt w:val="decimal"/>
      <w:start w:val="3"/>
    </w:lvl>
  </w:abstractNum>
  <w:abstractNum w:abstractNumId="107">
    <w:nsid w:val="97E1B4E"/>
    <w:multiLevelType w:val="hybridMultilevel"/>
    <w:lvl w:ilvl="0">
      <w:lvlJc w:val="left"/>
      <w:lvlText w:val="%1."/>
      <w:numFmt w:val="decimal"/>
      <w:start w:val="4"/>
    </w:lvl>
  </w:abstractNum>
  <w:abstractNum w:abstractNumId="108">
    <w:nsid w:val="51088277"/>
    <w:multiLevelType w:val="hybridMultilevel"/>
    <w:lvl w:ilvl="0">
      <w:lvlJc w:val="left"/>
      <w:lvlText w:val="%1."/>
      <w:numFmt w:val="decimal"/>
      <w:start w:val="5"/>
    </w:lvl>
  </w:abstractNum>
  <w:abstractNum w:abstractNumId="109">
    <w:nsid w:val="1CA0C5FA"/>
    <w:multiLevelType w:val="hybridMultilevel"/>
    <w:lvl w:ilvl="0">
      <w:lvlJc w:val="left"/>
      <w:lvlText w:val="%1."/>
      <w:numFmt w:val="decimal"/>
      <w:start w:val="6"/>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8" Type="http://schemas.openxmlformats.org/officeDocument/2006/relationships/image" Target="media/image107.png"/><Relationship Id="rId145" Type="http://schemas.openxmlformats.org/officeDocument/2006/relationships/image" Target="media/image108.png"/><Relationship Id="rId165" Type="http://schemas.openxmlformats.org/officeDocument/2006/relationships/image" Target="media/image109.png"/><Relationship Id="rId173" Type="http://schemas.openxmlformats.org/officeDocument/2006/relationships/image" Target="media/image110.png"/><Relationship Id="rId174" Type="http://schemas.openxmlformats.org/officeDocument/2006/relationships/image" Target="media/image111.png"/><Relationship Id="rId175" Type="http://schemas.openxmlformats.org/officeDocument/2006/relationships/image" Target="media/image112.png"/><Relationship Id="rId176" Type="http://schemas.openxmlformats.org/officeDocument/2006/relationships/image" Target="media/image113.png"/><Relationship Id="rId177" Type="http://schemas.openxmlformats.org/officeDocument/2006/relationships/image" Target="media/image114.png"/><Relationship Id="rId178" Type="http://schemas.openxmlformats.org/officeDocument/2006/relationships/image" Target="media/image115.png"/><Relationship Id="rId179" Type="http://schemas.openxmlformats.org/officeDocument/2006/relationships/image" Target="media/image116.png"/><Relationship Id="rId180" Type="http://schemas.openxmlformats.org/officeDocument/2006/relationships/image" Target="media/image117.png"/><Relationship Id="rId181" Type="http://schemas.openxmlformats.org/officeDocument/2006/relationships/image" Target="media/image118.png"/><Relationship Id="rId182" Type="http://schemas.openxmlformats.org/officeDocument/2006/relationships/image" Target="media/image119.png"/><Relationship Id="rId183" Type="http://schemas.openxmlformats.org/officeDocument/2006/relationships/image" Target="media/image120.png"/><Relationship Id="rId184" Type="http://schemas.openxmlformats.org/officeDocument/2006/relationships/image" Target="media/image121.png"/><Relationship Id="rId185" Type="http://schemas.openxmlformats.org/officeDocument/2006/relationships/image" Target="media/image122.png"/><Relationship Id="rId186" Type="http://schemas.openxmlformats.org/officeDocument/2006/relationships/image" Target="media/image123.png"/><Relationship Id="rId187" Type="http://schemas.openxmlformats.org/officeDocument/2006/relationships/image" Target="media/image124.png"/><Relationship Id="rId188" Type="http://schemas.openxmlformats.org/officeDocument/2006/relationships/image" Target="media/image125.png"/><Relationship Id="rId189" Type="http://schemas.openxmlformats.org/officeDocument/2006/relationships/image" Target="media/image126.png"/><Relationship Id="rId190" Type="http://schemas.openxmlformats.org/officeDocument/2006/relationships/image" Target="media/image127.png"/><Relationship Id="rId191" Type="http://schemas.openxmlformats.org/officeDocument/2006/relationships/image" Target="media/image128.png"/><Relationship Id="rId192" Type="http://schemas.openxmlformats.org/officeDocument/2006/relationships/image" Target="media/image129.png"/><Relationship Id="rId193" Type="http://schemas.openxmlformats.org/officeDocument/2006/relationships/image" Target="media/image130.png"/><Relationship Id="rId194" Type="http://schemas.openxmlformats.org/officeDocument/2006/relationships/image" Target="media/image131.png"/><Relationship Id="rId195" Type="http://schemas.openxmlformats.org/officeDocument/2006/relationships/image" Target="media/image132.png"/><Relationship Id="rId196" Type="http://schemas.openxmlformats.org/officeDocument/2006/relationships/image" Target="media/image133.png"/><Relationship Id="rId197" Type="http://schemas.openxmlformats.org/officeDocument/2006/relationships/image" Target="media/image134.png"/><Relationship Id="rId198" Type="http://schemas.openxmlformats.org/officeDocument/2006/relationships/image" Target="media/image135.png"/><Relationship Id="rId199" Type="http://schemas.openxmlformats.org/officeDocument/2006/relationships/image" Target="media/image136.png"/><Relationship Id="rId200" Type="http://schemas.openxmlformats.org/officeDocument/2006/relationships/image" Target="media/image137.png"/><Relationship Id="rId201" Type="http://schemas.openxmlformats.org/officeDocument/2006/relationships/image" Target="media/image138.png"/><Relationship Id="rId202" Type="http://schemas.openxmlformats.org/officeDocument/2006/relationships/image" Target="media/image139.png"/><Relationship Id="rId203" Type="http://schemas.openxmlformats.org/officeDocument/2006/relationships/image" Target="media/image140.png"/><Relationship Id="rId204" Type="http://schemas.openxmlformats.org/officeDocument/2006/relationships/image" Target="media/image141.png"/><Relationship Id="rId205" Type="http://schemas.openxmlformats.org/officeDocument/2006/relationships/image" Target="media/image142.pn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211"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1" Type="http://schemas.openxmlformats.org/officeDocument/2006/relationships/image" Target="media/image158.png"/><Relationship Id="rId222" Type="http://schemas.openxmlformats.org/officeDocument/2006/relationships/image" Target="media/image159.png"/><Relationship Id="rId223" Type="http://schemas.openxmlformats.org/officeDocument/2006/relationships/image" Target="media/image160.png"/><Relationship Id="rId224" Type="http://schemas.openxmlformats.org/officeDocument/2006/relationships/image" Target="media/image161.png"/><Relationship Id="rId225" Type="http://schemas.openxmlformats.org/officeDocument/2006/relationships/image" Target="media/image162.png"/><Relationship Id="rId226" Type="http://schemas.openxmlformats.org/officeDocument/2006/relationships/image" Target="media/image163.png"/><Relationship Id="rId227" Type="http://schemas.openxmlformats.org/officeDocument/2006/relationships/image" Target="media/image164.png"/><Relationship Id="rId228" Type="http://schemas.openxmlformats.org/officeDocument/2006/relationships/image" Target="media/image165.png"/><Relationship Id="rId229" Type="http://schemas.openxmlformats.org/officeDocument/2006/relationships/image" Target="media/image166.png"/><Relationship Id="rId230" Type="http://schemas.openxmlformats.org/officeDocument/2006/relationships/image" Target="media/image167.png"/><Relationship Id="rId231" Type="http://schemas.openxmlformats.org/officeDocument/2006/relationships/image" Target="media/image168.png"/><Relationship Id="rId232" Type="http://schemas.openxmlformats.org/officeDocument/2006/relationships/image" Target="media/image169.png"/><Relationship Id="rId233" Type="http://schemas.openxmlformats.org/officeDocument/2006/relationships/image" Target="media/image170.png"/><Relationship Id="rId234" Type="http://schemas.openxmlformats.org/officeDocument/2006/relationships/image" Target="media/image171.png"/><Relationship Id="rId235" Type="http://schemas.openxmlformats.org/officeDocument/2006/relationships/image" Target="media/image172.png"/><Relationship Id="rId236" Type="http://schemas.openxmlformats.org/officeDocument/2006/relationships/image" Target="media/image173.png"/><Relationship Id="rId237" Type="http://schemas.openxmlformats.org/officeDocument/2006/relationships/image" Target="media/image174.png"/><Relationship Id="rId238" Type="http://schemas.openxmlformats.org/officeDocument/2006/relationships/image" Target="media/image175.png"/><Relationship Id="rId239" Type="http://schemas.openxmlformats.org/officeDocument/2006/relationships/image" Target="media/image176.png"/><Relationship Id="rId240" Type="http://schemas.openxmlformats.org/officeDocument/2006/relationships/image" Target="media/image177.png"/><Relationship Id="rId241" Type="http://schemas.openxmlformats.org/officeDocument/2006/relationships/image" Target="media/image178.png"/><Relationship Id="rId242" Type="http://schemas.openxmlformats.org/officeDocument/2006/relationships/image" Target="media/image179.png"/><Relationship Id="rId243" Type="http://schemas.openxmlformats.org/officeDocument/2006/relationships/image" Target="media/image180.png"/><Relationship Id="rId244" Type="http://schemas.openxmlformats.org/officeDocument/2006/relationships/image" Target="media/image181.png"/><Relationship Id="rId245" Type="http://schemas.openxmlformats.org/officeDocument/2006/relationships/image" Target="media/image182.png"/><Relationship Id="rId114" Type="http://schemas.openxmlformats.org/officeDocument/2006/relationships/hyperlink" Target="http://www.sec.gov/Archives/edgar/data/1520006/000119312523013640/d428449dex21.htm" TargetMode="External"/><Relationship Id="rId115" Type="http://schemas.openxmlformats.org/officeDocument/2006/relationships/hyperlink" Target="http://www.sec.gov/Archives/edgar/data/1520006/000152000617000188/a20170630mtdr10q-exhibit32.htm" TargetMode="External"/><Relationship Id="rId116" Type="http://schemas.openxmlformats.org/officeDocument/2006/relationships/hyperlink" Target="http://www.sec.gov/Archives/edgar/data/1520006/000152000617000188/a20170630mtdr10q-exhibit33.htm" TargetMode="External"/><Relationship Id="rId117" Type="http://schemas.openxmlformats.org/officeDocument/2006/relationships/hyperlink" Target="http://www.sec.gov/Archives/edgar/data/1520006/000152000617000188/a20170630mtdr10q-exhibit34.htm" TargetMode="External"/><Relationship Id="rId118" Type="http://schemas.openxmlformats.org/officeDocument/2006/relationships/hyperlink" Target="http://www.sec.gov/Archives/edgar/data/1520006/000152000618000051/a20171231mtdr8k-amendedbyl.htm" TargetMode="External"/><Relationship Id="rId119" Type="http://schemas.openxmlformats.org/officeDocument/2006/relationships/hyperlink" Target="http://www.sec.gov/Archives/edgar/data/1520006/000119312512016839/d217064dex41.htm" TargetMode="External"/><Relationship Id="rId120" Type="http://schemas.openxmlformats.org/officeDocument/2006/relationships/hyperlink" Target="http://www.sec.gov/Archives/edgar/data/1520006/000119312518254069/d578570dex41.htm" TargetMode="External"/><Relationship Id="rId121" Type="http://schemas.openxmlformats.org/officeDocument/2006/relationships/hyperlink" Target="http://www.sec.gov/Archives/edgar/data/1520006/000152000619000048/a20181231mtdr10-kex43.htm" TargetMode="External"/><Relationship Id="rId122" Type="http://schemas.openxmlformats.org/officeDocument/2006/relationships/hyperlink" Target="http://www.sec.gov/Archives/edgar/data/1520006/000152000621000249/secondsupplementalindentur.htm" TargetMode="External"/><Relationship Id="rId123" Type="http://schemas.openxmlformats.org/officeDocument/2006/relationships/hyperlink" Target="http://www.sec.gov/Archives/edgar/data/1520006/000119312523097891/d459785dex41.htm" TargetMode="External"/><Relationship Id="rId124" Type="http://schemas.openxmlformats.org/officeDocument/2006/relationships/hyperlink" Target="http://www.sec.gov/Archives/edgar/data/1520006/000152000623000174/a20230630mtdr10qex42.htm" TargetMode="External"/><Relationship Id="rId125" Type="http://schemas.openxmlformats.org/officeDocument/2006/relationships/hyperlink" Target="http://www.sec.gov/Archives/edgar/data/1520006/000152000623000174/a20230630mtdr10qex43.htm" TargetMode="External"/><Relationship Id="rId126" Type="http://schemas.openxmlformats.org/officeDocument/2006/relationships/hyperlink" Target="http://www.sec.gov/Archives/edgar/data/1520006/000152000620000037/a20191231mtdr10-kex44.htm" TargetMode="External"/><Relationship Id="rId127" Type="http://schemas.openxmlformats.org/officeDocument/2006/relationships/hyperlink" Target="http://www.sec.gov/Archives/edgar/data/1520006/000119312511310666/d217064dex103.htm" TargetMode="External"/><Relationship Id="rId129" Type="http://schemas.openxmlformats.org/officeDocument/2006/relationships/hyperlink" Target="http://www.sec.gov/Archives/edgar/data/1520006/000119312511310666/d217064dex108.htm" TargetMode="External"/><Relationship Id="rId130" Type="http://schemas.openxmlformats.org/officeDocument/2006/relationships/hyperlink" Target="http://www.sec.gov/Archives/edgar/data/1520006/000119312511356358/d217064dex1012.htm" TargetMode="External"/><Relationship Id="rId131" Type="http://schemas.openxmlformats.org/officeDocument/2006/relationships/hyperlink" Target="http://www.sec.gov/Archives/edgar/data/1520006/000152000614000017/mtdr10-k12312013ex1051.htm" TargetMode="External"/><Relationship Id="rId132" Type="http://schemas.openxmlformats.org/officeDocument/2006/relationships/hyperlink" Target="http://www.sec.gov/Archives/edgar/data/1520006/000152000615000008/mtdr10-k12312014ex1052.htm" TargetMode="External"/><Relationship Id="rId133" Type="http://schemas.openxmlformats.org/officeDocument/2006/relationships/hyperlink" Target="http://www.sec.gov/Archives/edgar/data/1520006/000152000617000141/mtdrexhibit1012017q1.htm" TargetMode="External"/><Relationship Id="rId134" Type="http://schemas.openxmlformats.org/officeDocument/2006/relationships/hyperlink" Target="http://www.sec.gov/Archives/edgar/data/1520006/000152000618000102/a20180630mtdr10q-exhibit101.htm" TargetMode="External"/><Relationship Id="rId135" Type="http://schemas.openxmlformats.org/officeDocument/2006/relationships/hyperlink" Target="http://www.sec.gov/Archives/edgar/data/1520006/000152000619000115/a20190630mtdr10q-exhibit104.htm" TargetMode="External"/><Relationship Id="rId136" Type="http://schemas.openxmlformats.org/officeDocument/2006/relationships/hyperlink" Target="http://www.sec.gov/Archives/edgar/data/1520006/000152000622000206/a20220930mtdr10qex101.htm" TargetMode="External"/><Relationship Id="rId137" Type="http://schemas.openxmlformats.org/officeDocument/2006/relationships/hyperlink" Target="http://www.sec.gov/Archives/edgar/data/1520006/000119312511310666/d217064dex1022.htm" TargetMode="External"/><Relationship Id="rId138" Type="http://schemas.openxmlformats.org/officeDocument/2006/relationships/hyperlink" Target="http://www.sec.gov/Archives/edgar/data/1520006/000119312513111031/d444422dex1049.htm" TargetMode="External"/><Relationship Id="rId139" Type="http://schemas.openxmlformats.org/officeDocument/2006/relationships/hyperlink" Target="http://www.sec.gov/Archives/edgar/data/1520006/000119312513111031/d444422dex1050.htm" TargetMode="External"/><Relationship Id="rId140" Type="http://schemas.openxmlformats.org/officeDocument/2006/relationships/hyperlink" Target="http://www.sec.gov/Archives/edgar/data/1520006/000152000621000236/a20211118mtdrex101forupl.htm" TargetMode="External"/><Relationship Id="rId141" Type="http://schemas.openxmlformats.org/officeDocument/2006/relationships/hyperlink" Target="http://www.sec.gov/Archives/edgar/data/1520006/000152000622000109/a20220331mtdr10qex101.htm" TargetMode="External"/><Relationship Id="rId142" Type="http://schemas.openxmlformats.org/officeDocument/2006/relationships/hyperlink" Target="http://www.sec.gov/Archives/edgar/data/1520006/000152000623000087/truist_matador-secondame.htm" TargetMode="External"/><Relationship Id="rId143" Type="http://schemas.openxmlformats.org/officeDocument/2006/relationships/hyperlink" Target="http://www.sec.gov/Archives/edgar/data/1520006/000152000623000102/a20230331mtdr10qex102.htm" TargetMode="External"/><Relationship Id="rId144" Type="http://schemas.openxmlformats.org/officeDocument/2006/relationships/hyperlink" Target="http://www.sec.gov/Archives/edgar/data/1520006/000152000623000188/a20231019mtdr8kex101.htm" TargetMode="External"/><Relationship Id="rId146" Type="http://schemas.openxmlformats.org/officeDocument/2006/relationships/hyperlink" Target="http://www.sec.gov/Archives/edgar/data/1520006/000152000616000245/mtdr10-k12312015ex1059.htm" TargetMode="External"/><Relationship Id="rId147" Type="http://schemas.openxmlformats.org/officeDocument/2006/relationships/hyperlink" Target="http://www.sec.gov/Archives/edgar/data/1520006/000152000619000048/a20181231mtdr10-kex1066.htm" TargetMode="External"/><Relationship Id="rId148" Type="http://schemas.openxmlformats.org/officeDocument/2006/relationships/hyperlink" Target="http://www.sec.gov/Archives/edgar/data/1520006/000152000615000102/matador-amendedandrestated.htm" TargetMode="External"/><Relationship Id="rId149" Type="http://schemas.openxmlformats.org/officeDocument/2006/relationships/hyperlink" Target="http://www.sec.gov/Archives/edgar/data/1520006/000152000617000199/a20170930mtdr10q-exhibit101.htm" TargetMode="External"/><Relationship Id="rId150" Type="http://schemas.openxmlformats.org/officeDocument/2006/relationships/hyperlink" Target="http://www.sec.gov/Archives/edgar/data/1520006/000152000616000245/mtdr10-k12312015ex1053.htm" TargetMode="External"/><Relationship Id="rId151" Type="http://schemas.openxmlformats.org/officeDocument/2006/relationships/hyperlink" Target="http://www.sec.gov/Archives/edgar/data/1520006/000152000616000245/mtdr10-k12312015ex1054.htm" TargetMode="External"/><Relationship Id="rId152" Type="http://schemas.openxmlformats.org/officeDocument/2006/relationships/hyperlink" Target="http://www.sec.gov/Archives/edgar/data/1520006/000152000617000074/mtdr10-k12312016ex1063.htm" TargetMode="External"/><Relationship Id="rId153" Type="http://schemas.openxmlformats.org/officeDocument/2006/relationships/hyperlink" Target="http://www.sec.gov/Archives/edgar/data/1520006/000152000617000188/a20170630mtdr10q-exhibit104.htm" TargetMode="External"/><Relationship Id="rId154" Type="http://schemas.openxmlformats.org/officeDocument/2006/relationships/hyperlink" Target="http://www.sec.gov/Archives/edgar/data/1520006/000152000617000199/a20170930mtdr10q-exhibit103.htm" TargetMode="External"/><Relationship Id="rId155" Type="http://schemas.openxmlformats.org/officeDocument/2006/relationships/hyperlink" Target="http://www.sec.gov/Archives/edgar/data/1520006/000152000617000199/a20170930mtdr10q-exhibit104.htm" TargetMode="External"/><Relationship Id="rId156" Type="http://schemas.openxmlformats.org/officeDocument/2006/relationships/hyperlink" Target="http://www.sec.gov/Archives/edgar/data/1520006/000152000617000199/a20170930mtdr10q-exhibit105.htm" TargetMode="External"/><Relationship Id="rId157" Type="http://schemas.openxmlformats.org/officeDocument/2006/relationships/hyperlink" Target="http://www.sec.gov/Archives/edgar/data/1520006/000152000617000199/a20170930mtdr10q-exhibit106.htm" TargetMode="External"/><Relationship Id="rId158" Type="http://schemas.openxmlformats.org/officeDocument/2006/relationships/hyperlink" Target="http://www.sec.gov/Archives/edgar/data/1520006/000152000617000199/a20170930mtdr10q-exhibit107.htm" TargetMode="External"/><Relationship Id="rId159" Type="http://schemas.openxmlformats.org/officeDocument/2006/relationships/hyperlink" Target="http://www.sec.gov/Archives/edgar/data/1520006/000152000619000048/a20181231mtdr10-kex1067.htm" TargetMode="External"/><Relationship Id="rId160" Type="http://schemas.openxmlformats.org/officeDocument/2006/relationships/hyperlink" Target="http://www.sec.gov/Archives/edgar/data/1520006/000152000619000048/a20181231mtdr10-kex1068.htm" TargetMode="External"/><Relationship Id="rId161" Type="http://schemas.openxmlformats.org/officeDocument/2006/relationships/hyperlink" Target="http://www.sec.gov/Archives/edgar/data/1520006/000119312519167218/d760472dex991.htm" TargetMode="External"/><Relationship Id="rId162" Type="http://schemas.openxmlformats.org/officeDocument/2006/relationships/hyperlink" Target="http://www.sec.gov/Archives/edgar/data/1520006/000152000622000164/mtdrltipamendment-ex101.htm" TargetMode="External"/><Relationship Id="rId163" Type="http://schemas.openxmlformats.org/officeDocument/2006/relationships/hyperlink" Target="http://www.sec.gov/Archives/edgar/data/1520006/000152000619000115/a20190630mtdr10q-exhibit102.htm" TargetMode="External"/><Relationship Id="rId164" Type="http://schemas.openxmlformats.org/officeDocument/2006/relationships/hyperlink" Target="http://www.sec.gov/Archives/edgar/data/1520006/000152000619000115/a20190630mtdr10q-exhibit103.htm" TargetMode="External"/><Relationship Id="rId166" Type="http://schemas.openxmlformats.org/officeDocument/2006/relationships/hyperlink" Target="http://www.sec.gov/Archives/edgar/data/1520006/000152000620000140/a20200331mtdr10q-exhibit101.htm" TargetMode="External"/><Relationship Id="rId167" Type="http://schemas.openxmlformats.org/officeDocument/2006/relationships/hyperlink" Target="http://www.sec.gov/Archives/edgar/data/1520006/000152000620000140/a20200331mtdr10q-exhbit102.htm" TargetMode="External"/><Relationship Id="rId168" Type="http://schemas.openxmlformats.org/officeDocument/2006/relationships/hyperlink" Target="http://www.sec.gov/Archives/edgar/data/1520006/000152000622000065/a20211231mtdr10-kex1058.htm" TargetMode="External"/><Relationship Id="rId169" Type="http://schemas.openxmlformats.org/officeDocument/2006/relationships/hyperlink" Target="http://www.sec.gov/Archives/edgar/data/1520006/000152000622000065/a20211231mtdr10-kex1059.htm" TargetMode="External"/><Relationship Id="rId170" Type="http://schemas.openxmlformats.org/officeDocument/2006/relationships/hyperlink" Target="http://www.sec.gov/Archives/edgar/data/1520006/000152000622000065/a20211231mtdr10-kex1060.htm" TargetMode="External"/><Relationship Id="rId171" Type="http://schemas.openxmlformats.org/officeDocument/2006/relationships/hyperlink" Target="https://www.sec.gov/Archives/edgar/data/1520006/000152000621000056/a20201231mtdr10-kex1056.htm" TargetMode="External"/><Relationship Id="rId172" Type="http://schemas.openxmlformats.org/officeDocument/2006/relationships/hyperlink" Target="http://www.sec.gov/Archives/edgar/data/1520006/000152000622000164/mtdrespp-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2024-02-27T07:24:50Z</dcterms:created>
  <dcterms:modified xsi:type="dcterms:W3CDTF">2024-02-27T07:24:50Z</dcterms:modified>
</cp:coreProperties>
</file>