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 </w:t>
      </w:r>
    </w:p>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001-35410 </w:t>
      </w:r>
    </w:p>
    <w:p>
      <w:pPr>
        <w:pStyle w:val="TextBody"/>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  </w:t>
      </w:r>
    </w:p>
    <w:p>
      <w:pPr>
        <w:pStyle w:val="TextBody"/>
        <w:spacing w:lineRule="auto" w:line="21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w:t>
      </w:r>
      <w:r>
        <w:rPr>
          <w:color w:val="000000"/>
        </w:rPr>
        <w:t> </w:t>
      </w:r>
    </w:p>
    <w:tbl>
      <w:tblPr>
        <w:tblW w:w="4409" w:type="dxa"/>
        <w:jc w:val="center"/>
        <w:tblInd w:w="0" w:type="dxa"/>
        <w:tblCellMar>
          <w:top w:w="28" w:type="dxa"/>
          <w:left w:w="28" w:type="dxa"/>
          <w:bottom w:w="28" w:type="dxa"/>
          <w:right w:w="28" w:type="dxa"/>
        </w:tblCellMar>
      </w:tblPr>
      <w:tblGrid>
        <w:gridCol w:w="1055"/>
        <w:gridCol w:w="930"/>
        <w:gridCol w:w="940"/>
        <w:gridCol w:w="433"/>
        <w:gridCol w:w="433"/>
        <w:gridCol w:w="618"/>
      </w:tblGrid>
      <w:tr>
        <w:trPr/>
        <w:tc>
          <w:tcPr>
            <w:tcW w:w="1055"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LBJ Freeway, Suite 1500</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Dallas, Texas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80" w:after="283"/>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spacing w:lineRule="auto" w:line="288" w:before="18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spacing w:lineRule="auto" w:line="288" w:before="18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80" w:after="283"/>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spacing w:lineRule="auto" w:line="288" w:before="180" w:after="283"/>
        <w:rPr/>
      </w:pPr>
      <w:r>
        <w:rPr>
          <w:rFonts w:ascii="Times New Roman;sans-serif" w:hAnsi="Times New Roman;sans-serif"/>
          <w:b w:val="false"/>
          <w:color w:val="000000"/>
          <w:sz w:val="18"/>
        </w:rPr>
        <w:t xml:space="preserve">As of April 25, 2023, there were 119,184,414 shares of the registrant’s common </w:t>
      </w:r>
      <w:r>
        <w:rPr>
          <w:rFonts w:ascii="Times New Roman;sans-serif" w:hAnsi="Times New Roman;sans-serif"/>
          <w:b w:val="false"/>
          <w:color w:val="000000"/>
          <w:sz w:val="18"/>
          <w:highlight w:val="white"/>
        </w:rPr>
        <w:t>s</w:t>
      </w:r>
      <w:r>
        <w:rPr>
          <w:rFonts w:ascii="Times New Roman;sans-serif" w:hAnsi="Times New Roman;sans-serif"/>
          <w:b w:val="false"/>
          <w:color w:val="000000"/>
          <w:sz w:val="18"/>
        </w:rPr>
        <w:t>tock, par value $0.01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2023</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499"/>
        <w:gridCol w:w="3079"/>
        <w:gridCol w:w="3085"/>
        <w:gridCol w:w="158"/>
        <w:gridCol w:w="158"/>
        <w:gridCol w:w="226"/>
      </w:tblGrid>
      <w:tr>
        <w:trPr/>
        <w:tc>
          <w:tcPr>
            <w:tcW w:w="3499" w:type="dxa"/>
            <w:tcBorders/>
            <w:shd w:fill="auto" w:val="clear"/>
            <w:vAlign w:val="center"/>
          </w:tcPr>
          <w:p>
            <w:pPr>
              <w:pStyle w:val="TableContents"/>
              <w:spacing w:before="0" w:after="283"/>
              <w:rPr>
                <w:sz w:val="4"/>
                <w:szCs w:val="4"/>
              </w:rPr>
            </w:pPr>
            <w:r>
              <w:rPr>
                <w:sz w:val="4"/>
                <w:szCs w:val="4"/>
              </w:rPr>
            </w:r>
          </w:p>
        </w:tc>
        <w:tc>
          <w:tcPr>
            <w:tcW w:w="3079" w:type="dxa"/>
            <w:tcBorders/>
            <w:shd w:fill="auto" w:val="clear"/>
            <w:vAlign w:val="center"/>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0">
              <w:r>
                <w:rPr>
                  <w:rStyle w:val="InternetLink"/>
                  <w:rFonts w:ascii="Times New Roman;sans-serif" w:hAnsi="Times New Roman;sans-serif"/>
                  <w:b w:val="false"/>
                  <w:color w:val="0000FF"/>
                  <w:sz w:val="20"/>
                  <w:u w:val="single"/>
                </w:rPr>
                <w:t>PART I — FINANCIAL INFORMATION</w:t>
              </w:r>
            </w:hyperlink>
          </w:p>
        </w:tc>
        <w:tc>
          <w:tcPr>
            <w:tcW w:w="5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7db65d7b91844090994edbc139f55d97_10">
              <w:r>
                <w:rPr>
                  <w:rStyle w:val="InternetLink"/>
                  <w:rFonts w:ascii="Times New Roman;sans-serif" w:hAnsi="Times New Roman;sans-serif"/>
                  <w:b w:val="false"/>
                  <w:color w:val="0000FF"/>
                  <w:sz w:val="20"/>
                  <w:u w:val="single"/>
                </w:rPr>
                <w:t>3</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3">
              <w:r>
                <w:rPr>
                  <w:rStyle w:val="InternetLink"/>
                  <w:rFonts w:ascii="Times New Roman;sans-serif" w:hAnsi="Times New Roman;sans-serif"/>
                  <w:b w:val="false"/>
                  <w:color w:val="0000FF"/>
                  <w:sz w:val="20"/>
                  <w:u w:val="single"/>
                </w:rPr>
                <w:t>Item 1. Financial Statements — Unaudited</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3">
              <w:r>
                <w:rPr>
                  <w:rStyle w:val="InternetLink"/>
                  <w:rFonts w:ascii="Times New Roman;sans-serif" w:hAnsi="Times New Roman;sans-serif"/>
                  <w:b w:val="false"/>
                  <w:color w:val="0000FF"/>
                  <w:sz w:val="20"/>
                  <w:u w:val="single"/>
                </w:rPr>
                <w:t>3</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6">
              <w:r>
                <w:rPr>
                  <w:rStyle w:val="InternetLink"/>
                  <w:rFonts w:ascii="Times New Roman;sans-serif" w:hAnsi="Times New Roman;sans-serif"/>
                  <w:b w:val="false"/>
                  <w:color w:val="0000FF"/>
                  <w:sz w:val="20"/>
                  <w:u w:val="single"/>
                </w:rPr>
                <w:t>Condensed Consolidated Balance Sheets at March 31, 2023 and December 31, 2022</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6">
              <w:r>
                <w:rPr>
                  <w:rStyle w:val="InternetLink"/>
                  <w:rFonts w:ascii="Times New Roman;sans-serif" w:hAnsi="Times New Roman;sans-serif"/>
                  <w:b w:val="false"/>
                  <w:color w:val="0000FF"/>
                  <w:sz w:val="20"/>
                  <w:u w:val="single"/>
                </w:rPr>
                <w:t>3</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22">
              <w:r>
                <w:rPr>
                  <w:rStyle w:val="InternetLink"/>
                  <w:rFonts w:ascii="Times New Roman;sans-serif" w:hAnsi="Times New Roman;sans-serif"/>
                  <w:b w:val="false"/>
                  <w:color w:val="0000FF"/>
                  <w:sz w:val="20"/>
                  <w:u w:val="single"/>
                </w:rPr>
                <w:t>Condensed Consolidated Statements of Operations for the Three Months Ended March 31, 2023 and 2022</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22">
              <w:r>
                <w:rPr>
                  <w:rStyle w:val="InternetLink"/>
                  <w:rFonts w:ascii="Times New Roman;sans-serif" w:hAnsi="Times New Roman;sans-serif"/>
                  <w:b w:val="false"/>
                  <w:color w:val="0000FF"/>
                  <w:sz w:val="20"/>
                  <w:u w:val="single"/>
                </w:rPr>
                <w:t>4</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25">
              <w:r>
                <w:rPr>
                  <w:rStyle w:val="InternetLink"/>
                  <w:rFonts w:ascii="Times New Roman;sans-serif" w:hAnsi="Times New Roman;sans-serif"/>
                  <w:b w:val="false"/>
                  <w:color w:val="0000FF"/>
                  <w:sz w:val="20"/>
                  <w:u w:val="single"/>
                </w:rPr>
                <w:t>Condensed Consolidated Statements of Changes in Shareholders’ Equity for the Three Months Ended March 31, 2023 and 2022</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25">
              <w:r>
                <w:rPr>
                  <w:rStyle w:val="InternetLink"/>
                  <w:rFonts w:ascii="Times New Roman;sans-serif" w:hAnsi="Times New Roman;sans-serif"/>
                  <w:b w:val="false"/>
                  <w:color w:val="0000FF"/>
                  <w:sz w:val="20"/>
                  <w:u w:val="single"/>
                </w:rPr>
                <w:t>5</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31">
              <w:r>
                <w:rPr>
                  <w:rStyle w:val="InternetLink"/>
                  <w:rFonts w:ascii="Times New Roman;sans-serif" w:hAnsi="Times New Roman;sans-serif"/>
                  <w:b w:val="false"/>
                  <w:color w:val="0000FF"/>
                  <w:sz w:val="20"/>
                  <w:u w:val="single"/>
                </w:rPr>
                <w:t>Condensed Consolidated Statements of Cash Flows for the Three Months Ended March 31, 2023 and 2022</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31">
              <w:r>
                <w:rPr>
                  <w:rStyle w:val="InternetLink"/>
                  <w:rFonts w:ascii="Times New Roman;sans-serif" w:hAnsi="Times New Roman;sans-serif"/>
                  <w:b w:val="false"/>
                  <w:color w:val="0000FF"/>
                  <w:sz w:val="20"/>
                  <w:u w:val="single"/>
                </w:rPr>
                <w:t>7</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34">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37">
              <w:r>
                <w:rPr>
                  <w:rStyle w:val="InternetLink"/>
                  <w:rFonts w:ascii="Times New Roman;sans-serif" w:hAnsi="Times New Roman;sans-serif"/>
                  <w:b w:val="false"/>
                  <w:color w:val="0000FF"/>
                  <w:sz w:val="20"/>
                  <w:u w:val="single"/>
                </w:rPr>
                <w:t>8</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9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97">
              <w:r>
                <w:rPr>
                  <w:rStyle w:val="InternetLink"/>
                  <w:rFonts w:ascii="Times New Roman;sans-serif" w:hAnsi="Times New Roman;sans-serif"/>
                  <w:b w:val="false"/>
                  <w:color w:val="0000FF"/>
                  <w:sz w:val="20"/>
                  <w:u w:val="single"/>
                </w:rPr>
                <w:t>19</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42">
              <w:r>
                <w:rPr>
                  <w:rStyle w:val="InternetLink"/>
                  <w:rFonts w:ascii="Times New Roman;sans-serif" w:hAnsi="Times New Roman;sans-serif"/>
                  <w:b w:val="false"/>
                  <w:color w:val="0000FF"/>
                  <w:sz w:val="20"/>
                  <w:u w:val="single"/>
                </w:rPr>
                <w:t>Item 3. Quantitative and Qualitative Disclosures About Market Risk</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42">
              <w:r>
                <w:rPr>
                  <w:rStyle w:val="InternetLink"/>
                  <w:rFonts w:ascii="Times New Roman;sans-serif" w:hAnsi="Times New Roman;sans-serif"/>
                  <w:b w:val="false"/>
                  <w:color w:val="0000FF"/>
                  <w:sz w:val="20"/>
                  <w:u w:val="single"/>
                </w:rPr>
                <w:t>35</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45">
              <w:r>
                <w:rPr>
                  <w:rStyle w:val="InternetLink"/>
                  <w:rFonts w:ascii="Times New Roman;sans-serif" w:hAnsi="Times New Roman;sans-serif"/>
                  <w:b w:val="false"/>
                  <w:color w:val="0000FF"/>
                  <w:sz w:val="20"/>
                  <w:u w:val="single"/>
                </w:rPr>
                <w:t>Item 4. Controls and Procedures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45">
              <w:r>
                <w:rPr>
                  <w:rStyle w:val="InternetLink"/>
                  <w:rFonts w:ascii="Times New Roman;sans-serif" w:hAnsi="Times New Roman;sans-serif"/>
                  <w:b w:val="false"/>
                  <w:color w:val="0000FF"/>
                  <w:sz w:val="20"/>
                  <w:u w:val="single"/>
                </w:rPr>
                <w:t>36</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48">
              <w:r>
                <w:rPr>
                  <w:rStyle w:val="InternetLink"/>
                  <w:rFonts w:ascii="Times New Roman;sans-serif" w:hAnsi="Times New Roman;sans-serif"/>
                  <w:b w:val="false"/>
                  <w:color w:val="0000FF"/>
                  <w:sz w:val="20"/>
                  <w:u w:val="single"/>
                </w:rPr>
                <w:t>PART II — OTHER INFORMATION</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48">
              <w:r>
                <w:rPr>
                  <w:rStyle w:val="InternetLink"/>
                  <w:rFonts w:ascii="Times New Roman;sans-serif" w:hAnsi="Times New Roman;sans-serif"/>
                  <w:b w:val="false"/>
                  <w:color w:val="0000FF"/>
                  <w:sz w:val="20"/>
                  <w:u w:val="single"/>
                </w:rPr>
                <w:t>37</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51">
              <w:r>
                <w:rPr>
                  <w:rStyle w:val="InternetLink"/>
                  <w:rFonts w:ascii="Times New Roman;sans-serif" w:hAnsi="Times New Roman;sans-serif"/>
                  <w:b w:val="false"/>
                  <w:color w:val="0000FF"/>
                  <w:sz w:val="20"/>
                  <w:u w:val="single"/>
                </w:rPr>
                <w:t>Item 1. Legal Proceedings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51">
              <w:r>
                <w:rPr>
                  <w:rStyle w:val="InternetLink"/>
                  <w:rFonts w:ascii="Times New Roman;sans-serif" w:hAnsi="Times New Roman;sans-serif"/>
                  <w:b w:val="false"/>
                  <w:color w:val="0000FF"/>
                  <w:sz w:val="20"/>
                  <w:u w:val="single"/>
                </w:rPr>
                <w:t>37</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54">
              <w:r>
                <w:rPr>
                  <w:rStyle w:val="InternetLink"/>
                  <w:rFonts w:ascii="Times New Roman;sans-serif" w:hAnsi="Times New Roman;sans-serif"/>
                  <w:b w:val="false"/>
                  <w:color w:val="0000FF"/>
                  <w:sz w:val="20"/>
                  <w:u w:val="single"/>
                </w:rPr>
                <w:t>Item 1A. Risk Factors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54">
              <w:r>
                <w:rPr>
                  <w:rStyle w:val="InternetLink"/>
                  <w:rFonts w:ascii="Times New Roman;sans-serif" w:hAnsi="Times New Roman;sans-serif"/>
                  <w:b w:val="false"/>
                  <w:color w:val="0000FF"/>
                  <w:sz w:val="20"/>
                  <w:u w:val="single"/>
                </w:rPr>
                <w:t>37</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57">
              <w:r>
                <w:rPr>
                  <w:rStyle w:val="InternetLink"/>
                </w:rPr>
                <w:t>Item 2.</w:t>
              </w:r>
            </w:hyperlink>
            <w:hyperlink w:anchor="i7db65d7b91844090994edbc139f55d97_157">
              <w:r>
                <w:rPr>
                  <w:rStyle w:val="InternetLink"/>
                </w:rPr>
                <w:t xml:space="preserve"> </w:t>
              </w:r>
            </w:hyperlink>
            <w:hyperlink w:anchor="i7db65d7b91844090994edbc139f55d97_157">
              <w:r>
                <w:rPr>
                  <w:rStyle w:val="InternetLink"/>
                </w:rPr>
                <w:t>Repurchase of Equity by</w:t>
              </w:r>
            </w:hyperlink>
            <w:hyperlink w:anchor="i7db65d7b91844090994edbc139f55d97_157">
              <w:r>
                <w:rPr>
                  <w:rStyle w:val="InternetLink"/>
                </w:rPr>
                <w:t xml:space="preserve"> the Company or A</w:t>
              </w:r>
            </w:hyperlink>
            <w:hyperlink w:anchor="i7db65d7b91844090994edbc139f55d97_157">
              <w:r>
                <w:rPr>
                  <w:rStyle w:val="InternetLink"/>
                </w:rPr>
                <w:t>f</w:t>
              </w:r>
            </w:hyperlink>
            <w:hyperlink w:anchor="i7db65d7b91844090994edbc139f55d97_157">
              <w:r>
                <w:rPr>
                  <w:rStyle w:val="InternetLink"/>
                </w:rPr>
                <w:t>filiates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57">
              <w:r>
                <w:rPr>
                  <w:rStyle w:val="InternetLink"/>
                  <w:rFonts w:ascii="Times New Roman;sans-serif" w:hAnsi="Times New Roman;sans-serif"/>
                  <w:b w:val="false"/>
                  <w:color w:val="0000FF"/>
                  <w:sz w:val="20"/>
                  <w:u w:val="single"/>
                </w:rPr>
                <w:t>37</w:t>
              </w:r>
            </w:hyperlink>
          </w:p>
        </w:tc>
      </w:tr>
      <w:tr>
        <w:trPr/>
        <w:tc>
          <w:tcPr>
            <w:tcW w:w="9663" w:type="dxa"/>
            <w:gridSpan w:val="3"/>
            <w:tcBorders/>
            <w:shd w:fill="auto" w:val="clear"/>
            <w:vAlign w:val="center"/>
          </w:tcPr>
          <w:p>
            <w:pPr>
              <w:pStyle w:val="TableContents"/>
              <w:spacing w:before="0" w:after="283"/>
              <w:rPr>
                <w:sz w:val="4"/>
                <w:szCs w:val="4"/>
              </w:rPr>
            </w:pPr>
            <w:r>
              <w:rPr>
                <w:sz w:val="4"/>
                <w:szCs w:val="4"/>
              </w:rPr>
            </w:r>
          </w:p>
        </w:tc>
        <w:tc>
          <w:tcPr>
            <w:tcW w:w="542" w:type="dxa"/>
            <w:gridSpan w:val="3"/>
            <w:tcBorders/>
            <w:shd w:fill="auto" w:val="clear"/>
            <w:vAlign w:val="center"/>
          </w:tcPr>
          <w:p>
            <w:pPr>
              <w:pStyle w:val="TableContents"/>
              <w:spacing w:before="0" w:after="283"/>
              <w:rPr>
                <w:sz w:val="4"/>
                <w:szCs w:val="4"/>
              </w:rPr>
            </w:pPr>
            <w:r>
              <w:rPr>
                <w:sz w:val="4"/>
                <w:szCs w:val="4"/>
              </w:rPr>
            </w:r>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63">
              <w:r>
                <w:rPr>
                  <w:rStyle w:val="InternetLink"/>
                  <w:rFonts w:ascii="Times New Roman;sans-serif" w:hAnsi="Times New Roman;sans-serif"/>
                  <w:b w:val="false"/>
                  <w:color w:val="0000FF"/>
                  <w:sz w:val="20"/>
                  <w:u w:val="single"/>
                </w:rPr>
                <w:t>Item 6. Exhibits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63">
              <w:r>
                <w:rPr>
                  <w:rStyle w:val="InternetLink"/>
                  <w:rFonts w:ascii="Times New Roman;sans-serif" w:hAnsi="Times New Roman;sans-serif"/>
                  <w:b w:val="false"/>
                  <w:color w:val="0000FF"/>
                  <w:sz w:val="20"/>
                  <w:u w:val="single"/>
                </w:rPr>
                <w:t>38</w:t>
              </w:r>
            </w:hyperlink>
          </w:p>
        </w:tc>
      </w:tr>
      <w:tr>
        <w:trPr/>
        <w:tc>
          <w:tcPr>
            <w:tcW w:w="9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b65d7b91844090994edbc139f55d97_166">
              <w:r>
                <w:rPr>
                  <w:rStyle w:val="InternetLink"/>
                  <w:rFonts w:ascii="Times New Roman;sans-serif" w:hAnsi="Times New Roman;sans-serif"/>
                  <w:b w:val="false"/>
                  <w:color w:val="0000FF"/>
                  <w:sz w:val="20"/>
                  <w:u w:val="single"/>
                </w:rPr>
                <w:t>SIGNATURES</w:t>
              </w:r>
            </w:hyperlink>
          </w:p>
        </w:tc>
        <w:tc>
          <w:tcPr>
            <w:tcW w:w="5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b65d7b91844090994edbc139f55d97_166">
              <w:r>
                <w:rPr>
                  <w:rStyle w:val="InternetLink"/>
                  <w:rFonts w:ascii="Times New Roman;sans-serif" w:hAnsi="Times New Roman;sans-serif"/>
                  <w:b w:val="false"/>
                  <w:color w:val="0000FF"/>
                  <w:sz w:val="20"/>
                  <w:u w:val="single"/>
                </w:rPr>
                <w:t>39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Item 1. Financial Statements —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tbl>
      <w:tblPr>
        <w:tblW w:w="10205" w:type="dxa"/>
        <w:jc w:val="left"/>
        <w:tblInd w:w="0" w:type="dxa"/>
        <w:tblCellMar>
          <w:top w:w="28" w:type="dxa"/>
          <w:left w:w="28" w:type="dxa"/>
          <w:bottom w:w="28" w:type="dxa"/>
          <w:right w:w="28" w:type="dxa"/>
        </w:tblCellMar>
      </w:tblPr>
      <w:tblGrid>
        <w:gridCol w:w="2775"/>
        <w:gridCol w:w="2342"/>
        <w:gridCol w:w="2363"/>
        <w:gridCol w:w="196"/>
        <w:gridCol w:w="871"/>
        <w:gridCol w:w="109"/>
        <w:gridCol w:w="109"/>
        <w:gridCol w:w="109"/>
        <w:gridCol w:w="109"/>
        <w:gridCol w:w="196"/>
        <w:gridCol w:w="871"/>
        <w:gridCol w:w="155"/>
      </w:tblGrid>
      <w:tr>
        <w:trPr/>
        <w:tc>
          <w:tcPr>
            <w:tcW w:w="2775" w:type="dxa"/>
            <w:tcBorders/>
            <w:shd w:fill="auto" w:val="clear"/>
            <w:vAlign w:val="center"/>
          </w:tcPr>
          <w:p>
            <w:pPr>
              <w:pStyle w:val="TableContents"/>
              <w:spacing w:before="0" w:after="283"/>
              <w:rPr>
                <w:sz w:val="4"/>
                <w:szCs w:val="4"/>
              </w:rPr>
            </w:pPr>
            <w:r>
              <w:rPr>
                <w:sz w:val="4"/>
                <w:szCs w:val="4"/>
              </w:rPr>
            </w:r>
          </w:p>
        </w:tc>
        <w:tc>
          <w:tcPr>
            <w:tcW w:w="2342" w:type="dxa"/>
            <w:tcBorders/>
            <w:shd w:fill="auto" w:val="clear"/>
            <w:vAlign w:val="center"/>
          </w:tcPr>
          <w:p>
            <w:pPr>
              <w:pStyle w:val="TableContents"/>
              <w:spacing w:before="0" w:after="283"/>
              <w:rPr>
                <w:sz w:val="4"/>
                <w:szCs w:val="4"/>
              </w:rPr>
            </w:pPr>
            <w:r>
              <w:rPr>
                <w:sz w:val="4"/>
                <w:szCs w:val="4"/>
              </w:rPr>
            </w:r>
          </w:p>
        </w:tc>
        <w:tc>
          <w:tcPr>
            <w:tcW w:w="23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505,179 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1,071,832 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7,168,997 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6,862,455 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977,502 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1,057,668 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(4,638,600)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(4,512,275)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4,706,156 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4,418,197 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5,554,505 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575,873 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1,661,541 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9)</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16"/>
              </w:rPr>
              <w:t xml:space="preserve">Common stock - $0.01 par value, 160,000,000 shares authorized; 119,232,002 and 118,953,381 shares issued;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16"/>
              </w:rPr>
              <w:t>and 119,205,783 and 118,948,624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26,219 and 4,757 shares,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5,782,105 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5,554,505 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31745"/>
                <wp:effectExtent l="0" t="0" r="0" b="0"/>
                <wp:wrapNone/>
                <wp:docPr id="3" name="Frame3"/>
                <a:graphic xmlns:a="http://schemas.openxmlformats.org/drawingml/2006/main">
                  <a:graphicData uri="http://schemas.microsoft.com/office/word/2010/wordprocessingShape">
                    <wps:wsp>
                      <wps:cNvSpPr txBox="1"/>
                      <wps:spPr>
                        <a:xfrm>
                          <a:off x="0" y="0"/>
                          <a:ext cx="6480175" cy="2531745"/>
                        </a:xfrm>
                        <a:prstGeom prst="rect"/>
                      </wps:spPr>
                      <wps:txbx>
                        <w:txbxContent>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8860" w:type="dxa"/>
        <w:jc w:val="left"/>
        <w:tblInd w:w="0" w:type="dxa"/>
        <w:tblCellMar>
          <w:top w:w="28" w:type="dxa"/>
          <w:left w:w="28" w:type="dxa"/>
          <w:bottom w:w="28" w:type="dxa"/>
          <w:right w:w="28" w:type="dxa"/>
        </w:tblCellMar>
      </w:tblPr>
      <w:tblGrid>
        <w:gridCol w:w="2088"/>
        <w:gridCol w:w="1830"/>
        <w:gridCol w:w="1842"/>
        <w:gridCol w:w="211"/>
        <w:gridCol w:w="826"/>
        <w:gridCol w:w="109"/>
        <w:gridCol w:w="109"/>
        <w:gridCol w:w="109"/>
        <w:gridCol w:w="109"/>
        <w:gridCol w:w="211"/>
        <w:gridCol w:w="826"/>
        <w:gridCol w:w="109"/>
        <w:gridCol w:w="109"/>
        <w:gridCol w:w="109"/>
        <w:gridCol w:w="109"/>
        <w:gridCol w:w="154"/>
      </w:tblGrid>
      <w:tr>
        <w:trPr/>
        <w:tc>
          <w:tcPr>
            <w:tcW w:w="2088"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impairment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180" w:after="283"/>
        <w:jc w:val="center"/>
        <w:rPr/>
      </w:pPr>
      <w:r>
        <w:rPr>
          <w:rFonts w:ascii="Times New Roman;sans-serif" w:hAnsi="Times New Roman;sans-serif"/>
          <w:b/>
          <w:color w:val="000000"/>
          <w:sz w:val="20"/>
        </w:rPr>
        <w:t>For the Three Months Ended March 31, 2023</w:t>
      </w:r>
      <w:r>
        <w:rPr>
          <w:color w:val="000000"/>
        </w:rPr>
        <w:t xml:space="preserve"> </w:t>
      </w:r>
    </w:p>
    <w:tbl>
      <w:tblPr>
        <w:tblW w:w="14881" w:type="dxa"/>
        <w:jc w:val="left"/>
        <w:tblInd w:w="0" w:type="dxa"/>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$3.1 million (see Note 6)</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w:t>
      </w:r>
    </w:p>
    <w:tbl>
      <w:tblPr>
        <w:tblW w:w="14626" w:type="dxa"/>
        <w:jc w:val="center"/>
        <w:tblInd w:w="0" w:type="dxa"/>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751"/>
        <w:gridCol w:w="109"/>
        <w:gridCol w:w="109"/>
        <w:gridCol w:w="109"/>
        <w:gridCol w:w="109"/>
        <w:gridCol w:w="203"/>
        <w:gridCol w:w="203"/>
        <w:gridCol w:w="196"/>
        <w:gridCol w:w="109"/>
        <w:gridCol w:w="109"/>
        <w:gridCol w:w="109"/>
        <w:gridCol w:w="196"/>
        <w:gridCol w:w="436"/>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($0.05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$4.8 million (see Note 6)</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(18,375)</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118,091 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218,864 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2,337,464 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821" w:type="dxa"/>
        <w:jc w:val="left"/>
        <w:tblInd w:w="0" w:type="dxa"/>
        <w:tblCellMar>
          <w:top w:w="28" w:type="dxa"/>
          <w:left w:w="28" w:type="dxa"/>
          <w:bottom w:w="28" w:type="dxa"/>
          <w:right w:w="28" w:type="dxa"/>
        </w:tblCellMar>
      </w:tblPr>
      <w:tblGrid>
        <w:gridCol w:w="2229"/>
        <w:gridCol w:w="1958"/>
        <w:gridCol w:w="1962"/>
        <w:gridCol w:w="196"/>
        <w:gridCol w:w="736"/>
        <w:gridCol w:w="109"/>
        <w:gridCol w:w="109"/>
        <w:gridCol w:w="109"/>
        <w:gridCol w:w="109"/>
        <w:gridCol w:w="196"/>
        <w:gridCol w:w="736"/>
        <w:gridCol w:w="109"/>
        <w:gridCol w:w="109"/>
        <w:gridCol w:w="154"/>
      </w:tblGrid>
      <w:tr>
        <w:trPr/>
        <w:tc>
          <w:tcPr>
            <w:tcW w:w="2229"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 and other debt-related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amend credit facilities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(Note 10)</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wps:spPr>
                      <wps:txb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 — NATURE OF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Interim Financial Statements, Basis of Presentation, Consolidation and Significant Estimates</w:t>
      </w:r>
    </w:p>
    <w:p>
      <w:pPr>
        <w:pStyle w:val="TextBody"/>
        <w:spacing w:lineRule="auto" w:line="288" w:before="120" w:after="283"/>
        <w:ind w:left="0" w:right="0" w:firstLine="495"/>
        <w:rPr/>
      </w:pPr>
      <w:r>
        <w:rPr>
          <w:rFonts w:ascii="Times New Roman;sans-serif" w:hAnsi="Times New Roman;sans-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2022 filed with the SEC on March 1, 2023 (the “Annual Report”). The Company consolidates certain subsidiaries and joint ventures that are less than wholly-owned and are not involved in oil and natural gas exploration, including its midstream joint venture, San Mateo Midstream, LLC (collectively with its subsidiaries, “San Mateo”), and the net income and equity attributable to the non-controlling interest in these subsidiaries have been reported separately as required by Accounting Standards Codification,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xml:space="preserve">.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2023. Amounts as of December 31, 2022 are derived from the Company’s audited consolidated financial statements included in the Annual Report.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three months ended March 31, 2023 and 2022 (in thousands).</w:t>
      </w:r>
    </w:p>
    <w:tbl>
      <w:tblPr>
        <w:tblW w:w="6475" w:type="dxa"/>
        <w:jc w:val="left"/>
        <w:tblInd w:w="0" w:type="dxa"/>
        <w:tblCellMar>
          <w:top w:w="28" w:type="dxa"/>
          <w:left w:w="28" w:type="dxa"/>
          <w:bottom w:w="28" w:type="dxa"/>
          <w:right w:w="28" w:type="dxa"/>
        </w:tblCellMar>
      </w:tblPr>
      <w:tblGrid>
        <w:gridCol w:w="1222"/>
        <w:gridCol w:w="1073"/>
        <w:gridCol w:w="1080"/>
        <w:gridCol w:w="211"/>
        <w:gridCol w:w="826"/>
        <w:gridCol w:w="109"/>
        <w:gridCol w:w="109"/>
        <w:gridCol w:w="109"/>
        <w:gridCol w:w="109"/>
        <w:gridCol w:w="211"/>
        <w:gridCol w:w="826"/>
        <w:gridCol w:w="109"/>
        <w:gridCol w:w="109"/>
        <w:gridCol w:w="109"/>
        <w:gridCol w:w="109"/>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879" w:type="dxa"/>
        <w:jc w:val="left"/>
        <w:tblInd w:w="0" w:type="dxa"/>
        <w:tblCellMar>
          <w:top w:w="28" w:type="dxa"/>
          <w:left w:w="28" w:type="dxa"/>
          <w:bottom w:w="28" w:type="dxa"/>
          <w:right w:w="28" w:type="dxa"/>
        </w:tblCellMar>
      </w:tblPr>
      <w:tblGrid>
        <w:gridCol w:w="1368"/>
        <w:gridCol w:w="1204"/>
        <w:gridCol w:w="1207"/>
        <w:gridCol w:w="211"/>
        <w:gridCol w:w="826"/>
        <w:gridCol w:w="109"/>
        <w:gridCol w:w="109"/>
        <w:gridCol w:w="109"/>
        <w:gridCol w:w="109"/>
        <w:gridCol w:w="211"/>
        <w:gridCol w:w="826"/>
        <w:gridCol w:w="109"/>
        <w:gridCol w:w="109"/>
        <w:gridCol w:w="109"/>
        <w:gridCol w:w="109"/>
        <w:gridCol w:w="154"/>
      </w:tblGrid>
      <w:tr>
        <w:trPr/>
        <w:tc>
          <w:tcPr>
            <w:tcW w:w="1368"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and Equipment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months ended March 31, 2023 and 2022, the cost center ceiling was higher than the capitalized costs of oil and natural gas properties, and, as a result, no impairment charge was necessary.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approximately $12.6 million and $13.2 million of its general and administrative costs for the three months ended March 31, 2023 and 2022, respectively. The Company capitalized approximately $3.4 million and $3.5 million of its interest expense for the three months ended March 31, 2023 and 2022, respectively.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diluted weighted average common shares outstanding for the three months ended March 31, 2023 and 2022 (in thousands).</w:t>
      </w:r>
    </w:p>
    <w:tbl>
      <w:tblPr>
        <w:tblW w:w="7757" w:type="dxa"/>
        <w:jc w:val="left"/>
        <w:tblInd w:w="0" w:type="dxa"/>
        <w:tblCellMar>
          <w:top w:w="28" w:type="dxa"/>
          <w:left w:w="28" w:type="dxa"/>
          <w:bottom w:w="28" w:type="dxa"/>
          <w:right w:w="28" w:type="dxa"/>
        </w:tblCellMar>
      </w:tblPr>
      <w:tblGrid>
        <w:gridCol w:w="1652"/>
        <w:gridCol w:w="1452"/>
        <w:gridCol w:w="1455"/>
        <w:gridCol w:w="421"/>
        <w:gridCol w:w="405"/>
        <w:gridCol w:w="213"/>
        <w:gridCol w:w="213"/>
        <w:gridCol w:w="213"/>
        <w:gridCol w:w="213"/>
        <w:gridCol w:w="421"/>
        <w:gridCol w:w="405"/>
        <w:gridCol w:w="213"/>
        <w:gridCol w:w="109"/>
        <w:gridCol w:w="109"/>
        <w:gridCol w:w="109"/>
        <w:gridCol w:w="154"/>
      </w:tblGrid>
      <w:tr>
        <w:trPr/>
        <w:tc>
          <w:tcPr>
            <w:tcW w:w="1652"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59" w:type="dxa"/>
            <w:gridSpan w:val="3"/>
            <w:vMerge w:val="continue"/>
            <w:tcBorders/>
            <w:shd w:fill="auto" w:val="clear"/>
            <w:tcMar>
              <w:top w:w="0" w:type="dxa"/>
              <w:left w:w="0" w:type="dxa"/>
              <w:bottom w:w="0" w:type="dxa"/>
              <w:right w:w="0" w:type="dxa"/>
            </w:tcMar>
            <w:vAlign w:val="center"/>
          </w:tcPr>
          <w:p>
            <w:pPr>
              <w:pStyle w:val="Normal"/>
              <w:rPr/>
            </w:pPr>
            <w:r>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117,951 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3 — ASSET RETIREMENT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changes in the Company’s asset retirement obligations for the three months ended March 31, 2023 (in thousands). </w:t>
      </w:r>
    </w:p>
    <w:tbl>
      <w:tblPr>
        <w:tblW w:w="4686" w:type="dxa"/>
        <w:jc w:val="left"/>
        <w:tblInd w:w="0" w:type="dxa"/>
        <w:tblCellMar>
          <w:top w:w="28" w:type="dxa"/>
          <w:left w:w="28" w:type="dxa"/>
          <w:bottom w:w="28" w:type="dxa"/>
          <w:right w:w="28" w:type="dxa"/>
        </w:tblCellMar>
      </w:tblPr>
      <w:tblGrid>
        <w:gridCol w:w="1305"/>
        <w:gridCol w:w="1144"/>
        <w:gridCol w:w="1151"/>
        <w:gridCol w:w="211"/>
        <w:gridCol w:w="721"/>
        <w:gridCol w:w="154"/>
      </w:tblGrid>
      <w:tr>
        <w:trPr/>
        <w:tc>
          <w:tcPr>
            <w:tcW w:w="1305"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color w:val="000000"/>
        </w:rPr>
      </w:pPr>
      <w:r>
        <w:rPr>
          <w:color w:val="000000"/>
        </w:rPr>
        <w:t> </w:t>
      </w:r>
      <w:r>
        <w:rPr>
          <w:rFonts w:ascii="Times New Roman;sans-serif" w:hAnsi="Times New Roman;sans-serif"/>
          <w:b/>
          <w:color w:val="000000"/>
          <w:sz w:val="18"/>
        </w:rPr>
        <w:t>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interim unaudited condensed consolidated balance sheet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4 — DEBT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Company had (i) $699.2 million of outstanding senior notes due 2026 (the “2026 Notes”), (ii) no borrowings outstanding under its reserves-based revolving credit facility (the “Credit Agreement”) and (iii) approximately $45.4 million in outstanding letters of credit issued pursuant to the Credit Agreement. See Note 12 for a discussion of changes in the Company’s debt between March 31, 2023 and April 25, 2023.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San Mateo had $475.0 million in borrowings outstanding under its revolving credit facility (the “San Mateo Credit Facility”) and approximately $9.0 million in outstanding letters of credit issued pursuant to the San Mateo Credit Facility. Between March 31, 2023 and April 25, 2023, San Mateo repaid $20.0 million of borrowings under the San Mateo Credit Facility.</w:t>
      </w:r>
    </w:p>
    <w:p>
      <w:pPr>
        <w:pStyle w:val="TextBody"/>
        <w:spacing w:lineRule="auto" w:line="288" w:before="120" w:after="10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Agreements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spacing w:lineRule="auto" w:line="285"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On March 31, 2023, the lenders completed their review of the Company’s proved oil and natural gas reserves, and, as a result, the Company and its lenders entered into a Second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reaffirmation of the borrowing base constituted the regularly scheduled May 1 redetermination. The Credit Agreement matures October 31, 2026.</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The Company believes that it was in compliance with the terms of the Credit Agreement at March 31, 2023.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DEBT — Continued</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9, 2026 and lender commitments under the revolving credit facility were $485.0 million at March 31, 2023 (subject to San Mateo’s compliance with the covenants noted below). The San Mateo Credit Facility includes an accordion feature, which provides for potential increases in lender commitments of up to $735.0 million.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March 31, 2023.</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$699.2 million of outstanding 2026 Notes, which have a 5.875% coupon rate. The 2026 Notes mature September 15, 2026, and interest is payable on the 2026 Notes semi-annually in arrears on each March 15 and September 15. The 2026 Notes are jointly and severally guaranteed on a senior unsecured basis by certain subsidiaries of the Company (the “Guarantor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recorded a current income tax provision of $4.9 million and a deferred income tax provision of $51.7 million for the three months ended March 31, 2023. The Company recorded a current income tax provision of $15.4 million and a deferred income tax provision of $53.1 million for the three months ended March 31, 2022. The Company’s effective income tax rate of 26% and 25% for the three months ended March 31, 2023 and 2022, respectively, differed from the U.S. federal statutory rate due primarily to permanent differences between book and tax income and state taxes, primarily in New Mexico.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6 — EQUITY</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awards to certain of its employees of 90,000 service-based restricted stock units to be settled in cash, which are liability instruments, and 143,500 performance-based stock units and 133,000 service-based shares of restricted stock, which are equity instruments. The performance-based stock units vest in an amount between zero and 200% of the target units granted based on the Company’s relative total shareholder return over the three-year period ending December 31, 2025, as compared to a designated peer group. The service-based restricted stock and restricted stock units vest over a three-year period. The fair value of these awards was approximately $26.7 million on the grant date.</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(the “Board”) declared a quarterly cash dividend of $0.15 per share of common stock in February 2023. The dividend, which totaled $17.8 million, was paid on March 9, 2023 to shareholders of record as of February 27, 2023. In April 2023, the Board declared a quarterly cash dividend of $0.15 per share of common stock payable on June 1, 2023 to shareholders of record as of May 11, 2023.</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San Mateo Distributions and Contributions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San Mateo distributed $19.9 million to the Company and $19.1 million to a subsidiary of Five Point Energy LLC (“Five Point”), the Company’s joint venture partner in San Mateo. During the three months ended March 31, 2022, San Mateo distributed $19.1 million to the Company and $18.4 million to Five Point. During each of the three months ended March 31, 2023 and 2022, there were no contributions to San Mateo by either the Company or Five Point.</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EQUITY — Continued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Five Point paid to the Company $14.7 million and $22.8 million of performance incentives during the three months ended March 31, 2023 and 2022, respectively. These performance incentives are recorded when received, net of the $3.1 million and $4.8 million deferred tax impact to Matador for the three months ended March 31, 2023 and 2022, respectively, in “Additional paid-in capital” in the Company’s interim unaudited condensed consolidated balance sheets. These performance incentives for the three months ended March 31, 2023 and 2022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7 — 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one natural gas basis swap contract open and in place to mitigate its exposure to natural gas price volatility, with a specific term (calculation period), notional quantity (volume hedged) and fixed price. At March 31, 2023, the contract was set to expire during the fourth quarter of 2023. The Company had no open contracts associated with oil or natural gas liquids prices at March 31, 2023.</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swap contract at March 31, 2023.</w:t>
      </w:r>
    </w:p>
    <w:tbl>
      <w:tblPr>
        <w:tblW w:w="10005" w:type="dxa"/>
        <w:jc w:val="left"/>
        <w:tblInd w:w="0" w:type="dxa"/>
        <w:tblCellMar>
          <w:top w:w="28" w:type="dxa"/>
          <w:left w:w="28" w:type="dxa"/>
          <w:bottom w:w="28" w:type="dxa"/>
          <w:right w:w="28" w:type="dxa"/>
        </w:tblCellMar>
      </w:tblPr>
      <w:tblGrid>
        <w:gridCol w:w="560"/>
        <w:gridCol w:w="491"/>
        <w:gridCol w:w="494"/>
        <w:gridCol w:w="109"/>
        <w:gridCol w:w="109"/>
        <w:gridCol w:w="109"/>
        <w:gridCol w:w="724"/>
        <w:gridCol w:w="724"/>
        <w:gridCol w:w="727"/>
        <w:gridCol w:w="109"/>
        <w:gridCol w:w="109"/>
        <w:gridCol w:w="109"/>
        <w:gridCol w:w="819"/>
        <w:gridCol w:w="819"/>
        <w:gridCol w:w="822"/>
        <w:gridCol w:w="109"/>
        <w:gridCol w:w="109"/>
        <w:gridCol w:w="109"/>
        <w:gridCol w:w="280"/>
        <w:gridCol w:w="699"/>
        <w:gridCol w:w="145"/>
        <w:gridCol w:w="109"/>
        <w:gridCol w:w="109"/>
        <w:gridCol w:w="109"/>
        <w:gridCol w:w="211"/>
        <w:gridCol w:w="691"/>
        <w:gridCol w:w="491"/>
      </w:tblGrid>
      <w:tr>
        <w:trPr/>
        <w:tc>
          <w:tcPr>
            <w:tcW w:w="56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(MMBtu)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($/MMBtu)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04/01/2023 - 12/31/2023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13,750,000 </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404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swap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1720" w:type="dxa"/>
            <w:gridSpan w:val="6"/>
            <w:tcBorders/>
            <w:shd w:fill="auto" w:val="clea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DERIVATIVE FINANCIAL INSTRUMENTS — Continued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March 31, 2023 and December 31, 2022 (in thousands).</w:t>
      </w:r>
    </w:p>
    <w:tbl>
      <w:tblPr>
        <w:tblW w:w="9829" w:type="dxa"/>
        <w:jc w:val="left"/>
        <w:tblInd w:w="0" w:type="dxa"/>
        <w:tblCellMar>
          <w:top w:w="28" w:type="dxa"/>
          <w:left w:w="28" w:type="dxa"/>
          <w:bottom w:w="28" w:type="dxa"/>
          <w:right w:w="28" w:type="dxa"/>
        </w:tblCellMar>
      </w:tblPr>
      <w:tblGrid>
        <w:gridCol w:w="750"/>
        <w:gridCol w:w="658"/>
        <w:gridCol w:w="662"/>
        <w:gridCol w:w="109"/>
        <w:gridCol w:w="109"/>
        <w:gridCol w:w="109"/>
        <w:gridCol w:w="229"/>
        <w:gridCol w:w="691"/>
        <w:gridCol w:w="120"/>
        <w:gridCol w:w="109"/>
        <w:gridCol w:w="109"/>
        <w:gridCol w:w="109"/>
        <w:gridCol w:w="593"/>
        <w:gridCol w:w="1140"/>
        <w:gridCol w:w="307"/>
        <w:gridCol w:w="109"/>
        <w:gridCol w:w="109"/>
        <w:gridCol w:w="109"/>
        <w:gridCol w:w="761"/>
        <w:gridCol w:w="2279"/>
        <w:gridCol w:w="395"/>
        <w:gridCol w:w="109"/>
        <w:gridCol w:w="154"/>
      </w:tblGrid>
      <w:tr>
        <w:trPr/>
        <w:tc>
          <w:tcPr>
            <w:tcW w:w="750"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br/>
              <w:t>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w:t>
              <w:br/>
              <w:t>netted in the condensed</w:t>
              <w:br/>
              <w:t>consolidated</w:t>
              <w:br/>
              <w:t>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condensed</w:t>
              <w:br/>
              <w:t>consolidated</w:t>
              <w:br/>
              <w:t>balance sheets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3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3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and aggregate gain (loss) of all derivative financial instruments recorded in the interim unaudited condensed consolidated statements of operations for the periods presented (in thousands). </w:t>
      </w:r>
    </w:p>
    <w:tbl>
      <w:tblPr>
        <w:tblW w:w="9287" w:type="dxa"/>
        <w:jc w:val="left"/>
        <w:tblInd w:w="0" w:type="dxa"/>
        <w:tblCellMar>
          <w:top w:w="28" w:type="dxa"/>
          <w:left w:w="28" w:type="dxa"/>
          <w:bottom w:w="28" w:type="dxa"/>
          <w:right w:w="28" w:type="dxa"/>
        </w:tblCellMar>
      </w:tblPr>
      <w:tblGrid>
        <w:gridCol w:w="685"/>
        <w:gridCol w:w="600"/>
        <w:gridCol w:w="604"/>
        <w:gridCol w:w="109"/>
        <w:gridCol w:w="109"/>
        <w:gridCol w:w="109"/>
        <w:gridCol w:w="1269"/>
        <w:gridCol w:w="1269"/>
        <w:gridCol w:w="1271"/>
        <w:gridCol w:w="109"/>
        <w:gridCol w:w="109"/>
        <w:gridCol w:w="109"/>
        <w:gridCol w:w="211"/>
        <w:gridCol w:w="691"/>
        <w:gridCol w:w="109"/>
        <w:gridCol w:w="109"/>
        <w:gridCol w:w="109"/>
        <w:gridCol w:w="109"/>
        <w:gridCol w:w="211"/>
        <w:gridCol w:w="796"/>
        <w:gridCol w:w="109"/>
        <w:gridCol w:w="109"/>
        <w:gridCol w:w="109"/>
        <w:gridCol w:w="109"/>
        <w:gridCol w:w="154"/>
      </w:tblGrid>
      <w:tr>
        <w:trPr/>
        <w:tc>
          <w:tcPr>
            <w:tcW w:w="68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Condensed Consolidated </w:t>
              <w:br/>
              <w:t>Statement of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loss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8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25"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loss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8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2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8 — FAIR VALUE MEASUREMENTS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for identical, unrestricted assets or liabilities in active markets.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and non-financial assets and liabilities are classified based on the lowest level of input that is significant to the fair value measurement. The assessment of the significance of a particular input to the fair value measurement requires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jc w:val="center"/>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8 — FAIR VALUE MEASUREMENTS — Continued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judgment, which may affect the valuation of the fair value of assets and liabilities and their placement within the fair value hierarchy levels.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March 31, 2023 and December 31, 2022 (in thousands).</w:t>
      </w:r>
    </w:p>
    <w:tbl>
      <w:tblPr>
        <w:tblW w:w="6856" w:type="dxa"/>
        <w:jc w:val="left"/>
        <w:tblInd w:w="0" w:type="dxa"/>
        <w:tblCellMar>
          <w:top w:w="28" w:type="dxa"/>
          <w:left w:w="28" w:type="dxa"/>
          <w:bottom w:w="28" w:type="dxa"/>
          <w:right w:w="28" w:type="dxa"/>
        </w:tblCellMar>
      </w:tblPr>
      <w:tblGrid>
        <w:gridCol w:w="728"/>
        <w:gridCol w:w="639"/>
        <w:gridCol w:w="642"/>
        <w:gridCol w:w="109"/>
        <w:gridCol w:w="109"/>
        <w:gridCol w:w="109"/>
        <w:gridCol w:w="213"/>
        <w:gridCol w:w="411"/>
        <w:gridCol w:w="112"/>
        <w:gridCol w:w="109"/>
        <w:gridCol w:w="109"/>
        <w:gridCol w:w="109"/>
        <w:gridCol w:w="211"/>
        <w:gridCol w:w="691"/>
        <w:gridCol w:w="109"/>
        <w:gridCol w:w="109"/>
        <w:gridCol w:w="109"/>
        <w:gridCol w:w="109"/>
        <w:gridCol w:w="213"/>
        <w:gridCol w:w="411"/>
        <w:gridCol w:w="112"/>
        <w:gridCol w:w="109"/>
        <w:gridCol w:w="109"/>
        <w:gridCol w:w="109"/>
        <w:gridCol w:w="211"/>
        <w:gridCol w:w="691"/>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0"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spacing w:lineRule="auto" w:line="240" w:before="0" w:after="0"/>
              <w:jc w:val="center"/>
              <w:rPr>
                <w:color w:val="000000"/>
              </w:rPr>
            </w:pPr>
            <w:r>
              <w:rPr>
                <w:color w:val="000000"/>
              </w:rPr>
              <w:t> </w:t>
            </w:r>
            <w:r>
              <w:rPr>
                <w:rFonts w:ascii="Times New Roman;sans-serif" w:hAnsi="Times New Roman;sans-serif"/>
                <w:b/>
                <w:color w:val="000000"/>
                <w:sz w:val="20"/>
              </w:rPr>
              <w:t>March 31, 2023 using</w:t>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672" w:type="dxa"/>
        <w:jc w:val="left"/>
        <w:tblInd w:w="0" w:type="dxa"/>
        <w:tblCellMar>
          <w:top w:w="28" w:type="dxa"/>
          <w:left w:w="28" w:type="dxa"/>
          <w:bottom w:w="28" w:type="dxa"/>
          <w:right w:w="28" w:type="dxa"/>
        </w:tblCellMar>
      </w:tblPr>
      <w:tblGrid>
        <w:gridCol w:w="717"/>
        <w:gridCol w:w="630"/>
        <w:gridCol w:w="632"/>
        <w:gridCol w:w="109"/>
        <w:gridCol w:w="109"/>
        <w:gridCol w:w="109"/>
        <w:gridCol w:w="213"/>
        <w:gridCol w:w="411"/>
        <w:gridCol w:w="110"/>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6"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 using</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disclosures related to derivative financial instruments are provided in Note 7. </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Fair Value Measurements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 carrying values reported on the interim unaudited condensed consolidated balance sheets for accounts receivable, prepaid expenses and other current assets, accounts payable, accrued liabilities, royalties payable, amounts due to affiliates, advances from joint interest owners, income taxes payable and other current liabilities approximated their fair values due to their short-term maturities.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fair value of the 2026 Notes was $687.6 million and $675.7 million, respectively, based on quoted market prices, which represent Level 1 inputs in the fair value hierarchy.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9 — COMMITMENTS AND CONTINGENCIES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Firm Commitments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$10.7 million and $11.0 million for deliveries under these agreements during the three months ended March 31, 2023 and 2022,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2023, the total deficiencies required to be paid by the Company under these agreements would be approximately $524.1 million.</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COMMITMENTS AND CONTINGENCIES — Continued</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March 31, 2023 was approximately $277.7 million.</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10 — SUPPLEMENTAL DISCLOSURES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March 31, 2023 and December 31, 2022 (in thousands).</w:t>
      </w:r>
    </w:p>
    <w:tbl>
      <w:tblPr>
        <w:tblW w:w="8161" w:type="dxa"/>
        <w:jc w:val="left"/>
        <w:tblInd w:w="0" w:type="dxa"/>
        <w:tblCellMar>
          <w:top w:w="28" w:type="dxa"/>
          <w:left w:w="28" w:type="dxa"/>
          <w:bottom w:w="28" w:type="dxa"/>
          <w:right w:w="28" w:type="dxa"/>
        </w:tblCellMar>
      </w:tblPr>
      <w:tblGrid>
        <w:gridCol w:w="1951"/>
        <w:gridCol w:w="1712"/>
        <w:gridCol w:w="1721"/>
        <w:gridCol w:w="211"/>
        <w:gridCol w:w="826"/>
        <w:gridCol w:w="109"/>
        <w:gridCol w:w="109"/>
        <w:gridCol w:w="109"/>
        <w:gridCol w:w="109"/>
        <w:gridCol w:w="231"/>
        <w:gridCol w:w="905"/>
        <w:gridCol w:w="168"/>
      </w:tblGrid>
      <w:tr>
        <w:trPr/>
        <w:tc>
          <w:tcPr>
            <w:tcW w:w="1951"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TextBody"/>
        <w:spacing w:before="12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10 — SUPPLEMENTAL DISCLOSURES — Continued</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three months ended March 31, 2023 and 2022 (in thousands).</w:t>
      </w:r>
    </w:p>
    <w:tbl>
      <w:tblPr>
        <w:tblW w:w="10074" w:type="dxa"/>
        <w:jc w:val="left"/>
        <w:tblInd w:w="0" w:type="dxa"/>
        <w:tblCellMar>
          <w:top w:w="28" w:type="dxa"/>
          <w:left w:w="28" w:type="dxa"/>
          <w:bottom w:w="28" w:type="dxa"/>
          <w:right w:w="28" w:type="dxa"/>
        </w:tblCellMar>
      </w:tblPr>
      <w:tblGrid>
        <w:gridCol w:w="2734"/>
        <w:gridCol w:w="2401"/>
        <w:gridCol w:w="2410"/>
        <w:gridCol w:w="211"/>
        <w:gridCol w:w="721"/>
        <w:gridCol w:w="109"/>
        <w:gridCol w:w="109"/>
        <w:gridCol w:w="109"/>
        <w:gridCol w:w="109"/>
        <w:gridCol w:w="211"/>
        <w:gridCol w:w="796"/>
        <w:gridCol w:w="154"/>
      </w:tblGrid>
      <w:tr>
        <w:trPr/>
        <w:tc>
          <w:tcPr>
            <w:tcW w:w="2734"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rPr>
                <w:sz w:val="4"/>
                <w:szCs w:val="4"/>
              </w:rPr>
            </w:pPr>
            <w:r>
              <w:rPr>
                <w:sz w:val="4"/>
                <w:szCs w:val="4"/>
              </w:rPr>
            </w:r>
          </w:p>
        </w:tc>
        <w:tc>
          <w:tcPr>
            <w:tcW w:w="24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7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asset retirement obligations related to mineral properties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drilling, completion and equipping capital expenditures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liabilities for acquisition of oil and natural gas properties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liabilities for midstream properties capital expenditures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a liability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from (to) oil and natural gas properties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ind w:left="0" w:right="0" w:firstLine="495"/>
        <w:rPr/>
      </w:pPr>
      <w:r>
        <w:rPr/>
      </w:r>
    </w:p>
    <w:p>
      <w:pPr>
        <w:pStyle w:val="TextBody"/>
        <w:spacing w:lineRule="auto" w:line="288" w:before="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5169" w:type="dxa"/>
        <w:jc w:val="left"/>
        <w:tblInd w:w="0" w:type="dxa"/>
        <w:tblCellMar>
          <w:top w:w="28" w:type="dxa"/>
          <w:left w:w="28" w:type="dxa"/>
          <w:bottom w:w="28" w:type="dxa"/>
          <w:right w:w="28" w:type="dxa"/>
        </w:tblCellMar>
      </w:tblPr>
      <w:tblGrid>
        <w:gridCol w:w="902"/>
        <w:gridCol w:w="795"/>
        <w:gridCol w:w="808"/>
        <w:gridCol w:w="211"/>
        <w:gridCol w:w="826"/>
        <w:gridCol w:w="109"/>
        <w:gridCol w:w="109"/>
        <w:gridCol w:w="109"/>
        <w:gridCol w:w="109"/>
        <w:gridCol w:w="211"/>
        <w:gridCol w:w="826"/>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20" w:after="283"/>
        <w:rPr>
          <w:rFonts w:ascii="Times New Roman;sans-serif" w:hAnsi="Times New Roman;sans-serif"/>
          <w:b/>
          <w:color w:val="000000"/>
          <w:sz w:val="20"/>
        </w:rPr>
      </w:pPr>
      <w:r>
        <w:rPr>
          <w:rFonts w:ascii="Times New Roman;sans-serif" w:hAnsi="Times New Roman;sans-serif"/>
          <w:b/>
          <w:color w:val="000000"/>
          <w:sz w:val="20"/>
        </w:rPr>
        <w:t>NOTE 11 — SEGMENT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Wolf and Stateline asset areas and the Greater Stebbins Area in the Delaware Basin, which comprise most of the Company’s midstream operations, are conducted through San Mateo. In addition, at March 31, 2023, the Company operated a cryogenic gas processing plant, three compressor stations and approximately 45 miles of natural gas gathering pipelines in Lea and Eddy Counties, New Mexico through Pronto Midstream, LLC (“Pronto”), which is a wholly-owned subsidiary of the Company. Neither San Mateo nor Pronto is a guarantor of the 2026 Notes.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lineRule="auto" w:line="288" w:before="220" w:after="283"/>
        <w:rPr>
          <w:rFonts w:ascii="Times New Roman;sans-serif" w:hAnsi="Times New Roman;sans-serif"/>
          <w:b/>
          <w:color w:val="000000"/>
          <w:sz w:val="20"/>
        </w:rPr>
      </w:pPr>
      <w:r>
        <w:rPr>
          <w:rFonts w:ascii="Times New Roman;sans-serif" w:hAnsi="Times New Roman;sans-serif"/>
          <w:b/>
          <w:color w:val="000000"/>
          <w:sz w:val="20"/>
        </w:rPr>
        <w:t>NOTE 11 — SEGMENT INFORMATION — Continued</w:t>
      </w:r>
    </w:p>
    <w:tbl>
      <w:tblPr>
        <w:tblW w:w="10205" w:type="dxa"/>
        <w:jc w:val="center"/>
        <w:tblInd w:w="0" w:type="dxa"/>
        <w:tblCellMar>
          <w:top w:w="28" w:type="dxa"/>
          <w:left w:w="28" w:type="dxa"/>
          <w:bottom w:w="28" w:type="dxa"/>
          <w:right w:w="28" w:type="dxa"/>
        </w:tblCellMar>
      </w:tblPr>
      <w:tblGrid>
        <w:gridCol w:w="836"/>
        <w:gridCol w:w="417"/>
        <w:gridCol w:w="419"/>
        <w:gridCol w:w="254"/>
        <w:gridCol w:w="1176"/>
        <w:gridCol w:w="131"/>
        <w:gridCol w:w="109"/>
        <w:gridCol w:w="109"/>
        <w:gridCol w:w="109"/>
        <w:gridCol w:w="211"/>
        <w:gridCol w:w="976"/>
        <w:gridCol w:w="109"/>
        <w:gridCol w:w="109"/>
        <w:gridCol w:w="109"/>
        <w:gridCol w:w="109"/>
        <w:gridCol w:w="211"/>
        <w:gridCol w:w="826"/>
        <w:gridCol w:w="109"/>
        <w:gridCol w:w="109"/>
        <w:gridCol w:w="109"/>
        <w:gridCol w:w="109"/>
        <w:gridCol w:w="494"/>
        <w:gridCol w:w="950"/>
        <w:gridCol w:w="256"/>
        <w:gridCol w:w="109"/>
        <w:gridCol w:w="109"/>
        <w:gridCol w:w="109"/>
        <w:gridCol w:w="238"/>
        <w:gridCol w:w="1104"/>
        <w:gridCol w:w="180"/>
      </w:tblGrid>
      <w:tr>
        <w:trPr/>
        <w:tc>
          <w:tcPr>
            <w:tcW w:w="83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4,266,414 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5,782,105 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318,505 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333,554 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$116.6 million and $9.4 million for the exploration and production and midstream segments, respectively. Also includes corporate depletion, depreciation and amortization expenses of $0.3 million.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$15.8 million in net income attributable to non-controlling interest in subsidiaries related to the midstream segment.</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(3)Includes $23.7 million attributable to land and seismic acquisition expenditures related to the exploration and production segment and $4.6 million in capital expenditures attributable to non-controlling interest in subsidiaries related to the midstream segment.</w:t>
      </w:r>
    </w:p>
    <w:p>
      <w:pPr>
        <w:pStyle w:val="TextBody"/>
        <w:spacing w:before="120" w:after="283"/>
        <w:rPr/>
      </w:pPr>
      <w:r>
        <w:rPr/>
      </w:r>
    </w:p>
    <w:tbl>
      <w:tblPr>
        <w:tblW w:w="10205" w:type="dxa"/>
        <w:jc w:val="left"/>
        <w:tblInd w:w="0" w:type="dxa"/>
        <w:tblCellMar>
          <w:top w:w="28" w:type="dxa"/>
          <w:left w:w="28" w:type="dxa"/>
          <w:bottom w:w="28" w:type="dxa"/>
          <w:right w:w="28" w:type="dxa"/>
        </w:tblCellMar>
      </w:tblPr>
      <w:tblGrid>
        <w:gridCol w:w="854"/>
        <w:gridCol w:w="450"/>
        <w:gridCol w:w="452"/>
        <w:gridCol w:w="262"/>
        <w:gridCol w:w="1213"/>
        <w:gridCol w:w="135"/>
        <w:gridCol w:w="109"/>
        <w:gridCol w:w="109"/>
        <w:gridCol w:w="109"/>
        <w:gridCol w:w="211"/>
        <w:gridCol w:w="826"/>
        <w:gridCol w:w="109"/>
        <w:gridCol w:w="109"/>
        <w:gridCol w:w="109"/>
        <w:gridCol w:w="109"/>
        <w:gridCol w:w="211"/>
        <w:gridCol w:w="751"/>
        <w:gridCol w:w="109"/>
        <w:gridCol w:w="109"/>
        <w:gridCol w:w="109"/>
        <w:gridCol w:w="109"/>
        <w:gridCol w:w="511"/>
        <w:gridCol w:w="983"/>
        <w:gridCol w:w="265"/>
        <w:gridCol w:w="109"/>
        <w:gridCol w:w="109"/>
        <w:gridCol w:w="109"/>
        <w:gridCol w:w="243"/>
        <w:gridCol w:w="1127"/>
        <w:gridCol w:w="185"/>
      </w:tblGrid>
      <w:tr>
        <w:trPr/>
        <w:tc>
          <w:tcPr>
            <w:tcW w:w="854"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624,793 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626,515 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(50,085)</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237,457 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(50,085)</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309,307 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1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5"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3,596,773 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4,567,328 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239,848 </w:t>
            </w:r>
          </w:p>
        </w:tc>
        <w:tc>
          <w:tcPr>
            <w:tcW w:w="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259,154 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20" w:after="283"/>
        <w:ind w:left="0" w:right="0" w:hanging="360"/>
        <w:rPr/>
      </w:pPr>
      <w:r>
        <w:rPr>
          <w:rFonts w:ascii="Times New Roman;sans-serif" w:hAnsi="Times New Roman;sans-serif"/>
          <w:b w:val="false"/>
          <w:color w:val="000000"/>
          <w:sz w:val="16"/>
        </w:rPr>
        <w:t>(1)Includes depletion, depreciation and amortization expenses of $87.3 million</w:t>
      </w:r>
      <w:r>
        <w:rPr>
          <w:color w:val="000000"/>
        </w:rPr>
        <w:t xml:space="preserve"> </w:t>
      </w:r>
      <w:r>
        <w:rPr>
          <w:rFonts w:ascii="Times New Roman;sans-serif" w:hAnsi="Times New Roman;sans-serif"/>
          <w:b w:val="false"/>
          <w:color w:val="000000"/>
          <w:sz w:val="16"/>
        </w:rPr>
        <w:t xml:space="preserve">and $8.0 million for the exploration and production and midstream segments, respectively. Also includes corporate depletion, depreciation and amortization expenses of $0.6 million.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$17.1 million in net income attributable to non-controlling interest in subsidiaries related to the midstream segment.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(3)Includes $41.1 million attributable to land and seismic acquisition expenditures related to the exploration and production segment and $9.3 million in capital expenditures attributable to non-controlling interest in subsidiaries related to the midstream segment.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spacing w:before="0" w:after="0"/>
        <w:rPr/>
      </w:pPr>
      <w:r>
        <w:rPr/>
      </w:r>
    </w:p>
    <w:p>
      <w:pPr>
        <w:pStyle w:val="TextBody"/>
        <w:spacing w:before="0" w:after="0"/>
        <w:rPr/>
      </w:pPr>
      <w:r>
        <w:rPr/>
      </w:r>
    </w:p>
    <w:p>
      <w:pPr>
        <w:pStyle w:val="TextBody"/>
        <w:spacing w:lineRule="auto" w:line="288" w:before="220" w:after="283"/>
        <w:rPr>
          <w:rFonts w:ascii="Times New Roman;sans-serif" w:hAnsi="Times New Roman;sans-serif"/>
          <w:b/>
          <w:color w:val="000000"/>
          <w:sz w:val="20"/>
        </w:rPr>
      </w:pPr>
      <w:r>
        <w:rPr>
          <w:rFonts w:ascii="Times New Roman;sans-serif" w:hAnsi="Times New Roman;sans-serif"/>
          <w:b/>
          <w:color w:val="000000"/>
          <w:sz w:val="20"/>
        </w:rPr>
        <w:t>NOTE 12 — SUBSEQUENT EVENTS</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“Advance Acquisition”). The Advance Acquisition has an effective date of January 1, 2023 and an aggregate purchase price consisting of an amount in cash equal to approximately $1.60 billion (which amount is subject to certain customary post-closing adjustments) and potential additional cash consideration of $7.5 million for each month of 2023 in which the average oil price (as defined in the securities purchase agreement) exceeds $85 per barrel. The purchase price for the Advance Acquisition was funded with borrowings under the Credit Agreement and cash on hand.</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11, 2023, the Company completed the sale of $500.0 million in aggregate principal amount of the Company’s 6.875% senior notes due 2028 (the “2028 Notes”). The 2028 Notes mature on April 15, 2028. Interest on the 2028 Notes is payable in arrears on each April 15 and October 15 and the first interest payment date for the 2028 Notes will be October 15, 2023. The 2028 Notes are guaranteed on a senior unsecured basis by the Guarantor Subsidiaries. The Company received net proceeds from the issuance and sale of the 2028 Notes of approximately $487.6 million after deducting the initial purchasers’ discounts and estimated offering expenses. Proceeds from the 2028 Notes and net cash flows from operations were used to repay $525.0 million of borrowings under the Credit Agreement leaving outstanding borrowings under the Credit Agreement at April 25, 2023 of $625.0 million. Neither San Mateo nor Pronto is a guarantor of the 2028 Notes.</w:t>
      </w:r>
    </w:p>
    <w:p>
      <w:pPr>
        <w:pStyle w:val="TextBody"/>
        <w:spacing w:before="0" w:after="0"/>
        <w:rPr/>
      </w:pPr>
      <w:r>
        <w:rPr/>
      </w:r>
    </w:p>
    <w:p>
      <w:pPr>
        <w:pStyle w:val="TextBody"/>
        <w:spacing w:before="120" w:after="283"/>
        <w:ind w:left="0" w:right="0" w:firstLine="540"/>
        <w:rPr/>
      </w:pPr>
      <w:r>
        <w:rPr/>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2022 (the “Annual Report”) filed with the Securities and Exchange Commission (the “SEC”) on March 1, 2023, along with Management’s Discussion and Analysis of Financial Condition and Results of Operations contained in the Annual Report. The Annual Report is accessible on the SEC’s website at </w:t>
      </w:r>
      <w:r>
        <w:rPr>
          <w:rFonts w:ascii="Times New Roman;sans-serif" w:hAnsi="Times New Roman;sans-serif"/>
          <w:b w:val="false"/>
          <w:i/>
          <w:color w:val="000000"/>
          <w:sz w:val="20"/>
          <w:u w:val="single"/>
        </w:rPr>
        <w:t>www.sec.gov</w:t>
      </w:r>
      <w:r>
        <w:rPr>
          <w:color w:val="000000"/>
        </w:rPr>
        <w:t xml:space="preserve"> </w:t>
      </w:r>
      <w:r>
        <w:rPr>
          <w:rFonts w:ascii="Times New Roman;sans-serif" w:hAnsi="Times New Roman;sans-serif"/>
          <w:b w:val="false"/>
          <w:i/>
          <w:color w:val="000000"/>
          <w:sz w:val="20"/>
        </w:rPr>
        <w:t xml:space="preserve">and on our website at </w:t>
      </w:r>
      <w:r>
        <w:rPr>
          <w:rFonts w:ascii="Times New Roman;sans-serif" w:hAnsi="Times New Roman;sans-serif"/>
          <w:b w:val="false"/>
          <w:i/>
          <w:color w:val="000000"/>
          <w:sz w:val="20"/>
          <w:u w:val="single"/>
        </w:rPr>
        <w:t>www.matadorresources.com</w:t>
      </w:r>
      <w:r>
        <w:rPr>
          <w:rFonts w:ascii="Times New Roman;sans-serif" w:hAnsi="Times New Roman;sans-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and (iv) references to “Pronto” refer to Pronto Midstream, LLC. For certain oil and natural gas terms used in this Quarterly Report, please see the “Glossary of Oil and Natural Gas Terms” included with the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spacing w:lineRule="auto" w:line="288" w:before="120" w:after="283"/>
        <w:ind w:left="0" w:right="0" w:firstLine="495"/>
        <w:rPr/>
      </w:pPr>
      <w:r>
        <w:rPr>
          <w:rFonts w:ascii="Times New Roman;sans-serif" w:hAnsi="Times New Roman;sans-serif"/>
          <w:b w:val="false"/>
          <w:color w:val="000000"/>
          <w:sz w:val="20"/>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w:t>
      </w:r>
      <w:r>
        <w:rPr>
          <w:rFonts w:ascii="Times New Roman;sans-serif" w:hAnsi="Times New Roman;sans-serif"/>
          <w:b w:val="false"/>
          <w:color w:val="0A0A0A"/>
          <w:sz w:val="20"/>
        </w:rPr>
        <w:t xml:space="preserve">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including the Advance Acquisition (as defined below); the operating results of and availability of any potential distributions from our joint ventures; weather and environmental conditions; the ongoing impact of the novel coronavirus (“COVID-19”) and its variants on oil and natural gas demand, oil and natural gas prices and our business; </w:t>
      </w:r>
      <w:r>
        <w:rPr>
          <w:rFonts w:ascii="Times New Roman;sans-serif" w:hAnsi="Times New Roman;sans-serif"/>
          <w:b w:val="false"/>
          <w:color w:val="000000"/>
          <w:sz w:val="20"/>
        </w:rPr>
        <w:t>disruption from the Advance Acquisition making it more difficult to maintain business and operational relationships; significant transaction costs associated with the Advance Acquisition; the risk of litigation and/or regulatory actions related to the Advance Acquisition; and the other factors discussed below and elsewhere in this Quarterly Report and in other documents that we file with or furnish to the SEC, all of which are difficult to predict. Forward-looking statements may include statements about: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business strategy;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cash flows and liquidity;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amount, timing and payment of dividends, if any;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financial strategy, budget, projections and operating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supply and demand of oil, natural gas and NGLs;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oil, natural gas and NGL prices, including our realized prices thereof;</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drilling and production equipment;</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oil storage capacity;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oil field labor;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and terms of capital;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drilling of wells;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integration of acquisitions, including the Advance Acquisition, with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marketing of oil and natural gas;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exploitation projects or property acquisitions;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and the ability of our midstream joint venture to construct, maintain and operate midstream pipelines and facilities, including the operation of cryogenic natural gas processing plants and the drilling of additional salt water disposal wells;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our midstream business to attract third-party volumes;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general economic conditions;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effectiveness of our risk management and hedging activities;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technology;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environmental liabilities;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counterparty credit risk;</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COVID-19 and its variants on the oil and natural gas industry and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operating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Advance Acquisition and the anticipated benefits thereof;</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the Inflation Reduction Act of 2022;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plans, objectives, expectations and intentions contained in this Quarterly Report or in our other filings with the SEC that are not historical.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First Quarter Highlights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our total oil equivalent production was 9.6 million BOE, and our average daily oil equivalent production was 106,654 BOE per day, of which 58,941 Bbl per day, or 55%, was oil and 286.3 MMcf per day, or 45%, was natural gas. Our average daily oil production of 58,941 Bbl per day for the three months ended March 31, 2023 increased 10% year-over-year from 53,561 Bbl per day for the three months ended March 31, 2022. Our average daily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natural gas production of 286.3 MMcf per day for the three months ended March 31, 2023 increased 18% year-over-year from 242.4 MMcf per day for the three months ended March 31,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we reported net income attributable to Matador shareholders of $163.1 million, or $1.36 per diluted common share, on a GAAP basis, as compared to net income attributable to Matador shareholders of $207.1 million, or $1.73 per diluted common share, for the first quarter of 2022. For the first quarter of 2023, our Adjusted EBITDA, a non-GAAP financial measure, was $365.2 million, as compared to Adjusted EBITDA of $461.8 million during the first quarter of 2022. For a definition of Adjusted EBITDA and a reconciliation of Adjusted EBITDA to our net income and net cash provided by operating activities, see “—Liquidity and Capital Resources—Non-GAAP Financial Measures.” For more information regarding our financial results for the three months ended March 31, 2023, see “—Results of Operations” below.</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Advance Acquisition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April 12, 2023, our wholly-owned subsidiary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“Advance Acquisition”). The Advance Acquisition has an effective date of January 1, 2023 and an aggregate purchase price consisting of an amount in cash equal to approximately $1.60 billion (which amount is subject to certain customary post-closing adjustments) and potential additional cash consideration of $7.5 million for each month of 2023 in which the average oil price (as defined in the securities purchase agreement) exceeds $85 per barrel. The purchase price for the Advance Acquisition was funded with borrowings under our reserves-based revolving credit facility (the “Credit Agreement”) and cash on hand.</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Operations Update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began 2023 operating seven contracted drilling rigs in the Delaware Basin. Upon the consummation of the Advance Acquisition in April 2023, we continued to operate the one contracted drilling rig that Advance had been operating. As a result, at April 25, 2023, we were operating eight contracted drilling rigs in the Delaware Basin. We have built significant optionality into our drilling program, which should generally allow us to decrease or increase the number of rigs we operate as necessary based on changing commodity prices and other factors.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turned to sales a total of 54 gross (19.0 net) horizontal wells in the Delaware Basin during the first quarter of 2023, including 24 gross (18.0 net) operated horizontal wells and 30 gross (1.0 net) non-operated horizontal wells. During the first quarter of 2023, we turned to sales nine gross (5.9 net) operated wells in the Rustler Breaks asset area: seven were Second Bone Spring completions, one was a First Bone Spring completion and one was a Wolfcamp B completion. On the Rodney Robinson leasehold in the western portion of the Antelope Ridge asset area, we turned to sales eight gross (7.7 net) operated wells: four were Second Bone Spring completions, two were Third Bone Spring Carbonate completions and two were Wolfcamp B completions. We also turned to sales four gross (3.1 net) operated wells elsewhere in the Antelope Ridge asset area: two were Second Bone Spring completions and two were Third Bone Spring completions. We also turned to sales three gross (1.3 net) operated wells in the Ranger asset area: two were Third Bone Spring completions and one was a Second Bone Spring completion. We also participated in 11 gross (0.2 net) non-operated wells turned to sales in the Rustler Breaks asset area, 11 gross (0.3 net) non-operated wells in the Arrowhead asset area, seven gross (0.3 net) non-operated wells in the Ranger asset area and one gross (less than 0.1 net) non-operated well in the Antelope Ridge asset area.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average daily oil equivalent production in the Delaware Basin for the first quarter of 2023 was 101,100 BOE per day, consisting of 58,200 Bbl of oil per day and 257.3 MMcf of natural gas per day, a 13% increase from 89,400 BOE per day, consisting of 52,300 Bbl of oil per day and 222.5 MMcf of natural gas per day, in the first quarter of 2022. The Delaware Basin contributed approximately 99% of our daily oil production and approximately 90% of our daily natural gas production in the first quarter of 2023, as compared to approximately 98% of our daily oil production and approximately 92% of our daily natural gas production in the first quarter of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did not turn to sales any operated wells on our leasehold properties in the Eagle Ford shale play in South Texas or in the Haynesville shale and Cotton Valley plays in Northwest Louisiana, although we did participate in the drilling and completion of 16 gross (0.1 net) non-operated Haynesville shale wells.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Capital Resources Update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(the “Board”) declared a quarterly cash dividend of $0.15 per share of common stock, which was paid on March 9, 2023 to shareholders of record as of February 27, 2023. In April 2023, the Board declared a quarterly cash dividend of $0.15 per share of common stock payable on June 1, 2023 to shareholders of record as of May 11, 2023.</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lenders under our Credit Agreement completed their review of our proved oil and natural gas reserves at December 31, 2022, and, as a result, we and our lenders entered into a Second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reaffirmation of the borrowing base constituted the regularly scheduled May 1 redetermination.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we had no borrowings outstanding under our Credit Agreement and $699.2 million of outstanding 5.875% senior notes due 2026 (the “2026 Notes”) and San Mateo had $475.0 million in borrowings outstanding under San Mateo’s revolving credit facility (the “San Mateo Credit Facility”). On April 25, 2023, we had $625.0 million of borrowings outstanding under our Credit Agreement and $455.0 million of borrowings outstanding under the San Mateo Credit Facility.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April 11, 2023, we completed the sale of $500.0 million in aggregate principal amount of the Company’s 6.875% senior notes due 2028 (the “2028 Notes”). The 2028 Notes mature on April 15, 2028. Interest on the 2028 Notes is payable in arrears on each April 15 and October 15, and the first interest payment date for the 2028 Notes will be October 15, 2023. The 2028 Notes are guaranteed on a senior unsecured basis by certain subsidiaries of the Company (the “Guarantor Subsidiaries”). We received net proceeds from the issuance and sale of the 2028 Notes of approximately $487.6 million, after deducting the initial purchasers’ discounts and estimated offering expenses. Proceeds from the 2028 Notes and net cash flows from operations were used to repay $525.0 million of borrowings under the Credit Agreement leaving outstanding borrowings under the Credit Agreement at April 25, 2023 of $625.0 million. Neither San Mateo nor Pronto is a guarantor of the 2028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from those set forth in the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are no recent accounting pronouncements that are expected to have a material impact on our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revenues and production data for the periods indicated:</w:t>
      </w:r>
    </w:p>
    <w:tbl>
      <w:tblPr>
        <w:tblW w:w="7503" w:type="dxa"/>
        <w:jc w:val="left"/>
        <w:tblInd w:w="0" w:type="dxa"/>
        <w:tblCellMar>
          <w:top w:w="28" w:type="dxa"/>
          <w:left w:w="28" w:type="dxa"/>
          <w:bottom w:w="28" w:type="dxa"/>
          <w:right w:w="28" w:type="dxa"/>
        </w:tblCellMar>
      </w:tblPr>
      <w:tblGrid>
        <w:gridCol w:w="1518"/>
        <w:gridCol w:w="1331"/>
        <w:gridCol w:w="1336"/>
        <w:gridCol w:w="211"/>
        <w:gridCol w:w="826"/>
        <w:gridCol w:w="109"/>
        <w:gridCol w:w="109"/>
        <w:gridCol w:w="109"/>
        <w:gridCol w:w="109"/>
        <w:gridCol w:w="211"/>
        <w:gridCol w:w="826"/>
        <w:gridCol w:w="109"/>
        <w:gridCol w:w="109"/>
        <w:gridCol w:w="109"/>
        <w:gridCol w:w="109"/>
        <w:gridCol w:w="109"/>
        <w:gridCol w:w="109"/>
        <w:gridCol w:w="154"/>
      </w:tblGrid>
      <w:tr>
        <w:trPr/>
        <w:tc>
          <w:tcPr>
            <w:tcW w:w="1518"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Data</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Revenues (in thousands)</w:t>
            </w:r>
            <w:r>
              <w:rPr>
                <w:rFonts w:ascii="Times New Roman;sans-serif" w:hAnsi="Times New Roman;sans-serif"/>
                <w:b/>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Production Volumes</w:t>
            </w:r>
            <w:r>
              <w:rPr>
                <w:rFonts w:ascii="Times New Roman;sans-serif" w:hAnsi="Times New Roman;sans-serif"/>
                <w:b/>
                <w:color w:val="000000"/>
                <w:sz w:val="13"/>
              </w:rPr>
              <w:t>(1)</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Oil (MBbl)</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(Bcf)</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810"/>
              <w:jc w:val="left"/>
              <w:rPr/>
            </w:pPr>
            <w:r>
              <w:rPr>
                <w:rFonts w:ascii="Times New Roman;sans-serif" w:hAnsi="Times New Roman;sans-serif"/>
                <w:b w:val="false"/>
                <w:color w:val="000000"/>
                <w:sz w:val="20"/>
              </w:rPr>
              <w:t>Total oil equivalent (MBOE)</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810"/>
              <w:jc w:val="left"/>
              <w:rPr/>
            </w:pPr>
            <w:r>
              <w:rPr>
                <w:rFonts w:ascii="Times New Roman;sans-serif" w:hAnsi="Times New Roman;sans-serif"/>
                <w:b w:val="false"/>
                <w:color w:val="000000"/>
                <w:sz w:val="20"/>
              </w:rPr>
              <w:t>Average daily production (BOE/d)</w:t>
            </w:r>
            <w:r>
              <w:rPr>
                <w:rFonts w:ascii="Times New Roman;sans-serif" w:hAnsi="Times New Roman;sans-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(2)One thousand Bbl of oil.</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(3)One billion cubic feet of natural gas.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(4)One thousand Bbl of oil equivalent, estimated using a conversion ratio of one Bbl of oil per six Mcf of natural gas.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(5)Barrels of oil equivalent per day, estimated using a conversion ratio of one Bbl of oil per six Mcf of natural gas.</w:t>
      </w:r>
    </w:p>
    <w:p>
      <w:pPr>
        <w:pStyle w:val="TextBody"/>
        <w:spacing w:lineRule="auto" w:line="288" w:before="1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2023 as Compared to Three Months Ended March 31, 2022 </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Our oil and natural gas revenues decreased $123.6 million, or 20%, to $502.9 million for the three months ended March 31, 2023, as compared to $626.5 million for the three months ended March 31, 2022. Our oil revenues decreased $58.3 million, or 13%, to $401.8 million for the three months ended March 31, 2023, as compared to $460.1 million for the three months ended March 31, 2022. The decrease in oil revenues resulted from a 21% decrease in the weighted average oil price realized for the three months ended March 31, 2023 to $75.74 per Bbl, as compared to $95.45 per Bbl for the three months ended March 31, 2022, which was partially offset by a 10% increase in our oil production to 5.3 million Bbl for the three months ended March 31, 2023, as compared to 4.8 million Bbl for the three months ended March 31, 2022. Our natural gas revenues decreased $65.3 million, or 39%, to $101.1 million for the three months ended March 31, 2023, as compared to $166.4 million for the three months ended March 31, 2022. The decrease in natural gas revenues resulted from a 48% decrease in the weighted average natural gas price realized for the three months ended March 31, 2023 to $3.93 per Mcf, as compared to a weighted average natural gas price of $7.63 per Mcf realized for the three months ended March 31, 2022, which was partially offset by an 18% increase in our natural gas production to 25.8 Bcf for the three months ended March 31, 2023, as compared to 21.8 Bcf for the three months ended March 31, 2022.</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$9.2 million, or 53%, to $26.5 million for the three months ended March 31, 2023, as compared to $17.3 million for the three months ended March 31, 2022. Third-party midstream services revenues are those revenues from midstream operations related to third parties, including working interest owners in our operated wells. This increase was primarily attributable to an increase in our third-party produced water disposal revenues to $10.5 million for the three months ended March 31, 2023, as compared to $7.7 million for the three months ended March 31, 2022, and an increase in our third-party natural gas gathering and processing revenues that was due in part to our Pronto midstream assets, which were purchased on June 30, 2022, to $13.6 million for the three months ended March 31, 2023, as compared to $7.7 million for the three months ended March 31, 2022.</w:t>
      </w:r>
    </w:p>
    <w:p>
      <w:pPr>
        <w:pStyle w:val="TextBody"/>
        <w:spacing w:lineRule="auto" w:line="288" w:before="120" w:after="283"/>
        <w:ind w:left="0" w:right="0" w:firstLine="495"/>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 xml:space="preserve">Our sales of purchased natural gas increased $14.9 million, or 77%, to $34.3 million for the three months ended March 31, 2023, as compared to $19.3 million for the three months ended March 31, 2022. This increase was the result of an increase in purchased natural gas volumes sold during the three months ended March 31, 2023.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gas and NGLs to other purchasers. These revenues, and the expenses related to these transactions included in “Purchased natural gas,” are presented on a gross basis in our interim unaudited condensed consolidated statements of operations. </w:t>
      </w:r>
    </w:p>
    <w:p>
      <w:pPr>
        <w:pStyle w:val="TextBody"/>
        <w:spacing w:lineRule="auto" w:line="288" w:before="120" w:after="283"/>
        <w:ind w:left="0" w:right="0" w:firstLine="495"/>
        <w:rPr/>
      </w:pPr>
      <w:r>
        <w:rPr>
          <w:rFonts w:ascii="Times New Roman;sans-serif" w:hAnsi="Times New Roman;sans-serif"/>
          <w:b w:val="false"/>
          <w:i/>
          <w:color w:val="000000"/>
          <w:sz w:val="20"/>
        </w:rPr>
        <w:t>Realized gain (loss) on derivatives.</w:t>
      </w:r>
      <w:r>
        <w:rPr>
          <w:color w:val="000000"/>
        </w:rPr>
        <w:t xml:space="preserve"> </w:t>
      </w:r>
      <w:r>
        <w:rPr>
          <w:rFonts w:ascii="Times New Roman;sans-serif" w:hAnsi="Times New Roman;sans-serif"/>
          <w:b w:val="false"/>
          <w:color w:val="000000"/>
          <w:sz w:val="20"/>
        </w:rPr>
        <w:t>Our realized gain on derivatives was $3.7 million for the three months ended March 31, 2023, as compared to a realized net loss of $22.4 million for the three months ended March 31, 2022. We realized a net gain of $3.7 million related to our natural gas costless collar and natural gas basis swap contracts for the three months ended March 31, 2023, resulting from natural gas prices that were below the floor prices of certain of our natural gas costless collar contracts, offset by natural gas prices that were above the strike price of our natural gas basis swap contract. For the three months ended March 31, 2022, we realized a net loss of $18.2 million related to our oil costless collar and oil basis swap contracts resulting primarily from oil prices that were above the ceiling prices of our oil costless collar contracts and above the strike prices of certain of our oil basis swap contracts. We realized a net loss of $4.3 million related to our natural gas costless collar contracts for the three months ended March 31, 2022, resulting primarily from natural gas prices that were above the ceiling prices of certain of our natural gas costless collar contracts. We realized an average gain on our natural gas derivatives of approximately $0.14 per Mcf produced during the three months ended March 31, 2023, as compared to an average loss of approximately $0.20 per Mcf produced during the three months ended March 31, 2022.</w:t>
      </w:r>
    </w:p>
    <w:p>
      <w:pPr>
        <w:pStyle w:val="TextBody"/>
        <w:spacing w:lineRule="auto" w:line="288" w:before="120" w:after="283"/>
        <w:ind w:left="0" w:right="0" w:firstLine="495"/>
        <w:rPr/>
      </w:pPr>
      <w:r>
        <w:rPr>
          <w:rFonts w:ascii="Times New Roman;sans-serif" w:hAnsi="Times New Roman;sans-serif"/>
          <w:b w:val="false"/>
          <w:i/>
          <w:color w:val="000000"/>
          <w:sz w:val="20"/>
        </w:rPr>
        <w:t>Unrealized loss on derivatives.</w:t>
      </w:r>
      <w:r>
        <w:rPr>
          <w:color w:val="000000"/>
        </w:rPr>
        <w:t xml:space="preserve"> </w:t>
      </w:r>
      <w:r>
        <w:rPr>
          <w:rFonts w:ascii="Times New Roman;sans-serif" w:hAnsi="Times New Roman;sans-serif"/>
          <w:b w:val="false"/>
          <w:color w:val="000000"/>
          <w:sz w:val="20"/>
        </w:rPr>
        <w:t>During the three months ended March 31, 2023, the aggregate net fair value of our open natural gas derivatives and basis swap contracts changed to a net liability of $3.1 million from a net asset of $3.9 million at December 31, 2022, resulting in an unrealized loss on derivatives of $7.1 million for the three months ended March 31, 2023. During the three months ended March 31, 2022, the aggregate net fair value of our open oil and natural gas derivative contracts decreased to a net liability of $89.9 million from a net liability of $14.9 million at December 31, 2021, resulting in an unrealized loss on derivatives of $75.0 million for the three months ended March 31, 2022.</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before="120" w:after="283"/>
        <w:ind w:left="0" w:right="0" w:firstLine="225"/>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operating expenses and other income (expense) for the periods indicated:</w:t>
      </w:r>
    </w:p>
    <w:tbl>
      <w:tblPr>
        <w:tblW w:w="9077" w:type="dxa"/>
        <w:jc w:val="left"/>
        <w:tblInd w:w="0" w:type="dxa"/>
        <w:tblCellMar>
          <w:top w:w="28" w:type="dxa"/>
          <w:left w:w="28" w:type="dxa"/>
          <w:bottom w:w="28" w:type="dxa"/>
          <w:right w:w="28" w:type="dxa"/>
        </w:tblCellMar>
      </w:tblPr>
      <w:tblGrid>
        <w:gridCol w:w="2087"/>
        <w:gridCol w:w="1834"/>
        <w:gridCol w:w="1838"/>
        <w:gridCol w:w="211"/>
        <w:gridCol w:w="826"/>
        <w:gridCol w:w="109"/>
        <w:gridCol w:w="109"/>
        <w:gridCol w:w="109"/>
        <w:gridCol w:w="109"/>
        <w:gridCol w:w="211"/>
        <w:gridCol w:w="826"/>
        <w:gridCol w:w="109"/>
        <w:gridCol w:w="109"/>
        <w:gridCol w:w="109"/>
        <w:gridCol w:w="109"/>
        <w:gridCol w:w="109"/>
        <w:gridCol w:w="109"/>
        <w:gridCol w:w="154"/>
      </w:tblGrid>
      <w:tr>
        <w:trPr/>
        <w:tc>
          <w:tcPr>
            <w:tcW w:w="2087"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Lease operating</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impairment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2023 as Compared to Three Months Ended March 31, 2022 </w:t>
      </w:r>
    </w:p>
    <w:p>
      <w:pPr>
        <w:pStyle w:val="TextBody"/>
        <w:spacing w:lineRule="auto" w:line="288" w:before="120" w:after="283"/>
        <w:ind w:left="0" w:right="0" w:firstLine="495"/>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 xml:space="preserve">Our production taxes and transportation and processing expenses decreased $4.3 million, or 7%, to $55.5 million for the three months ended March 31, 2023, as compared to $59.8 million for the three months ended March 31, 2022. On a unit-of-production basis, our production taxes and transportation and processing expenses decreased 18% to $5.78 per BOE for the three months ended March 31, 2023, as compared to $7.07 per BOE for the three months ended March 31, 2022. These decreases were primarily attributable to an $8.6 million decrease in production taxes to $40.1 million for the three months ended March 31, 2023, as compared to $48.7 million for the three months ended March 31, 2022, primarily due to the decrease in oil and natural gas revenues between the two periods. </w:t>
      </w:r>
    </w:p>
    <w:p>
      <w:pPr>
        <w:pStyle w:val="TextBody"/>
        <w:spacing w:lineRule="auto" w:line="288" w:before="120" w:after="283"/>
        <w:ind w:left="0" w:right="0" w:firstLine="495"/>
        <w:rPr/>
      </w:pPr>
      <w:r>
        <w:rPr>
          <w:rFonts w:ascii="Times New Roman;sans-serif" w:hAnsi="Times New Roman;sans-serif"/>
          <w:b w:val="false"/>
          <w:i/>
          <w:color w:val="000000"/>
          <w:sz w:val="20"/>
        </w:rPr>
        <w:t>Lease operating.</w:t>
      </w:r>
      <w:r>
        <w:rPr>
          <w:color w:val="000000"/>
        </w:rPr>
        <w:t xml:space="preserve"> </w:t>
      </w:r>
      <w:r>
        <w:rPr>
          <w:rFonts w:ascii="Times New Roman;sans-serif" w:hAnsi="Times New Roman;sans-serif"/>
          <w:b w:val="false"/>
          <w:color w:val="000000"/>
          <w:sz w:val="20"/>
        </w:rPr>
        <w:t xml:space="preserve">Our lease operating expenses increased $10.5 million, or 31%, to $44.4 million for the three months ended March 31, 2023, as compared to $34.0 million for the three months ended March 31, 2022. Our lease operating expenses on a unit-of-production basis increased 15% to $4.63 per BOE for the three months ended March 31, 2023, as compared to $4.01 per BOE for the three months ended March 31, 2022. These increases were primarily attributable to the increased number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of wells being operated by us and other operators (where we own a working interest) and to operating cost inflation for the three months ended March 31, 2023, as compared to the three months ended March 31, 2022. </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$11.6 million, or 60%, to $31.0 million for the three months ended March 31, 2023, as compared to $19.5 million for the three months ended March 31, 2022. This increase was primarily attributable to increased throughput volumes from Matador and other San Mateo customers, which resulted in (i) increased expenses associated with our commercial produced water disposal operations of $12.8 million for the three months ended March 31, 2023, as compared to $10.0 million for the three months ended March 31, 2022, and (ii) expenses for the three months ended March 31, 2023 of $6.9 million associated with operating our Pronto midstream assets, which were purchased on June 30, 2022.</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 xml:space="preserve">Our depletion, depreciation and amortization expenses increased $30.5 million, or 32%, to $126.3 million for the three months ended March 31, 2023, as compared to $95.9 million for the three months ended March 31, 2022, primarily as a result of the 14% increase in our total oil equivalent production for the three months ended March 31, 2023, as compared to the three months ended March 31, 2022. On a unit-of-production basis, our depletion, depreciation and amortization expenses increased 16% to $13.16 per BOE for the three months ended March 31, 2023, as compared to $11.33 per BOE for the three months ended March 31, 2022, primarily as a result of the increase in actual costs and estimated future costs to drill, complete and equip our wells between the two periods. </w:t>
      </w:r>
    </w:p>
    <w:p>
      <w:pPr>
        <w:pStyle w:val="TextBody"/>
        <w:spacing w:lineRule="auto" w:line="288" w:before="120" w:after="283"/>
        <w:ind w:left="0" w:right="0" w:firstLine="495"/>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decreased $7.3 million, or 25%, to $22.4 million for the three months ended March 31, 2023, as compared to $29.7 million for the three months ended March 31, 2022. Our general and administrative expenses decreased by 34% on a unit-of-production basis to $2.34 per BOE for the three months ended March 31, 2023, as compared to $3.52 per BOE for the three months ended March 31, 2022. These decreases were primarily attributable to a decrease in employee stock-based compensation expense primarily associated with our cash-settled stock awards, the values of which are remeasured at each reporting period. The price of our common stock decreased by 17% from $57.24 per share at December 31, 2022 to $47.65 per share at March 31, 2023. </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 xml:space="preserve">For the three months ended March 31, 2023, we incurred total interest expense of $19.6 million. We capitalized $3.4 million of our interest expense on certain qualifying projects for the three months ended March 31, 2023 and expensed the remaining $16.2 million to operations. For the three months ended March 31, 2022, we incurred total interest expense of $19.8 million. We capitalized $3.5 million of our interest expense on certain qualifying projects for the three months ended March 31, 2022 and expensed the remaining $16.3 million to operations. </w:t>
      </w:r>
    </w:p>
    <w:p>
      <w:pPr>
        <w:pStyle w:val="TextBody"/>
        <w:spacing w:lineRule="auto" w:line="288" w:before="120" w:after="283"/>
        <w:ind w:left="0" w:right="0" w:firstLine="495"/>
        <w:rPr/>
      </w:pPr>
      <w:r>
        <w:rPr>
          <w:rFonts w:ascii="Times New Roman;sans-serif" w:hAnsi="Times New Roman;sans-serif"/>
          <w:b w:val="false"/>
          <w:i/>
          <w:color w:val="000000"/>
          <w:sz w:val="20"/>
        </w:rPr>
        <w:t xml:space="preserve">Income tax provision. </w:t>
      </w:r>
      <w:r>
        <w:rPr>
          <w:rFonts w:ascii="Times New Roman;sans-serif" w:hAnsi="Times New Roman;sans-serif"/>
          <w:b w:val="false"/>
          <w:color w:val="000000"/>
          <w:sz w:val="20"/>
        </w:rPr>
        <w:t>Our current income tax provision was $4.9 million and our deferred income tax provision was $51.7 million for the three months ended March 31, 2023. Our current income tax provision was $15.4 million and our deferred income tax provision was $53.1 million for the three months ended March 31, 2022. Our effective tax rates of 26% and 25% for the three months ended March 31, 2023 and 2022, respectively, differed from the U.S. federal statutory rate due primarily to permanent differences between book and taxable income and state taxes, primarily in New Mexico.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primary use of capital has been, and we expect will continue to be during the remainder of 2023 and for the foreseeable future, for the acquisition, exploration and development of oil and natural gas properties and for midstream investments. In April 2023, we closed on the Advance Acquisition that was funded through a combination of cash on hand and borrowings under our Credit Agreement, under which the elected commitment was increased from $775.0 million to $1.25 billion as of March 31, 2023. In addition, on April 11, 2023, we issued and sold $500.0 million in aggregate principal amount of 2028 Notes. We used the net proceeds from the sale of the 2028 Notes of approximately $487.6 million after deducting the initial purchasers’ discounts and estimated offering expenses, to partially repay borrowings under our Credit Agreement. Excluding the Advance Acquisition and any future significant acquisitions, we expect to fund our 2023 capital expenditures through a combination of cash on hand, operating cash flows and performance incentives paid to us by a subsidiary of Five Point Energy, LLC in connection with San Mateo. If capital expenditures were to exceed our operating cash flows during the remainder of 2023, we expect to fund any such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cash totaling $448.7 million and restricted cash totaling $54.7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(i) $699.2 million of outstanding 2026 Notes, (ii) no borrowings outstanding under the Credit Agreement and (iii) approximately $45.4 million in outstanding letters of credit issued pursuant to the Credit Agreement.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lenders under our Credit Agreement completed their review of our proved oil and natural gas reserves, and, as a result, we and our lenders entered into a Second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reaffirmation of the borrowing base constituted the regularly scheduled May 1 redetermination.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April 25, 2023, we had $625.0 million of borrowings outstanding under our Credit Agreement. At April 25, 2023, we had $699.2 million of outstanding 2026 Notes and $500.0 million of outstanding 2028 Notes.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We believe that we were in compliance with the terms of the Credit Agreement at March 31, 2023.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San Mateo had $475.0 million in borrowings outstanding under the San Mateo Credit Facility and approximately $9.0 million in outstanding letters of credit issued pursuant to the San Mateo Credit Facility. The San Mateo Credit Facility matures December 9, 2026, and the lender commitments under that facility were $485.0 million at March 31, 2023 (subject to San Mateo’s compliance with the covenants noted below). The San Mateo Credit Facility includes an accordion feature, which provides for potential increases in lender commitments of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March 31, 2023.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February 2023, the Board declared a quarterly cash dividend of $0.15 per share of common stock, which was paid on March 9, 2023 to shareholders of record as of February 27, 2023. In April 2023, the Board declared a quarterly cash dividend of $0.15 per share of common stock payable on June 1, 2023 to shareholders of record as of May 11, 2023.</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expect that development of our Delaware Basin assets will be the primary focus of our operations and capital expenditures for the remainder of 2023. We began 2023 operating seven contracted drilling rigs in the Delaware Basin. Upon the consummation of the Advance Acquisition in April 2023, we continued to operate the one contracted drilling rig that Advance had been operating. As a result, at April 25, 2023, we were operating eight contracted drilling rigs in the Delaware Basin. We have built significant optionality into our drilling program, which should generally allow us to decrease or increase the number of rigs we operate as necessary based on changing commodity prices and other factors. Our 2023 estimated capital expenditure budget consists of $1.18 to $1.32 billion for drilling, completing and equipping (“D/C/E”) capital expenditures, which includes expected D/C/E capital expenditures on acreage acquired in the Advance Acquisition, and $150.0 to $200.0 million for midstream capital expenditures, which reflects our proportionate share of San Mateo’s estimated 2023 capital expenditures as well as the estimated 2023 capital expenditures for other wholly-owned midstream projects, including projects undertaken by Pronto. Substantially all of these 2023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2023 Delaware Basin operated drilling program is expected to focus on the continued development of our various asset areas throughout the Delaware Basin, with a continued emphasis on drilling and completing a high percentage of longer horizontal wells in 2023, including 96% with anticipated completed lateral lengths of greater than one mile.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done this year and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we intend to continue evaluating the opportunistic acquisition of producing properties, acreage and mineral interests and midstream assets, principally in the Delaware Basin, during 2023. These monetizations, divestitures and expenditures are opportunity-specific, and purchase price multiples and per-acre prices can vary significantly based on the asset or prospect. As a result, it is difficult to estimate these 2023 monetizations, divestitures and capital expenditures with any degree of certainty; therefore, we have not provided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estimated proceeds related to monetizations or divestitures or estimated capital expenditures related to acquiring producing properties, acreage and mineral interests and midstream assets for 2023.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2023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Exploration and development activities are subject to a number of risks and uncertainties, which could cause these activities to be less successful than we anticipate. A significant portion of our anticipated cash flows from operations for the remainder of 2023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2023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unaudited cash flows for the three months ended March 31, 2023 and 2022 are presented below:</w:t>
      </w:r>
    </w:p>
    <w:tbl>
      <w:tblPr>
        <w:tblW w:w="9189" w:type="dxa"/>
        <w:jc w:val="left"/>
        <w:tblInd w:w="0" w:type="dxa"/>
        <w:tblCellMar>
          <w:top w:w="28" w:type="dxa"/>
          <w:left w:w="28" w:type="dxa"/>
          <w:bottom w:w="28" w:type="dxa"/>
          <w:right w:w="28" w:type="dxa"/>
        </w:tblCellMar>
      </w:tblPr>
      <w:tblGrid>
        <w:gridCol w:w="2358"/>
        <w:gridCol w:w="2081"/>
        <w:gridCol w:w="2086"/>
        <w:gridCol w:w="211"/>
        <w:gridCol w:w="826"/>
        <w:gridCol w:w="109"/>
        <w:gridCol w:w="109"/>
        <w:gridCol w:w="109"/>
        <w:gridCol w:w="109"/>
        <w:gridCol w:w="211"/>
        <w:gridCol w:w="826"/>
        <w:gridCol w:w="154"/>
      </w:tblGrid>
      <w:tr>
        <w:trPr/>
        <w:tc>
          <w:tcPr>
            <w:tcW w:w="2358"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2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(343,466)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(251,896)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20"/>
              </w:rPr>
              <w:t>attributable to Matador Resources Company shareholders</w:t>
            </w:r>
            <w:r>
              <w:rPr>
                <w:rFonts w:ascii="Times New Roman;sans-serif" w:hAnsi="Times New Roman;sans-serif"/>
                <w:b w:val="false"/>
                <w:color w:val="000000"/>
                <w:sz w:val="13"/>
              </w:rPr>
              <w:t xml:space="preserve">(1)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(loss) and net cash provided by operating activities, see “—Non-GAAP Financial Measures” below.</w:t>
      </w:r>
    </w:p>
    <w:p>
      <w:pPr>
        <w:pStyle w:val="TextBody"/>
        <w:spacing w:lineRule="auto" w:line="288" w:before="1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Operating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increased $10.5 million to $339.5 million for the three months ended March 31, 2023 from $329.0 million for the three months ended March 31, 2022. Excluding changes in operating assets and liabilities, net cash provided by operating activities decreased $85.0 million to $367.9 million for the three months ended March 31, 2023 from $452.9 million for the three months ended March 31, 2022. This decrease was primarily attributable to lower realized oil and natural gas prices, which was partially offset by higher oil and natural gas production for the three months ended March 31, 2023, as compared to the three months ended March 31, 2022. Changes in our operating assets and liabilities between the two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periods resulted in a net decrease of approximately $95.5 million in net cash provided by operating activities for the three months ended March 31, 2023, as compared to the three months ended March 31, 2022.</w:t>
      </w:r>
    </w:p>
    <w:p>
      <w:pPr>
        <w:pStyle w:val="TextBody"/>
        <w:spacing w:lineRule="auto" w:line="288" w:before="1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$91.6 million to $343.5 million for the three months ended March 31, 2023 from $251.9 million for the three months ended March 31, 2022. This increase in net cash used in investing activities was primarily due to (i) an increase between the periods of $16.3 million in D/C/E capital expenditures primarily attributable to our operated and non-operated drilling, completion and equipping activities in the Delaware Basin and (ii) an increase between the periods of $60.1 million in expenditures related to the acquisition of oil and natural gas properties, primarily due to an $80.0 million deposit paid in January 2023 as part of the purchase price for the Advance Acquisition. </w:t>
      </w:r>
    </w:p>
    <w:p>
      <w:pPr>
        <w:pStyle w:val="TextBody"/>
        <w:spacing w:lineRule="auto" w:line="288" w:before="1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Financing Activities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$3.9 million to $39.9 million for the three months ended March 31, 2023 from $43.8 million for the three months ended March 31, 2022. During the three months ended March 31, 2023, our primary uses of cash related to financing activities were for net borrowings under the San Mateo Credit Facility of $10.0 million, dividends of $17.8 million and payment of taxes related to stock-based compensation of $18.9 million. During the three months ended March 31, 2022, our primary use of cash related to financing activities was for the net repayment of $50.0 million in borrowings under our Credit Agreement.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See Note 4 to the interim unaudited condensed consolidated financial statements in this Quarterly Report for a summary of our debt, including the Credit Agreement, the San Mateo Credit Facility and the 2026 Notes.</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Guarantor Financial Information</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2026 Notes are jointly and severally guaranteed by the Guarantor Subsidiaries on a full and unconditional basis (except for customary release provisions). At March 31, 2023, the Guarantor Subsidiaries were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of the 2026 Notes.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of Matador (as issuer of the 2026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tbl>
      <w:tblPr>
        <w:tblW w:w="4241" w:type="dxa"/>
        <w:jc w:val="left"/>
        <w:tblInd w:w="0" w:type="dxa"/>
        <w:tblCellMar>
          <w:top w:w="28" w:type="dxa"/>
          <w:left w:w="28" w:type="dxa"/>
          <w:bottom w:w="28" w:type="dxa"/>
          <w:right w:w="28" w:type="dxa"/>
        </w:tblCellMar>
      </w:tblPr>
      <w:tblGrid>
        <w:gridCol w:w="878"/>
        <w:gridCol w:w="773"/>
        <w:gridCol w:w="779"/>
        <w:gridCol w:w="109"/>
        <w:gridCol w:w="109"/>
        <w:gridCol w:w="109"/>
        <w:gridCol w:w="233"/>
        <w:gridCol w:w="1081"/>
        <w:gridCol w:w="170"/>
      </w:tblGrid>
      <w:tr>
        <w:trPr/>
        <w:tc>
          <w:tcPr>
            <w:tcW w:w="87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917,928 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3,776,264 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576,581 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695,515 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548,978 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5968" w:type="dxa"/>
        <w:jc w:val="left"/>
        <w:tblInd w:w="0" w:type="dxa"/>
        <w:tblCellMar>
          <w:top w:w="28" w:type="dxa"/>
          <w:left w:w="28" w:type="dxa"/>
          <w:bottom w:w="28" w:type="dxa"/>
          <w:right w:w="28" w:type="dxa"/>
        </w:tblCellMar>
      </w:tblPr>
      <w:tblGrid>
        <w:gridCol w:w="1187"/>
        <w:gridCol w:w="1045"/>
        <w:gridCol w:w="1053"/>
        <w:gridCol w:w="109"/>
        <w:gridCol w:w="109"/>
        <w:gridCol w:w="109"/>
        <w:gridCol w:w="345"/>
        <w:gridCol w:w="1352"/>
        <w:gridCol w:w="178"/>
        <w:gridCol w:w="109"/>
        <w:gridCol w:w="109"/>
        <w:gridCol w:w="109"/>
        <w:gridCol w:w="154"/>
      </w:tblGrid>
      <w:tr>
        <w:trPr/>
        <w:tc>
          <w:tcPr>
            <w:tcW w:w="118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503,129 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287,001 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216,128 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151,385 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tbl>
      <w:tblPr>
        <w:tblW w:w="9633" w:type="dxa"/>
        <w:jc w:val="left"/>
        <w:tblInd w:w="0" w:type="dxa"/>
        <w:tblCellMar>
          <w:top w:w="28" w:type="dxa"/>
          <w:left w:w="28" w:type="dxa"/>
          <w:bottom w:w="28" w:type="dxa"/>
          <w:right w:w="28" w:type="dxa"/>
        </w:tblCellMar>
      </w:tblPr>
      <w:tblGrid>
        <w:gridCol w:w="2282"/>
        <w:gridCol w:w="2009"/>
        <w:gridCol w:w="2024"/>
        <w:gridCol w:w="211"/>
        <w:gridCol w:w="826"/>
        <w:gridCol w:w="109"/>
        <w:gridCol w:w="109"/>
        <w:gridCol w:w="109"/>
        <w:gridCol w:w="109"/>
        <w:gridCol w:w="211"/>
        <w:gridCol w:w="826"/>
        <w:gridCol w:w="109"/>
        <w:gridCol w:w="109"/>
        <w:gridCol w:w="109"/>
        <w:gridCol w:w="109"/>
        <w:gridCol w:w="109"/>
        <w:gridCol w:w="109"/>
        <w:gridCol w:w="154"/>
      </w:tblGrid>
      <w:tr>
        <w:trPr/>
        <w:tc>
          <w:tcPr>
            <w:tcW w:w="2282"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on impairment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contingent consideration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492"/>
        <w:gridCol w:w="2189"/>
        <w:gridCol w:w="2204"/>
        <w:gridCol w:w="211"/>
        <w:gridCol w:w="826"/>
        <w:gridCol w:w="109"/>
        <w:gridCol w:w="109"/>
        <w:gridCol w:w="109"/>
        <w:gridCol w:w="109"/>
        <w:gridCol w:w="211"/>
        <w:gridCol w:w="826"/>
        <w:gridCol w:w="109"/>
        <w:gridCol w:w="109"/>
        <w:gridCol w:w="109"/>
        <w:gridCol w:w="109"/>
        <w:gridCol w:w="109"/>
        <w:gridCol w:w="109"/>
        <w:gridCol w:w="156"/>
      </w:tblGrid>
      <w:tr>
        <w:trPr/>
        <w:tc>
          <w:tcPr>
            <w:tcW w:w="2492"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non-cash portion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contingent consideration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income attributable to Matador shareholders decreased $44.0 million to $163.1 million, as compared to net income attributable to Matador shareholders of $207.1 million for the three months ended March 31, 2022. The decrease in net income attributable to Matador shareholders primarily resulted from lower realized oil and natural gas prices for the three months ended March 31, 2023, as compared to the three months ended March 31, 2022. This decrease was partially offset by higher oil and natural gas production and an unrealized loss on derivatives of $7.1 million for the three months ended March 31, 2023, as compared to an unrealized loss on derivatives of $75.0 million for the three months ended March 31, 2022.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decreased $96.6 million to $365.2 million for the three months ended March 31, 2023, as compared to $461.8 million for the three months ended March 31, 2022. This decrease is primarily attributable to lower realized oil and natural gas prices, which were partially offset by higher oil and natural gas production, for the three months ended March 31, 2023, as compared to the three months ended March 31, 2022.</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off-balance sheet arrangements and transactions that can give rise to material off-balance sheet obligations. As of March 31, 2023,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Obligations and Commitments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had the following material contractual obligations and commitments at March 31, 2023: </w:t>
      </w:r>
    </w:p>
    <w:tbl>
      <w:tblPr>
        <w:tblW w:w="10205" w:type="dxa"/>
        <w:jc w:val="left"/>
        <w:tblInd w:w="0" w:type="dxa"/>
        <w:tblCellMar>
          <w:top w:w="28" w:type="dxa"/>
          <w:left w:w="28" w:type="dxa"/>
          <w:bottom w:w="28" w:type="dxa"/>
          <w:right w:w="28" w:type="dxa"/>
        </w:tblCellMar>
      </w:tblPr>
      <w:tblGrid>
        <w:gridCol w:w="1129"/>
        <w:gridCol w:w="850"/>
        <w:gridCol w:w="84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112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8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w:t>
              <w:br/>
              <w:t>Than</w:t>
              <w:br/>
              <w:t>5 Years</w:t>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Borrowings, including letters of credit</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Senior unsecured notes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Non-operated drilling commitments</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Drilling rig contracts</w:t>
            </w:r>
            <w:r>
              <w:rPr>
                <w:rFonts w:ascii="Times New Roman;sans-serif" w:hAnsi="Times New Roman;sans-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Asset retirement obligations</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Transportation, gathering, processing and disposal agreements with non-affiliates</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Transportation, gathering, processing and disposal agreements with San Mateo</w:t>
            </w:r>
            <w:r>
              <w:rPr>
                <w:rFonts w:ascii="Times New Roman;sans-serif" w:hAnsi="Times New Roman;sans-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Midstream compressor contracts</w:t>
            </w:r>
            <w:r>
              <w:rPr>
                <w:rFonts w:ascii="Times New Roman;sans-serif" w:hAnsi="Times New Roman;sans-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282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282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amounts included in the table above represent principal maturities only. At March 31, 2023, we had no borrowings outstanding under the Credit Agreement and approximately $45.4 million in outstanding letters of credit issued pursuant to the Credit Agreement. The Credit Agreement matures October 31, 2026. At March 31, 2023, San Mateo had $475.0 million of borrowings outstanding under the San Mateo Credit Facility and approximately $9.0 million in outstanding letters of credit issued pursuant to the San Mateo Credit Facility. The San Mateo Credit Facility matures December 9, 2026. Assuming the amount outstanding and interest rate of 7.16% for the San Mateo Credit Facility at March 31, 2023, the interest expense is expected to be approximately $34.5 million each year until maturity.</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$699.2 million of outstanding 2026 Notes as of March 31, 2023 is expected to be approximately $41.1 million each year until maturity.</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(3)At March 31, 2023, we had outstanding commitments to participate in the drilling and completion of various non-operated wells.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(4)We do not own or operate our own drilling rigs, but instead we enter into contracts with third parties for such drilling rigs.</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March 31, 2023.</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 </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(7)We dedicated to San Mateo our current and certain future leasehold interests in the Rustler Breaks and Wolf asset areas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9 to the interim unaudited condensed consolidated financial statements in this Quarterly Report for more information about these contractual commitments.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(8)At March 31, 2023, we had outstanding commitments to purchase 12 compressors to be utilized in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General Outlook and Trends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ongoing military conflict between Russia and Ukraine as well as political instability in China and the Middle East, the actions of Organization of Petroleum Exporting Countries, Russia and certain other oil-exporting countries (“OPEC+”), the ongoing impact of COVID-19 and its variants, weather, pipeline capacity constraints, inventory storage levels, oil and natural gas price differentials and other factors.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Oil prices were lower in the first quarter of 2023, as compared to the first quarter of 2022. For the three months ended March 31, 2023, oil prices averaged $75.99 per Bbl, ranging from a high of $81.62 per Bbl in late January to a low of $66.74 per Bbl in mid-March, based upon the West Texas Intermediate (“WTI”) oil futures contract price for the earliest delivery date. Oil prices averaged $95.01 per Bbl for the three months ended March 31, 2022. We realized a weighted average oil price of $75.74 per Bbl (with no realized gains or losses from oil derivatives) for our oil production for the three months ended March 31, 2023, as compared to $95.45 per Bbl ($91.68 per Bbl including realized losses from oil derivatives) for our oil production for the three months ended March 31, 2022. At April 25, 2023, the WTI oil futures contract for the earliest delivery date had increased from the average price for the first quarter of 2023 of $75.99 per Bbl, settling at $77.07 per Bbl, which was a decrease as compared to $98.54 per Bbl at April 25,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Natural gas prices were also lower in the first quarter of 2023, as compared to the first quarter of 2022. For the three months ended March 31, 2023, natural gas prices averaged $2.74 per MMBtu, ranging from a high of $4.17 per MMBtu in early January to a low of $1.99 per MMBtu in late March, based upon the NYMEX Henry Hub natural gas futures contract price for the earliest delivery date. Natural gas prices averaged $4.59 per MMBtu for the three months ended March 31, 2022. We realized a weighted average natural gas price of $3.93 per Mcf ($4.07 per Mcf including realized gains from natural gas derivatives) for our natural gas production (including revenues attributable to NGLs) for the three months ended March 31, 2023, as compared to $7.63 per Mcf ($7.43 per Mcf including realized losses from natural gas derivatives) for our natural gas production (including revenues attributable to NGLs) for the three months ended March 31, 2022. Certain volumes of our natural gas production are sold at prices established at the beginning of each month by the various markets where we sell our natural gas production, and certain volumes of our natural gas production are sold at daily market prices. At April 25, 2023, the NYMEX Henry Hub natural gas futures contract price for the earliest delivery date had increased from $2.22 per MMBtu at the end of the first quarter of 2023, settling at $2.31 per MMBtu, which was a decrease as compared to $6.67 per MMBtu at April 25, 2022.</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March 31, 2023,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Midland-Cushing (Oklahoma) oil price differential has been highly volatile in recent years. At April 25, 2023, this oil price differential was positive at approximately +$0.70 per Bbl.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volumes of our Delaware Basin natural gas production are exposed to the Waha-Henry Hub basis differential, which has also been highly volatile in recent years. In early 2022, concerns about natural gas pipeline takeaway capacity out of the Delaware Basin began to increase, particularly beginning in the latter half of 2022 and into 2023. As a result, the Waha basis differential began to widen, and, at April 25, 2023, this natural gas price differential was approximately ($1.20) per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MMBtu. A significant portion of our Delaware Basin natural gas production, however, is sold at Houston Ship Channel pricing and is not exposed to Waha pricing. During 2022 and the first quarter of 2023,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10% of our reported natural gas production for the three months ended March 31, 2023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three months of 2023, we incurred realized gains on our natural gas derivative contracts of approximately $3.7 million resulting from natural gas prices that were below the floor prices of certain of our natural gas costless collar contracts, offset by natural gas prices that were above the strike price of our natural gas basis swap contract. At April 25, 2023, we have derivative natural gas basis swap contracts in place to mitigate our exposure to the Waha basis differential for approximately 13.75 Bcf of our anticipated natural gas production for the remainder of 2023.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April 25, 2023, we had not experienced material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we may temporarily shut in certain high gas-oil ratio wells and take other actions to mitigate the impact on our realized natural gas prices and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a result of the increases in oil prices during 2022, 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experienced in recent periods throughout the United States and global economy and in the oil and natural gas industry may limit our ability to procure the necessary products and services we need for drilling, completing and producing wells in a timely fashion, which could result in delays to our operations and could, in turn, adversely affect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in 2022 we utilized substantially all of our federal and state net operating loss carryforwards and became subject to federal and state income taxes. At April 25, 2023, given our current projections, we expect to pay federal income taxes and state income taxes in New Mexico in 2023, as reflected by our current income tax provision of $4.9 million for the three months ended March 31, 2023.</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implemented similar rules and regulations. These and other laws, rules and regulations, including any federal legislation,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or orders intended to limit or restrict oil and natural gas operations on federal lands, if enacted, could have an adverse impact on our business, financial condition, results of operations and cash flows.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lapsed at March 31, 2023. In 2019, 2020 and 2021, an environmental group filed three lawsuits in federal district courts in New Mexico and the District of Columbia challenging certain Bureau of Land Management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has, at times, indicated that the lease sale litigation or the social cost of carbon litigation will require additional processes and approvals or may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 in the Annual Report.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salt water disposal well that we acquired as part of the Advance Acquisition is currently subject to enhanced reporting and curtailment due to the magnitude and proximity of seismic events to such well.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to the sources and effects of our market risk since December 31, 2022, which are disclosed in Part II, Item 7A of the Annual Report and incorporated herein by reference.</w:t>
      </w:r>
    </w:p>
    <w:p>
      <w:pPr>
        <w:pStyle w:val="TextBody"/>
        <w:spacing w:lineRule="auto" w:line="288" w:before="120" w:after="283"/>
        <w:ind w:left="0" w:right="0" w:firstLine="495"/>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all derivative financial instruments at fair value. The fair value of our derivative financial instruments is determined using purchase and sale information available for similarly traded securities. At March 31, 2023, PNC Bank (or affiliates thereof) was the counterparty for all of our derivative instruments. We have considered the credit standing of the counterparty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of Disclosure Controls and Procedures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2023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spacing w:lineRule="auto" w:line="240" w:before="12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Internal Control over Financial Reporting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changes in our internal controls that have materially affected or are reasonably likely to have a material effect on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regarding the legal proceedings we have disclosed in “Item 3. Legal Proceedings” in the Annual Report.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November 4, 2019, we received a Notice of Violation and Finding of Violation from the Environmental Protection Agency (the “EPA”) and a Notice of Violation from the NMED alleging violations of the Clean Air Act and the New Mexico State Implementation Plan at certain of our operated locations in New Mexico.</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March 27, 2023, we resolved these allegations with the EPA and the NMED with a consent decree in which we agreed to spend at least $1.25 million on a supplemental environmental project involving diesel engine replacements, at least $500,000 on aerial emissions monitoring improvements and to pay a civil penalty of $1.15 million to be split between the United States and the State of New Mexico. The consent decree will not become effective until it is formally entered by the U.S. District Court for the District of New Mexico following a period of public comment, which is scheduled to end on April 30,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and uncertainties in the course of our business. For a discussion of such risks and uncertainties, please see “Item 1A. Risk Factors” in the Annual Report. There have been no material changes to the risk factors we have disclosed in the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2. Repurchase of Equity by the Company or Affiliates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2023, the Company re-acquired shares of common stock from certain employees in order to satisfy the employees’ tax liability in connection with the vesting of restricted stock. </w:t>
      </w:r>
    </w:p>
    <w:tbl>
      <w:tblPr>
        <w:tblW w:w="10205" w:type="dxa"/>
        <w:jc w:val="left"/>
        <w:tblInd w:w="0" w:type="dxa"/>
        <w:tblCellMar>
          <w:top w:w="28" w:type="dxa"/>
          <w:left w:w="28" w:type="dxa"/>
          <w:bottom w:w="28" w:type="dxa"/>
          <w:right w:w="28" w:type="dxa"/>
        </w:tblCellMar>
      </w:tblPr>
      <w:tblGrid>
        <w:gridCol w:w="530"/>
        <w:gridCol w:w="405"/>
        <w:gridCol w:w="408"/>
        <w:gridCol w:w="109"/>
        <w:gridCol w:w="109"/>
        <w:gridCol w:w="109"/>
        <w:gridCol w:w="522"/>
        <w:gridCol w:w="497"/>
        <w:gridCol w:w="499"/>
        <w:gridCol w:w="109"/>
        <w:gridCol w:w="109"/>
        <w:gridCol w:w="109"/>
        <w:gridCol w:w="291"/>
        <w:gridCol w:w="851"/>
        <w:gridCol w:w="150"/>
        <w:gridCol w:w="109"/>
        <w:gridCol w:w="109"/>
        <w:gridCol w:w="109"/>
        <w:gridCol w:w="787"/>
        <w:gridCol w:w="787"/>
        <w:gridCol w:w="789"/>
        <w:gridCol w:w="109"/>
        <w:gridCol w:w="109"/>
        <w:gridCol w:w="109"/>
        <w:gridCol w:w="694"/>
        <w:gridCol w:w="694"/>
        <w:gridCol w:w="993"/>
      </w:tblGrid>
      <w:tr>
        <w:trPr/>
        <w:tc>
          <w:tcPr>
            <w:tcW w:w="53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r>
      <w:tr>
        <w:trPr/>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 or Programs</w:t>
            </w:r>
          </w:p>
        </w:tc>
      </w:tr>
      <w:tr>
        <w:trPr/>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to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to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19,340 </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to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19,993 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12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shares were not re-acquired pursuant to any repurchase plan or program. The Company re-acquired shares of common stock from certain employees in order to satisfy the employees’ tax liability in connection with the vesting of restricted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3026"/>
        <w:gridCol w:w="2872"/>
        <w:gridCol w:w="2901"/>
        <w:gridCol w:w="109"/>
        <w:gridCol w:w="109"/>
        <w:gridCol w:w="155"/>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6"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2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Securities Purchase Agreement, dated January 24, 2023, by and among MRC Hat Mesa, LLC, MRC Energy Company (solely for the limited purposes stated therein), AEP EnCap HoldCo, LLC, Ameradvance Management LLC and Advance Energy Partners Holdings, LLC (incorporated by reference to Exhibit 2.1 to the Current Report on Form 8-K filed on January 24, 2023).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April 11, 2023, by and among the Company, the Guarantor Subsidiaries and Computershare Trust Company, N.A., as trustee (incorporated by reference to Exhibit 4.1 to the Current Report on Form 8-K filed on April 11, 2023).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Second Amendment to Fourth Amended and Restated Credit Agreement, dated as of March 31, 2023, by and among MRC Energy Company, as Borrower, the Lenders party thereto, Royal Bank of Canada, as resigning Administrative Agent for the Lenders, and Truist Bank, as successor Administrative Agent for the Lenders (incorporated by reference to Exhibit 10.1 to the Current Report on Form 8-K filed on April 3, 2023).</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mtdr10qex102.htm">
              <w:r>
                <w:rPr>
                  <w:rStyle w:val="InternetLink"/>
                  <w:rFonts w:ascii="Times New Roman;sans-serif" w:hAnsi="Times New Roman;sans-serif"/>
                  <w:b w:val="false"/>
                  <w:color w:val="0000FF"/>
                  <w:sz w:val="20"/>
                  <w:u w:val="single"/>
                </w:rPr>
                <w:t>Third Amendment to Fourth Amended and Restated Credit Agreement, dated as of April 10, 2023, by and among MRC Energy Company, as Borrower, the Lenders party thereto and Truist Bank, as Administrative Agent for the Lenders (filed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mtdr10qex221.htm">
              <w:r>
                <w:rPr>
                  <w:rStyle w:val="InternetLink"/>
                  <w:rFonts w:ascii="Times New Roman;sans-serif" w:hAnsi="Times New Roman;sans-serif"/>
                  <w:b w:val="false"/>
                  <w:color w:val="0000FF"/>
                  <w:sz w:val="20"/>
                  <w:u w:val="single"/>
                </w:rPr>
                <w:t>List of Subsidiary Guarantors (filed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mtdr10q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mtdr10q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mtdr10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30331mtdr10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Quarterly Report on Form 10-Q for the quarter ended March 31, 2023,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9"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9"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9"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db65d7b91844090994edbc139f55d97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5814" w:type="dxa"/>
        <w:jc w:val="right"/>
        <w:tblInd w:w="0" w:type="dxa"/>
        <w:tblCellMar>
          <w:top w:w="28" w:type="dxa"/>
          <w:left w:w="28" w:type="dxa"/>
          <w:bottom w:w="28" w:type="dxa"/>
          <w:right w:w="28" w:type="dxa"/>
        </w:tblCellMar>
      </w:tblPr>
      <w:tblGrid>
        <w:gridCol w:w="645"/>
        <w:gridCol w:w="568"/>
        <w:gridCol w:w="571"/>
        <w:gridCol w:w="134"/>
        <w:gridCol w:w="134"/>
        <w:gridCol w:w="136"/>
        <w:gridCol w:w="109"/>
        <w:gridCol w:w="109"/>
        <w:gridCol w:w="109"/>
        <w:gridCol w:w="964"/>
        <w:gridCol w:w="964"/>
        <w:gridCol w:w="1371"/>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tbl>
      <w:tblPr>
        <w:tblW w:w="9850" w:type="dxa"/>
        <w:jc w:val="right"/>
        <w:tblInd w:w="0" w:type="dxa"/>
        <w:tblCellMar>
          <w:top w:w="28" w:type="dxa"/>
          <w:left w:w="28" w:type="dxa"/>
          <w:bottom w:w="28" w:type="dxa"/>
          <w:right w:w="28" w:type="dxa"/>
        </w:tblCellMar>
      </w:tblPr>
      <w:tblGrid>
        <w:gridCol w:w="645"/>
        <w:gridCol w:w="568"/>
        <w:gridCol w:w="571"/>
        <w:gridCol w:w="134"/>
        <w:gridCol w:w="134"/>
        <w:gridCol w:w="136"/>
        <w:gridCol w:w="109"/>
        <w:gridCol w:w="109"/>
        <w:gridCol w:w="109"/>
        <w:gridCol w:w="2140"/>
        <w:gridCol w:w="2140"/>
        <w:gridCol w:w="3055"/>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3055"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President of Midstream Operations and Executive Vice President</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THIRD AMENDMENT TO FOURTH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AMENDED AND RESTATED CREDIT AGREEMENT </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This THIRD AMENDMENT TO FOURTH AMENDED AND RESTATED CREDIT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April 10, 2023 (the “</w:t>
      </w:r>
      <w:r>
        <w:rPr>
          <w:rFonts w:ascii="Times New Roman;sans-serif" w:hAnsi="Times New Roman;sans-serif"/>
          <w:b w:val="false"/>
          <w:color w:val="000000"/>
          <w:sz w:val="24"/>
          <w:u w:val="single"/>
        </w:rPr>
        <w:t>Third Amendment Effective Date</w:t>
      </w:r>
      <w:r>
        <w:rPr>
          <w:color w:val="000000"/>
        </w:rPr>
        <w:t>”</w:t>
      </w:r>
      <w:r>
        <w:rPr>
          <w:rFonts w:ascii="Times New Roman;sans-serif" w:hAnsi="Times New Roman;sans-serif"/>
          <w:b w:val="false"/>
          <w:color w:val="000000"/>
          <w:sz w:val="24"/>
        </w:rPr>
        <w:t>), by and among MRC ENERGY COMPANY, a Texas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LENDERS party hereto and TRUIST BANK, as administrative agent for the Lenders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Unless otherwise expressly defined herein, capitalized terms used but not defined in this Amendment have the meanings assigned to such terms in the Credit Agreement (as defined below).</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WITNESSETH:</w:t>
      </w:r>
    </w:p>
    <w:p>
      <w:pPr>
        <w:pStyle w:val="TextBody"/>
        <w:spacing w:lineRule="auto" w:line="240" w:before="240" w:after="240"/>
        <w:ind w:left="0" w:right="0" w:firstLine="720"/>
        <w:jc w:val="both"/>
        <w:rPr/>
      </w:pP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the Borrower, the Administrative Agent and the Lenders have entered into that certain Fourth Amended and Restated Credit Agreement, dated as of November 18, 2021 (as amended, supplemented or otherwise modified and in effect prior to the Third Amendment Effective Date,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and the Existing Credit Agreement, as amended by this Amendment,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subject to the terms and conditions set forth herein, the Borrower has requested that the Administrative Agent and the Lenders amend the Existing Credit Agreement in certain respects, subject to the terms and conditions set forth herein, and the Administrative Agent and the Lenders party hereto have agreed to such request on the terms and conditions hereinafter set forth; and</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Lenders party hereto constitute at least the Majority Lenders.</w:t>
      </w:r>
    </w:p>
    <w:p>
      <w:pPr>
        <w:pStyle w:val="TextBody"/>
        <w:spacing w:lineRule="auto" w:line="240" w:before="0" w:after="240"/>
        <w:ind w:left="0" w:right="0" w:firstLine="72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for and in consideration of the mutual covenants and agreements herein contained and other good and valuable consideration, the receipt and sufficiency of which are hereby acknowledged and confessed, the Borrower, the Administrative Agent and the Lenders party hereto hereby agree as follows:</w:t>
      </w:r>
    </w:p>
    <w:p>
      <w:pPr>
        <w:pStyle w:val="TextBody"/>
        <w:spacing w:lineRule="auto" w:line="240" w:before="0" w:after="240"/>
        <w:jc w:val="both"/>
        <w:rPr/>
      </w:pPr>
      <w:r>
        <w:rPr>
          <w:rFonts w:ascii="Times New Roman;sans-serif" w:hAnsi="Times New Roman;sans-serif"/>
          <w:b/>
          <w:color w:val="000000"/>
          <w:sz w:val="24"/>
        </w:rPr>
        <w:t>SECTION 1.</w:t>
      </w:r>
      <w:r>
        <w:rPr>
          <w:rFonts w:ascii="Times New Roman;sans-serif" w:hAnsi="Times New Roman;sans-serif"/>
          <w:b/>
          <w:color w:val="000000"/>
          <w:sz w:val="24"/>
          <w:u w:val="single"/>
        </w:rPr>
        <w:t>Amendment to Section 8.1(q) of the Existing Credit Agreement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Subject to the satisfaction or waiver in writing of each condition precedent set forth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of this Amendment, and in reliance on the representations, warranties, covenants and agreements contained in this Amendment, Section 8.1(q) of the Existing Credit Agreement shall be and it hereby is amended to replace the reference therein to “$1,100,000,000.00” with a reference to “$1,300,000,000.00”.</w:t>
      </w:r>
    </w:p>
    <w:p>
      <w:pPr>
        <w:pStyle w:val="TextBody"/>
        <w:spacing w:lineRule="auto" w:line="240" w:before="0" w:after="240"/>
        <w:jc w:val="both"/>
        <w:rPr/>
      </w:pPr>
      <w:r>
        <w:rPr>
          <w:rFonts w:ascii="Times New Roman;sans-serif" w:hAnsi="Times New Roman;sans-serif"/>
          <w:b/>
          <w:color w:val="000000"/>
          <w:sz w:val="24"/>
        </w:rPr>
        <w:t>SECTION 2.</w:t>
      </w:r>
      <w:r>
        <w:rPr>
          <w:rFonts w:ascii="Times New Roman;sans-serif" w:hAnsi="Times New Roman;sans-serif"/>
          <w:b/>
          <w:color w:val="000000"/>
          <w:sz w:val="24"/>
        </w:rPr>
        <w:t xml:space="preserve">Conditions. </w:t>
      </w:r>
      <w:r>
        <w:rPr>
          <w:rFonts w:ascii="Times New Roman;sans-serif" w:hAnsi="Times New Roman;sans-serif"/>
          <w:b w:val="false"/>
          <w:color w:val="000000"/>
          <w:sz w:val="24"/>
        </w:rPr>
        <w:t xml:space="preserve">The amendment to the Credit Agreement contained in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 xml:space="preserve">of this Amendment shall be effective upon the satisfaction of each of the conditions set forth in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00000"/>
          <w:sz w:val="24"/>
        </w:rPr>
        <w:t>2.1    Execution and Delivery</w:t>
      </w:r>
      <w:r>
        <w:rPr>
          <w:rFonts w:ascii="Times New Roman;sans-serif" w:hAnsi="Times New Roman;sans-serif"/>
          <w:b w:val="false"/>
          <w:color w:val="000000"/>
          <w:sz w:val="24"/>
        </w:rPr>
        <w:t>. The Administrative Agent shall have received a duly executed counterpart of (a) this Amendment signed by the Borrower, the Majority Lenders, and the Administrative Agent and (b) the Consent and Reaffirmation attached hereto signed by each Guarantor.</w:t>
      </w:r>
    </w:p>
    <w:p>
      <w:pPr>
        <w:pStyle w:val="TextBody"/>
        <w:spacing w:lineRule="auto" w:line="240" w:before="0" w:after="240"/>
        <w:ind w:left="0" w:right="0" w:firstLine="720"/>
        <w:jc w:val="both"/>
        <w:rPr/>
      </w:pPr>
      <w:r>
        <w:rPr>
          <w:rFonts w:ascii="Times New Roman;sans-serif" w:hAnsi="Times New Roman;sans-serif"/>
          <w:b/>
          <w:color w:val="000000"/>
          <w:sz w:val="24"/>
        </w:rPr>
        <w:t>2.2    No Default.</w:t>
      </w:r>
      <w:r>
        <w:rPr>
          <w:color w:val="000000"/>
        </w:rPr>
        <w:t xml:space="preserve"> </w:t>
      </w:r>
      <w:r>
        <w:rPr>
          <w:rFonts w:ascii="Times New Roman;sans-serif" w:hAnsi="Times New Roman;sans-serif"/>
          <w:b w:val="false"/>
          <w:color w:val="000000"/>
          <w:sz w:val="24"/>
        </w:rPr>
        <w:t>No Default or Event of Default shall have occurred and be continuing.</w:t>
      </w:r>
    </w:p>
    <w:p>
      <w:pPr>
        <w:pStyle w:val="TextBody"/>
        <w:spacing w:lineRule="auto" w:line="240" w:before="0" w:after="240"/>
        <w:jc w:val="both"/>
        <w:rPr/>
      </w:pPr>
      <w:r>
        <w:rPr>
          <w:rFonts w:ascii="Times New Roman;sans-serif" w:hAnsi="Times New Roman;sans-serif"/>
          <w:b/>
          <w:color w:val="000000"/>
          <w:sz w:val="24"/>
        </w:rPr>
        <w:t>SECTION 3.</w:t>
      </w:r>
      <w:r>
        <w:rPr>
          <w:rFonts w:ascii="Times New Roman;sans-serif" w:hAnsi="Times New Roman;sans-serif"/>
          <w:b/>
          <w:color w:val="000000"/>
          <w:sz w:val="24"/>
        </w:rPr>
        <w:t>Representations and Warranties.</w:t>
      </w:r>
      <w:r>
        <w:rPr>
          <w:color w:val="000000"/>
        </w:rPr>
        <w:t xml:space="preserve"> </w:t>
      </w:r>
      <w:r>
        <w:rPr>
          <w:rFonts w:ascii="Times New Roman;sans-serif" w:hAnsi="Times New Roman;sans-serif"/>
          <w:b w:val="false"/>
          <w:color w:val="000000"/>
          <w:sz w:val="24"/>
        </w:rPr>
        <w:t>To induce the Lenders to enter into this Amendment, the Borrower hereby represents and warrants to the Lenders as follows: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2260"/>
                <wp:effectExtent l="0" t="0" r="0" b="0"/>
                <wp:wrapNone/>
                <wp:docPr id="40" name="Frame40"/>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200" w:after="283"/>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4"/>
        </w:rPr>
        <w:t>3.1    Reaffirmation of Representations and Warranties.</w:t>
      </w:r>
      <w:r>
        <w:rPr>
          <w:color w:val="000000"/>
        </w:rPr>
        <w:t xml:space="preserve"> </w:t>
      </w:r>
      <w:r>
        <w:rPr>
          <w:rFonts w:ascii="Times New Roman;sans-serif" w:hAnsi="Times New Roman;sans-serif"/>
          <w:b w:val="false"/>
          <w:color w:val="000000"/>
          <w:sz w:val="24"/>
        </w:rPr>
        <w:t>After giving effect to the amendments herein, each representation and warranty of the Borrower, the Parent and each other Credit Party contained in the Credit Agreement and in each of the other Loan Documents to which it is a party is true and correct in all material respects as of the date hereof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w:t>
      </w:r>
    </w:p>
    <w:p>
      <w:pPr>
        <w:pStyle w:val="TextBody"/>
        <w:spacing w:lineRule="auto" w:line="240" w:before="0" w:after="240"/>
        <w:ind w:left="0" w:right="0" w:firstLine="720"/>
        <w:jc w:val="both"/>
        <w:rPr/>
      </w:pPr>
      <w:r>
        <w:rPr>
          <w:rFonts w:ascii="Times New Roman;sans-serif" w:hAnsi="Times New Roman;sans-serif"/>
          <w:b/>
          <w:color w:val="000000"/>
          <w:sz w:val="24"/>
        </w:rPr>
        <w:t>3.2    Corporate Authority; No Conflicts.</w:t>
      </w:r>
      <w:r>
        <w:rPr>
          <w:color w:val="000000"/>
        </w:rPr>
        <w:t xml:space="preserve"> </w:t>
      </w:r>
      <w:r>
        <w:rPr>
          <w:rFonts w:ascii="Times New Roman;sans-serif" w:hAnsi="Times New Roman;sans-serif"/>
          <w:b w:val="false"/>
          <w:color w:val="000000"/>
          <w:sz w:val="24"/>
        </w:rPr>
        <w:t xml:space="preserve">The execution, delivery and performance by the Borrower, the Parent and each other Credit Party of this Amendment and all documents, instruments and agreements contemplated herein are within such Credit Party’s corporate, limited liability company or limited partnership, as applicable, powers, have been duly authorized by necessary corporate action by such Credit Party, require no action by or in respect of, or filing with, any court or agency of government (except for the recording and filing of Collateral Documents and financing statements) and (a) do not violate in any material respect any Requirement of Law, (b) are not in contravention of the terms of any material Contractual Obligation, indenture, agreement or undertaking to which such Credit Party is a party or by which it or its properties are bound where such violation could reasonably be expected to have a Material Adverse Effect, and (c) do not result in the creation or imposition of any Lien upon any of the assets of such Credit Party except for Liens permitted by </w:t>
      </w:r>
      <w:r>
        <w:rPr>
          <w:rFonts w:ascii="Times New Roman;sans-serif" w:hAnsi="Times New Roman;sans-serif"/>
          <w:b w:val="false"/>
          <w:color w:val="000000"/>
          <w:sz w:val="24"/>
          <w:u w:val="single"/>
        </w:rPr>
        <w:t>Section 8.2</w:t>
      </w:r>
      <w:r>
        <w:rPr>
          <w:color w:val="000000"/>
        </w:rPr>
        <w:t xml:space="preserve"> </w:t>
      </w:r>
      <w:r>
        <w:rPr>
          <w:rFonts w:ascii="Times New Roman;sans-serif" w:hAnsi="Times New Roman;sans-serif"/>
          <w:b w:val="false"/>
          <w:color w:val="000000"/>
          <w:sz w:val="24"/>
        </w:rPr>
        <w:t>of the Credit Agreement and otherwise as permitted in the Credit Agreement.</w:t>
      </w:r>
    </w:p>
    <w:p>
      <w:pPr>
        <w:pStyle w:val="TextBody"/>
        <w:spacing w:lineRule="auto" w:line="240" w:before="0" w:after="240"/>
        <w:ind w:left="0" w:right="0" w:firstLine="720"/>
        <w:jc w:val="both"/>
        <w:rPr/>
      </w:pPr>
      <w:r>
        <w:rPr>
          <w:rFonts w:ascii="Times New Roman;sans-serif" w:hAnsi="Times New Roman;sans-serif"/>
          <w:b/>
          <w:color w:val="000000"/>
          <w:sz w:val="24"/>
        </w:rPr>
        <w:t>3.3    Enforceability.</w:t>
      </w:r>
      <w:r>
        <w:rPr>
          <w:color w:val="000000"/>
        </w:rPr>
        <w:t xml:space="preserve"> </w:t>
      </w:r>
      <w:r>
        <w:rPr>
          <w:rFonts w:ascii="Times New Roman;sans-serif" w:hAnsi="Times New Roman;sans-serif"/>
          <w:b w:val="false"/>
          <w:color w:val="000000"/>
          <w:sz w:val="24"/>
        </w:rPr>
        <w:t>This Amendment constitutes the valid and binding obligation of the Borrower enforceable in accordance with its terms, except as the enforceability thereof may be limited by (i) bankruptcy, insolvency or similar laws affecting creditor’s rights generally, and (ii) equitable principles of general application.</w:t>
      </w:r>
    </w:p>
    <w:p>
      <w:pPr>
        <w:pStyle w:val="TextBody"/>
        <w:spacing w:lineRule="auto" w:line="240" w:before="0" w:after="240"/>
        <w:ind w:left="0" w:right="0" w:firstLine="720"/>
        <w:jc w:val="both"/>
        <w:rPr/>
      </w:pPr>
      <w:r>
        <w:rPr>
          <w:rFonts w:ascii="Times New Roman;sans-serif" w:hAnsi="Times New Roman;sans-serif"/>
          <w:b/>
          <w:color w:val="000000"/>
          <w:sz w:val="24"/>
        </w:rPr>
        <w:t>3.4    No Default.</w:t>
      </w:r>
      <w:r>
        <w:rPr>
          <w:color w:val="000000"/>
        </w:rPr>
        <w:t xml:space="preserve"> </w:t>
      </w:r>
      <w:r>
        <w:rPr>
          <w:rFonts w:ascii="Times New Roman;sans-serif" w:hAnsi="Times New Roman;sans-serif"/>
          <w:b w:val="false"/>
          <w:color w:val="000000"/>
          <w:sz w:val="24"/>
        </w:rPr>
        <w:t>No Default or Event of Default has occurred and is continuing.</w:t>
      </w:r>
    </w:p>
    <w:p>
      <w:pPr>
        <w:pStyle w:val="TextBody"/>
        <w:spacing w:lineRule="auto" w:line="240" w:before="0" w:after="240"/>
        <w:jc w:val="both"/>
        <w:rPr/>
      </w:pPr>
      <w:r>
        <w:rPr>
          <w:rFonts w:ascii="Times New Roman;sans-serif" w:hAnsi="Times New Roman;sans-serif"/>
          <w:b/>
          <w:color w:val="000000"/>
          <w:sz w:val="24"/>
        </w:rPr>
        <w:t>SECTION 4.</w:t>
      </w:r>
      <w:r>
        <w:rPr>
          <w:rFonts w:ascii="Times New Roman;sans-serif" w:hAnsi="Times New Roman;sans-serif"/>
          <w:b/>
          <w:color w:val="000000"/>
          <w:sz w:val="24"/>
        </w:rPr>
        <w:t>Miscellaneous.</w:t>
      </w:r>
    </w:p>
    <w:p>
      <w:pPr>
        <w:pStyle w:val="TextBody"/>
        <w:spacing w:lineRule="auto" w:line="240" w:before="0" w:after="240"/>
        <w:ind w:left="0" w:right="0" w:firstLine="720"/>
        <w:jc w:val="both"/>
        <w:rPr/>
      </w:pPr>
      <w:r>
        <w:rPr>
          <w:rFonts w:ascii="Times New Roman;sans-serif" w:hAnsi="Times New Roman;sans-serif"/>
          <w:b/>
          <w:color w:val="000000"/>
          <w:sz w:val="24"/>
        </w:rPr>
        <w:t>4.1    Reaffirmation of Loan Documents and Liens.</w:t>
      </w:r>
      <w:r>
        <w:rPr>
          <w:color w:val="000000"/>
        </w:rPr>
        <w:t xml:space="preserve"> </w:t>
      </w:r>
      <w:r>
        <w:rPr>
          <w:rFonts w:ascii="Times New Roman;sans-serif" w:hAnsi="Times New Roman;sans-serif"/>
          <w:b w:val="false"/>
          <w:color w:val="000000"/>
          <w:sz w:val="24"/>
        </w:rPr>
        <w:t>Any and all of the terms and provisions of the Credit Agreement and the Loan Documents shall, except as amended and modified hereby, remain in full force and effect and are hereby in all respects ratified and confirmed by the Borrower. The Borrower hereby agrees that the amendments and modifications herein contained shall in no manner affect or impair the liabilities, duties and obligations of the Borrower, the Parent or any other Credit Party under the Credit Agreement and the other Loan Documents or the Liens securing the payment and performance thereof, except as amended and modified hereby.</w:t>
      </w:r>
    </w:p>
    <w:p>
      <w:pPr>
        <w:pStyle w:val="TextBody"/>
        <w:spacing w:lineRule="auto" w:line="240" w:before="0" w:after="240"/>
        <w:ind w:left="0" w:right="0" w:firstLine="720"/>
        <w:jc w:val="both"/>
        <w:rPr/>
      </w:pPr>
      <w:r>
        <w:rPr>
          <w:rFonts w:ascii="Times New Roman;sans-serif" w:hAnsi="Times New Roman;sans-serif"/>
          <w:b/>
          <w:color w:val="000000"/>
          <w:sz w:val="24"/>
        </w:rPr>
        <w:t>4.2    Parties in Interest.</w:t>
      </w:r>
      <w:r>
        <w:rPr>
          <w:color w:val="000000"/>
        </w:rPr>
        <w:t xml:space="preserve"> </w:t>
      </w:r>
      <w:r>
        <w:rPr>
          <w:rFonts w:ascii="Times New Roman;sans-serif" w:hAnsi="Times New Roman;sans-serif"/>
          <w:b w:val="false"/>
          <w:color w:val="000000"/>
          <w:sz w:val="24"/>
        </w:rPr>
        <w:t>All of the terms and provisions of this Amendment shall bind and inure to the benefit of the parties hereto and their respective successors and assigns.</w:t>
      </w:r>
    </w:p>
    <w:p>
      <w:pPr>
        <w:pStyle w:val="TextBody"/>
        <w:spacing w:lineRule="auto" w:line="240" w:before="0" w:after="240"/>
        <w:ind w:left="0" w:right="0" w:firstLine="720"/>
        <w:jc w:val="both"/>
        <w:rPr/>
      </w:pPr>
      <w:r>
        <w:rPr>
          <w:rFonts w:ascii="Times New Roman;sans-serif" w:hAnsi="Times New Roman;sans-serif"/>
          <w:b/>
          <w:color w:val="000000"/>
          <w:sz w:val="24"/>
        </w:rPr>
        <w:t>4.3    Further Assurances</w:t>
      </w:r>
      <w:r>
        <w:rPr>
          <w:rFonts w:ascii="Times New Roman;sans-serif" w:hAnsi="Times New Roman;sans-serif"/>
          <w:b w:val="false"/>
          <w:color w:val="000000"/>
          <w:sz w:val="24"/>
        </w:rPr>
        <w:t>. The Borrower covenants and agrees from time to time, as and when reasonably requested by the Administrative Agent or the Lenders, to execute and deliver or cause to be executed or delivered, all such documents, instruments and agreements and to take or cause to be taken such further or other action as the Administrative Agent or the Lenders may reasonably deem necessary or desirable in order to carry out the intent and purposes of this Amendment.</w:t>
      </w:r>
    </w:p>
    <w:p>
      <w:pPr>
        <w:pStyle w:val="TextBody"/>
        <w:spacing w:lineRule="auto" w:line="240" w:before="0" w:after="240"/>
        <w:ind w:left="0" w:right="0" w:firstLine="720"/>
        <w:jc w:val="both"/>
        <w:rPr/>
      </w:pPr>
      <w:r>
        <w:rPr>
          <w:rFonts w:ascii="Times New Roman;sans-serif" w:hAnsi="Times New Roman;sans-serif"/>
          <w:b/>
          <w:color w:val="000000"/>
          <w:sz w:val="24"/>
        </w:rPr>
        <w:t>4.4    Legal Expenses.</w:t>
      </w:r>
      <w:r>
        <w:rPr>
          <w:color w:val="000000"/>
        </w:rPr>
        <w:t xml:space="preserve"> </w:t>
      </w:r>
      <w:r>
        <w:rPr>
          <w:rFonts w:ascii="Times New Roman;sans-serif" w:hAnsi="Times New Roman;sans-serif"/>
          <w:b w:val="false"/>
          <w:color w:val="000000"/>
          <w:sz w:val="24"/>
        </w:rPr>
        <w:t xml:space="preserve">The Borrower hereby agrees to pay all reasonable and documented out-of-pocket fees and expenses of special counsel to the Administrative Agent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3840"/>
                <wp:effectExtent l="0" t="0" r="0" b="0"/>
                <wp:wrapNone/>
                <wp:docPr id="41" name="Frame41"/>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incurred by the Administrative Agent in connection with the preparation, negotiation and execution of this Amendment and all related documents.</w:t>
      </w:r>
    </w:p>
    <w:p>
      <w:pPr>
        <w:pStyle w:val="TextBody"/>
        <w:spacing w:lineRule="auto" w:line="240" w:before="0" w:after="240"/>
        <w:ind w:left="0" w:right="0" w:firstLine="720"/>
        <w:jc w:val="both"/>
        <w:rPr/>
      </w:pPr>
      <w:r>
        <w:rPr>
          <w:rFonts w:ascii="Times New Roman;sans-serif" w:hAnsi="Times New Roman;sans-serif"/>
          <w:b/>
          <w:color w:val="000000"/>
          <w:sz w:val="24"/>
        </w:rPr>
        <w:t>4.5    Counterparts.</w:t>
      </w:r>
      <w:r>
        <w:rPr>
          <w:color w:val="000000"/>
        </w:rPr>
        <w:t xml:space="preserve"> </w:t>
      </w:r>
      <w:r>
        <w:rPr>
          <w:rFonts w:ascii="Times New Roman;sans-serif" w:hAnsi="Times New Roman;sans-serif"/>
          <w:b w:val="false"/>
          <w:color w:val="000000"/>
          <w:sz w:val="24"/>
        </w:rPr>
        <w:t>This Amendment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photocopies of the signature pages to this Amendment by facsimile or electronic mail shall be effective as delivery of manually executed counterparts of this Amendment.</w:t>
      </w:r>
    </w:p>
    <w:p>
      <w:pPr>
        <w:pStyle w:val="TextBody"/>
        <w:spacing w:lineRule="auto" w:line="240" w:before="0" w:after="240"/>
        <w:ind w:left="0" w:right="0" w:firstLine="720"/>
        <w:jc w:val="both"/>
        <w:rPr/>
      </w:pPr>
      <w:r>
        <w:rPr>
          <w:rFonts w:ascii="Times New Roman;sans-serif" w:hAnsi="Times New Roman;sans-serif"/>
          <w:b/>
          <w:color w:val="000000"/>
          <w:sz w:val="24"/>
        </w:rPr>
        <w:t>4.6    Complete Agreement.</w:t>
      </w:r>
      <w:r>
        <w:rPr>
          <w:color w:val="000000"/>
        </w:rPr>
        <w:t xml:space="preserve"> </w:t>
      </w:r>
      <w:r>
        <w:rPr>
          <w:rFonts w:ascii="Times New Roman;sans-serif" w:hAnsi="Times New Roman;sans-serif"/>
          <w:b w:val="false"/>
          <w:color w:val="000000"/>
          <w:sz w:val="24"/>
        </w:rPr>
        <w:t>THIS AMENDMENT, THE CREDIT AGREEMENT, AND THE OTHER LOAN DOCUMENTS REPRESENT THE FINAL AGREEMENT BETWEEN THE PARTIES AND MAY NOT BE CONTRADICTED BY EVIDENCE OF PRIOR, CONTEMPORANEOUS OR ORAL AGREEMENTS OF THE PARTIES. THERE ARE NO UNWRITTEN ORAL AGREEMENTS BETWEEN THE PARTIES.</w:t>
      </w:r>
    </w:p>
    <w:p>
      <w:pPr>
        <w:pStyle w:val="TextBody"/>
        <w:spacing w:lineRule="auto" w:line="240" w:before="0" w:after="240"/>
        <w:ind w:left="0" w:right="0" w:firstLine="720"/>
        <w:jc w:val="both"/>
        <w:rPr/>
      </w:pPr>
      <w:r>
        <w:rPr>
          <w:rFonts w:ascii="Times New Roman;sans-serif" w:hAnsi="Times New Roman;sans-serif"/>
          <w:b/>
          <w:color w:val="000000"/>
          <w:sz w:val="24"/>
        </w:rPr>
        <w:t>4.7    Headings.</w:t>
      </w:r>
      <w:r>
        <w:rPr>
          <w:color w:val="000000"/>
        </w:rPr>
        <w:t xml:space="preserve"> </w:t>
      </w:r>
      <w:r>
        <w:rPr>
          <w:rFonts w:ascii="Times New Roman;sans-serif" w:hAnsi="Times New Roman;sans-serif"/>
          <w:b w:val="false"/>
          <w:color w:val="000000"/>
          <w:sz w:val="24"/>
        </w:rPr>
        <w:t>The headings, captions and arrangements used in this Amendment are, unless specified otherwise, for convenience only and shall not be deemed to limit, amplify or modify the terms of this Amendment, nor affect the meaning thereof.</w:t>
      </w:r>
    </w:p>
    <w:p>
      <w:pPr>
        <w:pStyle w:val="TextBody"/>
        <w:spacing w:lineRule="auto" w:line="240" w:before="0" w:after="240"/>
        <w:ind w:left="0" w:right="0" w:firstLine="720"/>
        <w:jc w:val="both"/>
        <w:rPr/>
      </w:pPr>
      <w:r>
        <w:rPr>
          <w:rFonts w:ascii="Times New Roman;sans-serif" w:hAnsi="Times New Roman;sans-serif"/>
          <w:b/>
          <w:color w:val="000000"/>
          <w:sz w:val="24"/>
        </w:rPr>
        <w:t>4.8    Governing Law.</w:t>
      </w:r>
      <w:r>
        <w:rPr>
          <w:color w:val="000000"/>
        </w:rPr>
        <w:t xml:space="preserve"> </w:t>
      </w:r>
      <w:r>
        <w:rPr>
          <w:rFonts w:ascii="Times New Roman;sans-serif" w:hAnsi="Times New Roman;sans-serif"/>
          <w:b w:val="false"/>
          <w:color w:val="000000"/>
          <w:sz w:val="24"/>
        </w:rPr>
        <w:t>This Amendment shall be construed in accordance with and governed by the laws of the State of Texas.</w:t>
      </w:r>
    </w:p>
    <w:p>
      <w:pPr>
        <w:pStyle w:val="TextBody"/>
        <w:spacing w:lineRule="auto" w:line="240" w:before="0" w:after="240"/>
        <w:ind w:left="0" w:right="0" w:firstLine="720"/>
        <w:jc w:val="both"/>
        <w:rPr/>
      </w:pPr>
      <w:r>
        <w:rPr>
          <w:rFonts w:ascii="Times New Roman;sans-serif" w:hAnsi="Times New Roman;sans-serif"/>
          <w:b/>
          <w:color w:val="000000"/>
          <w:sz w:val="24"/>
        </w:rPr>
        <w:t>4.9    Severability.</w:t>
      </w:r>
      <w:r>
        <w:rPr>
          <w:color w:val="000000"/>
        </w:rPr>
        <w:t xml:space="preserve"> </w:t>
      </w:r>
      <w:r>
        <w:rPr>
          <w:rFonts w:ascii="Times New Roman;sans-serif" w:hAnsi="Times New Roman;sans-serif"/>
          <w:b w:val="false"/>
          <w:color w:val="000000"/>
          <w:sz w:val="24"/>
        </w:rPr>
        <w:t>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4.10    Reference to and Effect on the Loan Documents.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This Amendment shall be deemed to constitute a Loan Document for all purposes and in all respects. Each reference in the Credit Agreement to “this Agreement,” “hereunder,” “hereof,” “herein” or words of like import, and each reference in the Credit Agreement or in any other Loan Document, or other agreements, documents or other instruments executed and delivered pursuant to the Credit Agreement to the “Credit Agreement”, shall mean and be a reference to the Credit Agreement as amended by this Amendment.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execution, delivery and effectiveness of this Amendment shall not operate as a waiver of any right, power or remedy of any Lender or the Administrative Agent under any of the Loan Documents, nor, except as expressly provided herein, constitute a waiver of any provision of any of the Loan Documents. </w:t>
      </w:r>
    </w:p>
    <w:p>
      <w:pPr>
        <w:pStyle w:val="TextBody"/>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3840"/>
                <wp:effectExtent l="0" t="0" r="0" b="0"/>
                <wp:wrapNone/>
                <wp:docPr id="42" name="Frame42"/>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the parties have caused this Amendment to be duly executed by their respective authorized officers to be effective as of the date first above written.</w:t>
      </w:r>
    </w:p>
    <w:tbl>
      <w:tblPr>
        <w:tblW w:w="4386" w:type="dxa"/>
        <w:jc w:val="left"/>
        <w:tblInd w:w="0" w:type="dxa"/>
        <w:tblCellMar>
          <w:top w:w="28" w:type="dxa"/>
          <w:left w:w="28" w:type="dxa"/>
          <w:bottom w:w="28" w:type="dxa"/>
          <w:right w:w="28" w:type="dxa"/>
        </w:tblCellMar>
      </w:tblPr>
      <w:tblGrid>
        <w:gridCol w:w="124"/>
        <w:gridCol w:w="109"/>
        <w:gridCol w:w="109"/>
        <w:gridCol w:w="503"/>
        <w:gridCol w:w="503"/>
        <w:gridCol w:w="503"/>
        <w:gridCol w:w="738"/>
        <w:gridCol w:w="738"/>
        <w:gridCol w:w="10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MRC ENERGY COMPANY</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Craig N. Adams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5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Craig N. Adams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bl>
    <w:p>
      <w:pPr>
        <w:pStyle w:val="TextBody"/>
        <w:spacing w:before="0" w:after="240"/>
        <w:jc w:val="both"/>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3840"/>
                <wp:effectExtent l="0" t="0" r="0" b="0"/>
                <wp:wrapNone/>
                <wp:docPr id="43" name="Frame43"/>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3861" w:type="dxa"/>
        <w:jc w:val="left"/>
        <w:tblInd w:w="0" w:type="dxa"/>
        <w:tblCellMar>
          <w:top w:w="28" w:type="dxa"/>
          <w:left w:w="28" w:type="dxa"/>
          <w:bottom w:w="28" w:type="dxa"/>
          <w:right w:w="28" w:type="dxa"/>
        </w:tblCellMar>
      </w:tblPr>
      <w:tblGrid>
        <w:gridCol w:w="124"/>
        <w:gridCol w:w="109"/>
        <w:gridCol w:w="109"/>
        <w:gridCol w:w="523"/>
        <w:gridCol w:w="523"/>
        <w:gridCol w:w="523"/>
        <w:gridCol w:w="570"/>
        <w:gridCol w:w="570"/>
        <w:gridCol w:w="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9"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ADMINISTRATIVE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9"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TRUIST BANK</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Lincoln LaCour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9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Lincoln LaCour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3840"/>
                <wp:effectExtent l="0" t="0" r="0" b="0"/>
                <wp:wrapNone/>
                <wp:docPr id="44" name="Frame44"/>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3170" w:type="dxa"/>
        <w:jc w:val="left"/>
        <w:tblInd w:w="0" w:type="dxa"/>
        <w:tblCellMar>
          <w:top w:w="28" w:type="dxa"/>
          <w:left w:w="28" w:type="dxa"/>
          <w:bottom w:w="28" w:type="dxa"/>
          <w:right w:w="28" w:type="dxa"/>
        </w:tblCellMar>
      </w:tblPr>
      <w:tblGrid>
        <w:gridCol w:w="124"/>
        <w:gridCol w:w="109"/>
        <w:gridCol w:w="109"/>
        <w:gridCol w:w="293"/>
        <w:gridCol w:w="293"/>
        <w:gridCol w:w="293"/>
        <w:gridCol w:w="566"/>
        <w:gridCol w:w="566"/>
        <w:gridCol w:w="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8"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LENDERS: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8"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TRUIST BANK</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Lincoln LaCour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9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Lincoln LaCour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3840"/>
                <wp:effectExtent l="0" t="0" r="0" b="0"/>
                <wp:wrapNone/>
                <wp:docPr id="45" name="Frame45"/>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4190" w:type="dxa"/>
        <w:jc w:val="left"/>
        <w:tblInd w:w="0" w:type="dxa"/>
        <w:tblCellMar>
          <w:top w:w="28" w:type="dxa"/>
          <w:left w:w="28" w:type="dxa"/>
          <w:bottom w:w="28" w:type="dxa"/>
          <w:right w:w="28" w:type="dxa"/>
        </w:tblCellMar>
      </w:tblPr>
      <w:tblGrid>
        <w:gridCol w:w="124"/>
        <w:gridCol w:w="109"/>
        <w:gridCol w:w="109"/>
        <w:gridCol w:w="493"/>
        <w:gridCol w:w="493"/>
        <w:gridCol w:w="493"/>
        <w:gridCol w:w="694"/>
        <w:gridCol w:w="694"/>
        <w:gridCol w:w="9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8"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BANK OF AMERICA, N.A.</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Christopher Baethge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3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Christopher Baethge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3840"/>
                <wp:effectExtent l="0" t="0" r="0" b="0"/>
                <wp:wrapNone/>
                <wp:docPr id="46" name="Frame46"/>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4915" w:type="dxa"/>
        <w:jc w:val="left"/>
        <w:tblInd w:w="0" w:type="dxa"/>
        <w:tblCellMar>
          <w:top w:w="28" w:type="dxa"/>
          <w:left w:w="28" w:type="dxa"/>
          <w:bottom w:w="28" w:type="dxa"/>
          <w:right w:w="28" w:type="dxa"/>
        </w:tblCellMar>
      </w:tblPr>
      <w:tblGrid>
        <w:gridCol w:w="124"/>
        <w:gridCol w:w="109"/>
        <w:gridCol w:w="109"/>
        <w:gridCol w:w="711"/>
        <w:gridCol w:w="711"/>
        <w:gridCol w:w="711"/>
        <w:gridCol w:w="711"/>
        <w:gridCol w:w="711"/>
        <w:gridCol w:w="10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3"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KEYBANK NATIONAL ASSOCIATION</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George E. McKean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George E. McKean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3840"/>
                <wp:effectExtent l="0" t="0" r="0" b="0"/>
                <wp:wrapNone/>
                <wp:docPr id="47" name="Frame47"/>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5019" w:type="dxa"/>
        <w:jc w:val="left"/>
        <w:tblInd w:w="0" w:type="dxa"/>
        <w:tblCellMar>
          <w:top w:w="28" w:type="dxa"/>
          <w:left w:w="28" w:type="dxa"/>
          <w:bottom w:w="28" w:type="dxa"/>
          <w:right w:w="28" w:type="dxa"/>
        </w:tblCellMar>
      </w:tblPr>
      <w:tblGrid>
        <w:gridCol w:w="124"/>
        <w:gridCol w:w="109"/>
        <w:gridCol w:w="109"/>
        <w:gridCol w:w="727"/>
        <w:gridCol w:w="727"/>
        <w:gridCol w:w="727"/>
        <w:gridCol w:w="727"/>
        <w:gridCol w:w="727"/>
        <w:gridCol w:w="10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7"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Anvar Musayev</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Anvar Musayev</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9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3840"/>
                <wp:effectExtent l="0" t="0" r="0" b="0"/>
                <wp:wrapNone/>
                <wp:docPr id="48" name="Frame48"/>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6429" w:type="dxa"/>
        <w:jc w:val="left"/>
        <w:tblInd w:w="0" w:type="dxa"/>
        <w:tblCellMar>
          <w:top w:w="28" w:type="dxa"/>
          <w:left w:w="28" w:type="dxa"/>
          <w:bottom w:w="28" w:type="dxa"/>
          <w:right w:w="28" w:type="dxa"/>
        </w:tblCellMar>
      </w:tblPr>
      <w:tblGrid>
        <w:gridCol w:w="124"/>
        <w:gridCol w:w="109"/>
        <w:gridCol w:w="109"/>
        <w:gridCol w:w="946"/>
        <w:gridCol w:w="946"/>
        <w:gridCol w:w="946"/>
        <w:gridCol w:w="946"/>
        <w:gridCol w:w="946"/>
        <w:gridCol w:w="13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7"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THE BANK OF NOVA SCOTIA, HOUSTON BRANCH</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Joe Lattanzi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Joe Lattanzi</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2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Managing Director</w:t>
            </w:r>
          </w:p>
        </w:tc>
      </w:tr>
    </w:tbl>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3840"/>
                <wp:effectExtent l="0" t="0" r="0" b="0"/>
                <wp:wrapNone/>
                <wp:docPr id="49" name="Frame49"/>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4110" w:type="dxa"/>
        <w:jc w:val="left"/>
        <w:tblInd w:w="0" w:type="dxa"/>
        <w:tblCellMar>
          <w:top w:w="28" w:type="dxa"/>
          <w:left w:w="28" w:type="dxa"/>
          <w:bottom w:w="28" w:type="dxa"/>
          <w:right w:w="28" w:type="dxa"/>
        </w:tblCellMar>
      </w:tblPr>
      <w:tblGrid>
        <w:gridCol w:w="124"/>
        <w:gridCol w:w="109"/>
        <w:gridCol w:w="109"/>
        <w:gridCol w:w="526"/>
        <w:gridCol w:w="526"/>
        <w:gridCol w:w="526"/>
        <w:gridCol w:w="636"/>
        <w:gridCol w:w="636"/>
        <w:gridCol w:w="9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ROYAL BANK OF CANADA</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Emilee Scott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19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Emilee Scott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3840"/>
                <wp:effectExtent l="0" t="0" r="0" b="0"/>
                <wp:wrapNone/>
                <wp:docPr id="50" name="Frame50"/>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3465" w:type="dxa"/>
        <w:jc w:val="left"/>
        <w:tblInd w:w="0" w:type="dxa"/>
        <w:tblCellMar>
          <w:top w:w="28" w:type="dxa"/>
          <w:left w:w="28" w:type="dxa"/>
          <w:bottom w:w="28" w:type="dxa"/>
          <w:right w:w="28" w:type="dxa"/>
        </w:tblCellMar>
      </w:tblPr>
      <w:tblGrid>
        <w:gridCol w:w="124"/>
        <w:gridCol w:w="109"/>
        <w:gridCol w:w="109"/>
        <w:gridCol w:w="366"/>
        <w:gridCol w:w="366"/>
        <w:gridCol w:w="366"/>
        <w:gridCol w:w="590"/>
        <w:gridCol w:w="590"/>
        <w:gridCol w:w="8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3"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COMERICA BANK</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Cassandra Lucas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0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Cassandra Lucas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3840"/>
                <wp:effectExtent l="0" t="0" r="0" b="0"/>
                <wp:wrapNone/>
                <wp:docPr id="51" name="Frame51"/>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3647" w:type="dxa"/>
        <w:jc w:val="left"/>
        <w:tblInd w:w="0" w:type="dxa"/>
        <w:tblCellMar>
          <w:top w:w="28" w:type="dxa"/>
          <w:left w:w="28" w:type="dxa"/>
          <w:bottom w:w="28" w:type="dxa"/>
          <w:right w:w="28" w:type="dxa"/>
        </w:tblCellMar>
      </w:tblPr>
      <w:tblGrid>
        <w:gridCol w:w="124"/>
        <w:gridCol w:w="109"/>
        <w:gridCol w:w="109"/>
        <w:gridCol w:w="372"/>
        <w:gridCol w:w="372"/>
        <w:gridCol w:w="372"/>
        <w:gridCol w:w="634"/>
        <w:gridCol w:w="634"/>
        <w:gridCol w:w="9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5"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MUFG BANK, LTD.</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Traci Bankston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1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Traci Bankston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tc>
      </w:tr>
    </w:tbl>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3840"/>
                <wp:effectExtent l="0" t="0" r="0" b="0"/>
                <wp:wrapNone/>
                <wp:docPr id="52" name="Frame52"/>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4884" w:type="dxa"/>
        <w:jc w:val="left"/>
        <w:tblInd w:w="0" w:type="dxa"/>
        <w:tblCellMar>
          <w:top w:w="28" w:type="dxa"/>
          <w:left w:w="28" w:type="dxa"/>
          <w:bottom w:w="28" w:type="dxa"/>
          <w:right w:w="28" w:type="dxa"/>
        </w:tblCellMar>
      </w:tblPr>
      <w:tblGrid>
        <w:gridCol w:w="124"/>
        <w:gridCol w:w="109"/>
        <w:gridCol w:w="109"/>
        <w:gridCol w:w="706"/>
        <w:gridCol w:w="706"/>
        <w:gridCol w:w="706"/>
        <w:gridCol w:w="706"/>
        <w:gridCol w:w="706"/>
        <w:gridCol w:w="10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2"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U.S. BANK NATIONAL ASSOCIATION</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Elizabeth Johnson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Beth Johnson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3840"/>
                <wp:effectExtent l="0" t="0" r="0" b="0"/>
                <wp:wrapNone/>
                <wp:docPr id="53" name="Frame53"/>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7655" w:type="dxa"/>
        <w:jc w:val="left"/>
        <w:tblInd w:w="0" w:type="dxa"/>
        <w:tblCellMar>
          <w:top w:w="28" w:type="dxa"/>
          <w:left w:w="28" w:type="dxa"/>
          <w:bottom w:w="28" w:type="dxa"/>
          <w:right w:w="28" w:type="dxa"/>
        </w:tblCellMar>
      </w:tblPr>
      <w:tblGrid>
        <w:gridCol w:w="124"/>
        <w:gridCol w:w="109"/>
        <w:gridCol w:w="109"/>
        <w:gridCol w:w="908"/>
        <w:gridCol w:w="908"/>
        <w:gridCol w:w="908"/>
        <w:gridCol w:w="1341"/>
        <w:gridCol w:w="1341"/>
        <w:gridCol w:w="190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3"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ZIONS BANCORPORATION, N.A. dba Amegy Bank</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Jill McSorley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5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Jill McSorley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458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 President – Amegy Bank Division</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3840"/>
                <wp:effectExtent l="0" t="0" r="0" b="0"/>
                <wp:wrapNone/>
                <wp:docPr id="54" name="Frame54"/>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6776" w:type="dxa"/>
        <w:jc w:val="left"/>
        <w:tblInd w:w="0" w:type="dxa"/>
        <w:tblCellMar>
          <w:top w:w="28" w:type="dxa"/>
          <w:left w:w="28" w:type="dxa"/>
          <w:bottom w:w="28" w:type="dxa"/>
          <w:right w:w="28" w:type="dxa"/>
        </w:tblCellMar>
      </w:tblPr>
      <w:tblGrid>
        <w:gridCol w:w="124"/>
        <w:gridCol w:w="109"/>
        <w:gridCol w:w="109"/>
        <w:gridCol w:w="1000"/>
        <w:gridCol w:w="1000"/>
        <w:gridCol w:w="1000"/>
        <w:gridCol w:w="1000"/>
        <w:gridCol w:w="1000"/>
        <w:gridCol w:w="14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4"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FIRST HORIZON BANK</w:t>
            </w:r>
            <w:r>
              <w:rPr>
                <w:rFonts w:ascii="Times New Roman;sans-serif" w:hAnsi="Times New Roman;sans-serif"/>
                <w:b w:val="false"/>
                <w:color w:val="000000"/>
                <w:sz w:val="24"/>
              </w:rPr>
              <w:t>, a Tennessee State Bank, 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Moni Collins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4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Moni Collins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tc>
      </w:tr>
    </w:tbl>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3840"/>
                <wp:effectExtent l="0" t="0" r="0" b="0"/>
                <wp:wrapNone/>
                <wp:docPr id="55" name="Frame55"/>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4080" w:type="dxa"/>
        <w:jc w:val="left"/>
        <w:tblInd w:w="0" w:type="dxa"/>
        <w:tblCellMar>
          <w:top w:w="28" w:type="dxa"/>
          <w:left w:w="28" w:type="dxa"/>
          <w:bottom w:w="28" w:type="dxa"/>
          <w:right w:w="28" w:type="dxa"/>
        </w:tblCellMar>
      </w:tblPr>
      <w:tblGrid>
        <w:gridCol w:w="124"/>
        <w:gridCol w:w="109"/>
        <w:gridCol w:w="109"/>
        <w:gridCol w:w="521"/>
        <w:gridCol w:w="521"/>
        <w:gridCol w:w="521"/>
        <w:gridCol w:w="636"/>
        <w:gridCol w:w="636"/>
        <w:gridCol w:w="9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8"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BOKF, NA dba Bank of Texas</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Drew Krittenbrink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17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Drew Krittenbrink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w:t>
            </w:r>
          </w:p>
        </w:tc>
      </w:tr>
    </w:tbl>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3840"/>
                <wp:effectExtent l="0" t="0" r="0" b="0"/>
                <wp:wrapNone/>
                <wp:docPr id="56" name="Frame56"/>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tbl>
      <w:tblPr>
        <w:tblW w:w="3497" w:type="dxa"/>
        <w:jc w:val="left"/>
        <w:tblInd w:w="0" w:type="dxa"/>
        <w:tblCellMar>
          <w:top w:w="28" w:type="dxa"/>
          <w:left w:w="28" w:type="dxa"/>
          <w:bottom w:w="28" w:type="dxa"/>
          <w:right w:w="28" w:type="dxa"/>
        </w:tblCellMar>
      </w:tblPr>
      <w:tblGrid>
        <w:gridCol w:w="124"/>
        <w:gridCol w:w="109"/>
        <w:gridCol w:w="109"/>
        <w:gridCol w:w="317"/>
        <w:gridCol w:w="317"/>
        <w:gridCol w:w="317"/>
        <w:gridCol w:w="642"/>
        <w:gridCol w:w="642"/>
        <w:gridCol w:w="92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5"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rPr>
              <w:t>CATHAY BANK</w:t>
            </w:r>
            <w:r>
              <w:rPr>
                <w:rFonts w:ascii="Times New Roman;sans-serif" w:hAnsi="Times New Roman;sans-serif"/>
                <w:b w:val="false"/>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Dale T. Wilson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20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Dale T. Wilson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 President</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3840"/>
                <wp:effectExtent l="0" t="0" r="0" b="0"/>
                <wp:wrapNone/>
                <wp:docPr id="57" name="Frame57"/>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CONSENT AND REAFFIRMATION</w:t>
      </w:r>
    </w:p>
    <w:p>
      <w:pPr>
        <w:pStyle w:val="TextBody"/>
        <w:spacing w:lineRule="auto" w:line="240" w:before="240" w:after="283"/>
        <w:ind w:left="0" w:right="0" w:firstLine="720"/>
        <w:jc w:val="both"/>
        <w:rPr/>
      </w:pPr>
      <w:r>
        <w:rPr>
          <w:rFonts w:ascii="Times New Roman;sans-serif" w:hAnsi="Times New Roman;sans-serif"/>
          <w:b w:val="false"/>
          <w:color w:val="000000"/>
          <w:sz w:val="24"/>
        </w:rPr>
        <w:t>Each of the undersigned (each a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hereby</w:t>
      </w:r>
      <w:r>
        <w:rPr>
          <w:color w:val="000000"/>
        </w:rPr>
        <w:t xml:space="preserve"> </w:t>
      </w:r>
      <w:r>
        <w:rPr>
          <w:rFonts w:ascii="Times New Roman;sans-serif" w:hAnsi="Times New Roman;sans-serif"/>
          <w:b w:val="false"/>
          <w:color w:val="000000"/>
          <w:sz w:val="24"/>
        </w:rPr>
        <w:t>(i) acknowledges receipt of a copy of the foregoing Third Amendment to Fourth Amended and Restated Credit Agreement (the “</w:t>
      </w:r>
      <w:r>
        <w:rPr>
          <w:rFonts w:ascii="Times New Roman;sans-serif" w:hAnsi="Times New Roman;sans-serif"/>
          <w:b w:val="false"/>
          <w:color w:val="000000"/>
          <w:sz w:val="24"/>
          <w:u w:val="single"/>
        </w:rPr>
        <w:t>Third Amendment</w:t>
      </w:r>
      <w:r>
        <w:rPr>
          <w:color w:val="000000"/>
        </w:rPr>
        <w:t>”</w:t>
      </w:r>
      <w:r>
        <w:rPr>
          <w:rFonts w:ascii="Times New Roman;sans-serif" w:hAnsi="Times New Roman;sans-serif"/>
          <w:b w:val="false"/>
          <w:color w:val="000000"/>
          <w:sz w:val="24"/>
        </w:rPr>
        <w:t>); (ii) consents to the Borrower’s execution and delivery thereof; (iii) consents to the terms of the Third Amendment; (iv) affirms that nothing contained therein shall modify in any respect whatsoever its guaranty of the Indebtedness pursuant to the terms of the Guaranty or the Liens granted by it pursuant to the terms of the other Loan Documents to which it is a party securing payment and performance of the Indebtedness, (v) reaffirms that the Guaranty and the other Loan Documents to which it is a party and such Liens are and shall continue to remain in full force and effect and are hereby ratified and confirmed in all respects and (vi) represents and warrants to the Administrative Agent and the Lenders that, as of the date hereof, (x) all of the representations and warranties made by it in each of the Loan Documents to which it is a party are true and correct in all material respects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 and (y) after giving effect to the Third Amendment, no Default or Event of Default has occurred and is continuing. Although each Guarantor has been informed of the matters set forth in the Third Amendment and has acknowledged and agreed to same, each Guarantor understands that neither the Administrative Agent nor any of the Lenders have any obligation to inform any Guarantor of such matters in the future or to seek any Guarantor’s acknowledgment or agreement to future amendments or waivers to the Credit Agreement for the Guaranty and other Loan Documents to which it is a party to remain in full force and effect, and nothing herein shall create such duty or obligation.</w:t>
      </w:r>
    </w:p>
    <w:p>
      <w:pPr>
        <w:pStyle w:val="TextBody"/>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spacing w:before="240" w:after="283"/>
        <w:jc w:val="center"/>
        <w:rPr/>
      </w:pPr>
      <w:r>
        <w:rPr/>
      </w:r>
    </w:p>
    <w:p>
      <w:pPr>
        <w:pStyle w:val="TextBody"/>
        <w:spacing w:before="240" w:after="283"/>
        <w:ind w:left="0" w:right="0" w:firstLine="72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3840"/>
                <wp:effectExtent l="0" t="0" r="0" b="0"/>
                <wp:wrapNone/>
                <wp:docPr id="58" name="Frame58"/>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Consent and Reaffirmation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Consent and Reaffirmation</w:t>
                      </w:r>
                    </w:p>
                  </w:txbxContent>
                </v:textbox>
              </v:rect>
            </w:pict>
          </mc:Fallback>
        </mc:AlternateContent>
      </w:r>
    </w:p>
    <w:p>
      <w:pPr>
        <w:pStyle w:val="TextBody"/>
        <w:spacing w:before="0" w:after="0"/>
        <w:jc w:val="both"/>
        <w:rPr/>
      </w:pPr>
      <w:r>
        <w:rPr/>
      </w:r>
    </w:p>
    <w:p>
      <w:pPr>
        <w:pStyle w:val="TextBody"/>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Consent and Reaffirmation on and as of the date of the Third Amendment.</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1079"/>
        <w:gridCol w:w="1072"/>
        <w:gridCol w:w="1072"/>
        <w:gridCol w:w="1944"/>
        <w:gridCol w:w="1930"/>
        <w:gridCol w:w="27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44"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27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GUARANTORS: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MATADOR RESOURCES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LONGWOOD GATHERING AND DISPOSAL SYSTEMS GP,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MRC PERMIAN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MATADOR PRODUCTION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MRC ROCKIES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WR PERMIAN,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MRC PERMIAN LKE COMPANY,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LONGWOOD MIDSTREAM HOLDINGS,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MRC ENERGY SOUTHEAST COMPANY,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MRC ENERGY SOUTH TEXAS COMPANY,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DELAWARE WATER MANAGEMENT COMPANY,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LONGWOOD MIDSTREAM DELAWARE,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LONGWOOD MIDSTREAM SOUTHEAST,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LONGWOOD MIDSTREAM SOUTH TEXAS,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SOUTHEAST WATER MANAGEMENT COMPANY,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MRC DELAWARE RESOURCES, LLC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Craig N. Adams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66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Craig N. Adams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LONGWOOD GATHERING AND DISPOSAL SYSTEMS, LP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Longwood Gathering and Disposal Systems GP, Inc., its General Partner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Craig N. Adams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664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Craig N. Adams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22.1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3840"/>
                <wp:effectExtent l="0" t="0" r="0" b="0"/>
                <wp:wrapNone/>
                <wp:docPr id="59" name="Frame59"/>
                <a:graphic xmlns:a="http://schemas.openxmlformats.org/drawingml/2006/main">
                  <a:graphicData uri="http://schemas.microsoft.com/office/word/2010/wordprocessingShape">
                    <wps:wsp>
                      <wps:cNvSpPr txBox="1"/>
                      <wps:spPr>
                        <a:xfrm>
                          <a:off x="0" y="0"/>
                          <a:ext cx="6480175" cy="243840"/>
                        </a:xfrm>
                        <a:prstGeom prst="rect"/>
                      </wps:spPr>
                      <wps:txb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Consent and Reaffirmation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40" w:before="20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Consent and Reaffirmation</w:t>
                      </w:r>
                    </w:p>
                  </w:txbxContent>
                </v:textbox>
              </v:rect>
            </w:pict>
          </mc:Fallback>
        </mc:AlternateContent>
      </w:r>
    </w:p>
    <w:p>
      <w:pPr>
        <w:pStyle w:val="TextBody"/>
        <w:spacing w:lineRule="auto" w:line="333" w:before="100" w:after="100"/>
        <w:jc w:val="center"/>
        <w:rPr>
          <w:rFonts w:ascii="Times New Roman;sans-serif" w:hAnsi="Times New Roman;sans-serif"/>
          <w:b/>
          <w:color w:val="000000"/>
          <w:sz w:val="20"/>
        </w:rPr>
      </w:pPr>
      <w:r>
        <w:rPr>
          <w:rFonts w:ascii="Times New Roman;sans-serif" w:hAnsi="Times New Roman;sans-serif"/>
          <w:b/>
          <w:color w:val="000000"/>
          <w:sz w:val="20"/>
        </w:rPr>
        <w:t>List of Subsidiary Guarantors</w:t>
      </w:r>
    </w:p>
    <w:p>
      <w:pPr>
        <w:pStyle w:val="TextBody"/>
        <w:spacing w:lineRule="auto" w:line="333" w:before="100" w:after="10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following subsidiaries of Matador Resources Company (the “Company”) were guarantors of the Company’s 5.875% Senior Notes due 2026.</w:t>
      </w:r>
    </w:p>
    <w:tbl>
      <w:tblPr>
        <w:tblW w:w="5727" w:type="dxa"/>
        <w:jc w:val="left"/>
        <w:tblInd w:w="0" w:type="dxa"/>
        <w:tblCellMar>
          <w:top w:w="28" w:type="dxa"/>
          <w:left w:w="28" w:type="dxa"/>
          <w:bottom w:w="28" w:type="dxa"/>
          <w:right w:w="28" w:type="dxa"/>
        </w:tblCellMar>
      </w:tblPr>
      <w:tblGrid>
        <w:gridCol w:w="1568"/>
        <w:gridCol w:w="1370"/>
        <w:gridCol w:w="1396"/>
        <w:gridCol w:w="109"/>
        <w:gridCol w:w="109"/>
        <w:gridCol w:w="109"/>
        <w:gridCol w:w="312"/>
        <w:gridCol w:w="312"/>
        <w:gridCol w:w="442"/>
      </w:tblGrid>
      <w:tr>
        <w:trPr/>
        <w:tc>
          <w:tcPr>
            <w:tcW w:w="1568"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Jurisdiction</w:t>
            </w:r>
          </w:p>
        </w:tc>
      </w:tr>
      <w:tr>
        <w:trPr/>
        <w:tc>
          <w:tcPr>
            <w:tcW w:w="4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Water Management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GP,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Delaware,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Southeast,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 Texas,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Production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Delaware Resources,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Southeast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 Texas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LKE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Rockies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Southeast Water Management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 Permian,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4886" w:type="dxa"/>
        <w:jc w:val="left"/>
        <w:tblInd w:w="0" w:type="dxa"/>
        <w:tblCellMar>
          <w:top w:w="28" w:type="dxa"/>
          <w:left w:w="28" w:type="dxa"/>
          <w:bottom w:w="28" w:type="dxa"/>
          <w:right w:w="28" w:type="dxa"/>
        </w:tblCellMar>
      </w:tblPr>
      <w:tblGrid>
        <w:gridCol w:w="473"/>
        <w:gridCol w:w="415"/>
        <w:gridCol w:w="417"/>
        <w:gridCol w:w="1068"/>
        <w:gridCol w:w="1068"/>
        <w:gridCol w:w="1073"/>
        <w:gridCol w:w="109"/>
        <w:gridCol w:w="109"/>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Brian J. Willey, certify that: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51"/>
        <w:gridCol w:w="395"/>
        <w:gridCol w:w="397"/>
        <w:gridCol w:w="1403"/>
        <w:gridCol w:w="1403"/>
        <w:gridCol w:w="1396"/>
        <w:gridCol w:w="1392"/>
        <w:gridCol w:w="1392"/>
        <w:gridCol w:w="1976"/>
      </w:tblGrid>
      <w:tr>
        <w:trPr/>
        <w:tc>
          <w:tcPr>
            <w:tcW w:w="45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r>
      <w:tr>
        <w:trPr/>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896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br/>
              <w:t>Chief Financial Officer, President of Midstream Operations and Executive Vice President (Principal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March 31, 2023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4886" w:type="dxa"/>
        <w:jc w:val="left"/>
        <w:tblInd w:w="0" w:type="dxa"/>
        <w:tblCellMar>
          <w:top w:w="28" w:type="dxa"/>
          <w:left w:w="28" w:type="dxa"/>
          <w:bottom w:w="28" w:type="dxa"/>
          <w:right w:w="28" w:type="dxa"/>
        </w:tblCellMar>
      </w:tblPr>
      <w:tblGrid>
        <w:gridCol w:w="473"/>
        <w:gridCol w:w="415"/>
        <w:gridCol w:w="417"/>
        <w:gridCol w:w="1068"/>
        <w:gridCol w:w="1068"/>
        <w:gridCol w:w="1073"/>
        <w:gridCol w:w="109"/>
        <w:gridCol w:w="109"/>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March 31, 2023 as filed with the Securities and Exchange Commission on the date hereof (the “Form 10-Q”), I, Brian J. Willey, hereby certify in my capacity as Chief Financial Officer, President of Midstream Operations and Executive Vice President of the Company, pursuant to 18 U.S.C. § 1350, as adopted pursuant to § 906 of the Sarbanes-Oxley Act of 2002, that to the best of my knowledge:</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51"/>
        <w:gridCol w:w="395"/>
        <w:gridCol w:w="397"/>
        <w:gridCol w:w="2404"/>
        <w:gridCol w:w="2403"/>
        <w:gridCol w:w="2413"/>
        <w:gridCol w:w="509"/>
        <w:gridCol w:w="509"/>
        <w:gridCol w:w="724"/>
      </w:tblGrid>
      <w:tr>
        <w:trPr/>
        <w:tc>
          <w:tcPr>
            <w:tcW w:w="45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2403" w:type="dxa"/>
            <w:tcBorders/>
            <w:shd w:fill="auto" w:val="clear"/>
            <w:vAlign w:val="center"/>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r>
      <w:tr>
        <w:trPr/>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7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1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President of Midstream Operations and Executive Vice President (Principal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0006/000119312523013640/d428449dex21.htm" TargetMode="External"/><Relationship Id="rId3" Type="http://schemas.openxmlformats.org/officeDocument/2006/relationships/hyperlink" Target="http://www.sec.gov/Archives/edgar/data/1520006/000152000617000188/a20170630mtdr10q-exhibit32.htm" TargetMode="External"/><Relationship Id="rId4" Type="http://schemas.openxmlformats.org/officeDocument/2006/relationships/hyperlink" Target="http://www.sec.gov/Archives/edgar/data/1520006/000152000617000188/a20170630mtdr10q-exhibit33.htm" TargetMode="External"/><Relationship Id="rId5" Type="http://schemas.openxmlformats.org/officeDocument/2006/relationships/hyperlink" Target="http://www.sec.gov/Archives/edgar/data/1520006/000152000617000188/a20170630mtdr10q-exhibit34.htm" TargetMode="External"/><Relationship Id="rId6" Type="http://schemas.openxmlformats.org/officeDocument/2006/relationships/hyperlink" Target="http://www.sec.gov/Archives/edgar/data/1520006/000152000618000051/a20171231mtdr8k-amendedbyl.htm" TargetMode="External"/><Relationship Id="rId7" Type="http://schemas.openxmlformats.org/officeDocument/2006/relationships/hyperlink" Target="http://www.sec.gov/Archives/edgar/data/1520006/000119312523097891/d459785dex41.htm" TargetMode="External"/><Relationship Id="rId8" Type="http://schemas.openxmlformats.org/officeDocument/2006/relationships/hyperlink" Target="http://www.sec.gov/Archives/edgar/data/1520006/000152000623000087/truist_matador-secondame.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24836</Words>
  <CharactersWithSpaces>161686</CharactersWithSpaces>
  <Paragraphs>2386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