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20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38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38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6"/>
              </w:rPr>
              <w:t>Texas</w:t>
            </w:r>
          </w:p>
        </w:tc>
        <w:tc>
          <w:tcPr>
            <w:tcW w:w="1140" w:type="dxa"/>
            <w:vAlign w:val="bottom"/>
          </w:tcPr>
          <w:p>
            <w:pPr>
              <w:jc w:val="right"/>
              <w:ind w:right="6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79"/>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90"/>
              </w:rPr>
              <w:t>5400 LBJ Freeway, Suite 1500</w:t>
            </w:r>
          </w:p>
        </w:tc>
        <w:tc>
          <w:tcPr>
            <w:tcW w:w="1140" w:type="dxa"/>
            <w:vAlign w:val="bottom"/>
          </w:tcPr>
          <w:p>
            <w:pPr>
              <w:spacing w:after="0"/>
              <w:rPr>
                <w:sz w:val="24"/>
                <w:szCs w:val="24"/>
                <w:color w:val="auto"/>
              </w:rPr>
            </w:pPr>
          </w:p>
        </w:tc>
      </w:tr>
      <w:tr>
        <w:trPr>
          <w:trHeight w:val="234"/>
        </w:trPr>
        <w:tc>
          <w:tcPr>
            <w:tcW w:w="6320" w:type="dxa"/>
            <w:vAlign w:val="bottom"/>
          </w:tcPr>
          <w:p>
            <w:pPr>
              <w:jc w:val="center"/>
              <w:ind w:right="3879"/>
              <w:spacing w:after="0"/>
              <w:rPr>
                <w:sz w:val="20"/>
                <w:szCs w:val="20"/>
                <w:color w:val="auto"/>
              </w:rPr>
            </w:pPr>
            <w:r>
              <w:rPr>
                <w:rFonts w:ascii="Arial" w:cs="Arial" w:eastAsia="Arial" w:hAnsi="Arial"/>
                <w:sz w:val="18"/>
                <w:szCs w:val="18"/>
                <w:b w:val="1"/>
                <w:bCs w:val="1"/>
                <w:color w:val="auto"/>
                <w:w w:val="87"/>
              </w:rPr>
              <w:t>Dallas, Texas</w:t>
            </w:r>
          </w:p>
        </w:tc>
        <w:tc>
          <w:tcPr>
            <w:tcW w:w="11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6320" w:type="dxa"/>
            <w:vAlign w:val="bottom"/>
          </w:tcPr>
          <w:p>
            <w:pPr>
              <w:jc w:val="center"/>
              <w:ind w:right="3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6320" w:type="dxa"/>
            <w:vAlign w:val="bottom"/>
          </w:tcPr>
          <w:p>
            <w:pPr>
              <w:jc w:val="right"/>
              <w:ind w:right="1639"/>
              <w:spacing w:after="0"/>
              <w:rPr>
                <w:sz w:val="20"/>
                <w:szCs w:val="20"/>
                <w:color w:val="auto"/>
              </w:rPr>
            </w:pPr>
            <w:r>
              <w:rPr>
                <w:rFonts w:ascii="Arial" w:cs="Arial" w:eastAsia="Arial" w:hAnsi="Arial"/>
                <w:sz w:val="18"/>
                <w:szCs w:val="18"/>
                <w:b w:val="1"/>
                <w:bCs w:val="1"/>
                <w:color w:val="auto"/>
              </w:rPr>
              <w:t>(972) 371-5200</w:t>
            </w:r>
          </w:p>
        </w:tc>
        <w:tc>
          <w:tcPr>
            <w:tcW w:w="1140" w:type="dxa"/>
            <w:vAlign w:val="bottom"/>
          </w:tcPr>
          <w:p>
            <w:pPr>
              <w:spacing w:after="0"/>
              <w:rPr>
                <w:sz w:val="24"/>
                <w:szCs w:val="24"/>
                <w:color w:val="auto"/>
              </w:rPr>
            </w:pPr>
          </w:p>
        </w:tc>
      </w:tr>
      <w:tr>
        <w:trPr>
          <w:trHeight w:val="186"/>
        </w:trPr>
        <w:tc>
          <w:tcPr>
            <w:tcW w:w="6320" w:type="dxa"/>
            <w:vAlign w:val="bottom"/>
          </w:tcPr>
          <w:p>
            <w:pPr>
              <w:jc w:val="center"/>
              <w:ind w:left="16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40" w:type="dxa"/>
            <w:vAlign w:val="bottom"/>
          </w:tcPr>
          <w:p>
            <w:pPr>
              <w:spacing w:after="0"/>
              <w:rPr>
                <w:sz w:val="16"/>
                <w:szCs w:val="16"/>
                <w:color w:val="auto"/>
              </w:rPr>
            </w:pPr>
          </w:p>
        </w:tc>
      </w:tr>
      <w:tr>
        <w:trPr>
          <w:trHeight w:val="209"/>
        </w:trPr>
        <w:tc>
          <w:tcPr>
            <w:tcW w:w="632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40" w:type="dxa"/>
            <w:vAlign w:val="bottom"/>
          </w:tcPr>
          <w:p>
            <w:pPr>
              <w:spacing w:after="0"/>
              <w:rPr>
                <w:sz w:val="18"/>
                <w:szCs w:val="18"/>
                <w:color w:val="auto"/>
              </w:rPr>
            </w:pPr>
          </w:p>
        </w:tc>
      </w:tr>
    </w:tbl>
    <w:p>
      <w:pPr>
        <w:spacing w:after="0" w:line="158"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080" w:val="left"/>
        </w:tabs>
        <w:rPr>
          <w:sz w:val="20"/>
          <w:szCs w:val="20"/>
          <w:color w:val="auto"/>
        </w:rPr>
      </w:pPr>
      <w:r>
        <w:rPr>
          <w:rFonts w:ascii="Arial" w:cs="Arial" w:eastAsia="Arial" w:hAnsi="Arial"/>
          <w:sz w:val="16"/>
          <w:szCs w:val="16"/>
          <w:color w:val="auto"/>
        </w:rPr>
        <w:t>days.</w:t>
        <w:tab/>
        <w:t>x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9"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40" w:type="dxa"/>
            <w:vAlign w:val="bottom"/>
          </w:tcPr>
          <w:p>
            <w:pPr>
              <w:ind w:left="820"/>
              <w:spacing w:after="0"/>
              <w:rPr>
                <w:sz w:val="20"/>
                <w:szCs w:val="20"/>
                <w:color w:val="auto"/>
              </w:rPr>
            </w:pPr>
            <w:r>
              <w:rPr>
                <w:rFonts w:ascii="Arial" w:cs="Arial" w:eastAsia="Arial" w:hAnsi="Arial"/>
                <w:sz w:val="16"/>
                <w:szCs w:val="16"/>
                <w:color w:val="auto"/>
              </w:rPr>
              <w:t>x</w:t>
            </w:r>
          </w:p>
        </w:tc>
        <w:tc>
          <w:tcPr>
            <w:tcW w:w="3240" w:type="dxa"/>
            <w:vAlign w:val="bottom"/>
          </w:tcPr>
          <w:p>
            <w:pPr>
              <w:ind w:left="76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4840" w:type="dxa"/>
            <w:vAlign w:val="bottom"/>
          </w:tcPr>
          <w:p>
            <w:pPr>
              <w:ind w:left="8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ind w:left="76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86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x No As of August 1, 2018, there were 116,365,216 shares of the registrant’s common stock, par value $0.01 per share, outstanding.</w:t>
      </w:r>
    </w:p>
    <w:p>
      <w:pPr>
        <w:sectPr>
          <w:pgSz w:w="11900" w:h="16838" w:orient="portrait"/>
          <w:cols w:equalWidth="0" w:num="1">
            <w:col w:w="11380"/>
          </w:cols>
          <w:pgMar w:left="240" w:top="274"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FOR THE QUARTER ENDED JUNE 30, 2018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0"/>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 Unaudited</w:t>
              </w:r>
            </w:hyperlink>
          </w:p>
        </w:tc>
        <w:tc>
          <w:tcPr>
            <w:tcW w:w="712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2018 and December 31, 2017</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00" w:type="dxa"/>
            <w:vAlign w:val="bottom"/>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2018 and 2017</w:t>
              </w:r>
            </w:hyperlink>
          </w:p>
        </w:tc>
        <w:tc>
          <w:tcPr>
            <w:tcW w:w="1780" w:type="dxa"/>
            <w:vAlign w:val="bottom"/>
            <w:gridSpan w:val="2"/>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40" w:type="dxa"/>
            <w:vAlign w:val="bottom"/>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Changes in Shareholders’ Equity for the Six Months Ended June 30, 2018</w:t>
              </w:r>
            </w:hyperlink>
          </w:p>
        </w:tc>
        <w:tc>
          <w:tcPr>
            <w:tcW w:w="1740" w:type="dxa"/>
            <w:vAlign w:val="bottom"/>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1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for the Six Months Ended June 30, 2018 and 2017</w:t>
              </w:r>
            </w:hyperlink>
          </w:p>
        </w:tc>
        <w:tc>
          <w:tcPr>
            <w:tcW w:w="1740" w:type="dxa"/>
            <w:vAlign w:val="bottom"/>
          </w:tcPr>
          <w:p>
            <w:pPr>
              <w:spacing w:after="0"/>
              <w:rPr>
                <w:sz w:val="24"/>
                <w:szCs w:val="24"/>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80" w:type="dxa"/>
            <w:vAlign w:val="bottom"/>
            <w:gridSpan w:val="4"/>
          </w:tcPr>
          <w:p>
            <w:pPr>
              <w:spacing w:after="0"/>
              <w:rPr>
                <w:sz w:val="21"/>
                <w:szCs w:val="21"/>
                <w:color w:val="auto"/>
              </w:rPr>
            </w:pPr>
          </w:p>
        </w:tc>
        <w:tc>
          <w:tcPr>
            <w:tcW w:w="2500" w:type="dxa"/>
            <w:vAlign w:val="bottom"/>
            <w:gridSpan w:val="3"/>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 OTHER INFORMATION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 Risk Factors</w:t>
              </w:r>
            </w:hyperlink>
          </w:p>
        </w:tc>
        <w:tc>
          <w:tcPr>
            <w:tcW w:w="834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 Other Information</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34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834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3"/>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288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48" w:lineRule="exact"/>
        <w:rPr>
          <w:sz w:val="20"/>
          <w:szCs w:val="20"/>
          <w:color w:val="auto"/>
        </w:rPr>
      </w:pPr>
    </w:p>
    <w:p>
      <w:pPr>
        <w:jc w:val="right"/>
        <w:ind w:right="22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jc w:val="both"/>
        <w:ind w:left="930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Current assets</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Cash</w:t>
            </w:r>
          </w:p>
        </w:tc>
        <w:tc>
          <w:tcPr>
            <w:tcW w:w="3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Oil and 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Joint interest billings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at cost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full-cost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Evaluated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Unproved and unevaluated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and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accumulated depletion,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property and equipment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880" w:type="dxa"/>
            <w:vAlign w:val="bottom"/>
          </w:tcPr>
          <w:p>
            <w:pPr>
              <w:ind w:left="1100"/>
              <w:spacing w:after="0"/>
              <w:rPr>
                <w:sz w:val="20"/>
                <w:szCs w:val="20"/>
                <w:color w:val="auto"/>
              </w:rPr>
            </w:pPr>
            <w:r>
              <w:rPr>
                <w:rFonts w:ascii="Arial" w:cs="Arial" w:eastAsia="Arial" w:hAnsi="Arial"/>
                <w:sz w:val="14"/>
                <w:szCs w:val="14"/>
                <w:color w:val="auto"/>
              </w:rPr>
              <w:t>Total assets</w:t>
            </w:r>
          </w:p>
        </w:tc>
        <w:tc>
          <w:tcPr>
            <w:tcW w:w="2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LIABILITIES AND SHAREHOLDERS’ EQUITY</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880" w:type="dxa"/>
            <w:vAlign w:val="bottom"/>
          </w:tcPr>
          <w:p>
            <w:pPr>
              <w:spacing w:after="0"/>
              <w:rPr>
                <w:sz w:val="20"/>
                <w:szCs w:val="20"/>
                <w:color w:val="auto"/>
              </w:rPr>
            </w:pPr>
            <w:r>
              <w:rPr>
                <w:rFonts w:ascii="Arial" w:cs="Arial" w:eastAsia="Arial" w:hAnsi="Arial"/>
                <w:sz w:val="14"/>
                <w:szCs w:val="14"/>
                <w:color w:val="auto"/>
              </w:rPr>
              <w:t>Current liabilities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8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affiliates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Amounts due to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unsecured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Asset retirement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540" w:right="180" w:hanging="161"/>
        <w:spacing w:after="0" w:line="253" w:lineRule="auto"/>
        <w:rPr>
          <w:sz w:val="20"/>
          <w:szCs w:val="20"/>
          <w:color w:val="auto"/>
        </w:rPr>
      </w:pPr>
      <w:r>
        <w:rPr>
          <w:rFonts w:ascii="Arial" w:cs="Arial" w:eastAsia="Arial" w:hAnsi="Arial"/>
          <w:sz w:val="14"/>
          <w:szCs w:val="14"/>
          <w:color w:val="auto"/>
        </w:rPr>
        <w:t>Common stock - $0.01 par value, 160,000,000 shares authorized; 116,461,171 and 108,513,597 shares issued; and 116,357,739 and 108,510,160 shares outstanding, respectively</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6220" w:type="dxa"/>
            <w:vAlign w:val="bottom"/>
          </w:tcPr>
          <w:p>
            <w:pPr>
              <w:spacing w:after="0"/>
              <w:rPr>
                <w:sz w:val="20"/>
                <w:szCs w:val="20"/>
                <w:color w:val="auto"/>
              </w:rPr>
            </w:pPr>
            <w:r>
              <w:rPr>
                <w:rFonts w:ascii="Arial" w:cs="Arial" w:eastAsia="Arial" w:hAnsi="Arial"/>
                <w:sz w:val="14"/>
                <w:szCs w:val="14"/>
                <w:color w:val="auto"/>
              </w:rPr>
              <w:t>Accumulated deficit</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4"/>
                <w:szCs w:val="14"/>
                <w:color w:val="auto"/>
              </w:rPr>
              <w:t>Treasury stock, at cost, 103,432 and 3,437 shares, respectively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Matador Resources Company shareholders’ equity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4"/>
                <w:szCs w:val="14"/>
                <w:color w:val="auto"/>
              </w:rPr>
              <w:t>Non-controlling interest in subsidiaries</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shareholders’ equity</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760"/>
              <w:spacing w:after="0"/>
              <w:rPr>
                <w:sz w:val="20"/>
                <w:szCs w:val="20"/>
                <w:color w:val="auto"/>
              </w:rPr>
            </w:pPr>
            <w:r>
              <w:rPr>
                <w:rFonts w:ascii="Arial" w:cs="Arial" w:eastAsia="Arial" w:hAnsi="Arial"/>
                <w:sz w:val="14"/>
                <w:szCs w:val="14"/>
                <w:color w:val="auto"/>
              </w:rPr>
              <w:t>Total liabilities and shareholders’ equity</w:t>
            </w:r>
          </w:p>
        </w:tc>
        <w:tc>
          <w:tcPr>
            <w:tcW w:w="2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122,450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96,505</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21,063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5,977</w:t>
            </w:r>
          </w:p>
        </w:tc>
      </w:tr>
      <w:tr>
        <w:trPr>
          <w:trHeight w:val="54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74,771</w:t>
            </w: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65,962</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71,041</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67,225</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4,726</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8,031</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5,875</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1,190</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12,557</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5,993</w:t>
            </w:r>
          </w:p>
        </w:tc>
      </w:tr>
      <w:tr>
        <w:trPr>
          <w:trHeight w:val="276"/>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8,454</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6,287</w:t>
            </w:r>
          </w:p>
        </w:tc>
      </w:tr>
      <w:tr>
        <w:trPr>
          <w:trHeight w:val="244"/>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320,937</w:t>
            </w: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257,170</w:t>
            </w:r>
          </w:p>
        </w:tc>
      </w:tr>
      <w:tr>
        <w:trPr>
          <w:trHeight w:val="810"/>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3,338,515</w:t>
            </w: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3,004,770</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692,544</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637,396</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360,971</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281,096</w:t>
            </w:r>
          </w:p>
        </w:tc>
      </w:tr>
      <w:tr>
        <w:trPr>
          <w:trHeight w:val="276"/>
        </w:trPr>
        <w:tc>
          <w:tcPr>
            <w:tcW w:w="840" w:type="dxa"/>
            <w:vAlign w:val="bottom"/>
          </w:tcPr>
          <w:p>
            <w:pPr>
              <w:jc w:val="right"/>
              <w:ind w:right="108"/>
              <w:spacing w:after="0"/>
              <w:rPr>
                <w:sz w:val="20"/>
                <w:szCs w:val="20"/>
                <w:color w:val="auto"/>
              </w:rPr>
            </w:pPr>
            <w:r>
              <w:rPr>
                <w:rFonts w:ascii="Arial" w:cs="Arial" w:eastAsia="Arial" w:hAnsi="Arial"/>
                <w:sz w:val="14"/>
                <w:szCs w:val="14"/>
                <w:color w:val="auto"/>
                <w:w w:val="89"/>
              </w:rPr>
              <w:t>(2,164,013)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(2,041,806)</w:t>
            </w:r>
          </w:p>
        </w:tc>
      </w:tr>
      <w:tr>
        <w:trPr>
          <w:trHeight w:val="244"/>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2,228,017</w:t>
            </w: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1,881,456</w:t>
            </w:r>
          </w:p>
        </w:tc>
      </w:tr>
      <w:tr>
        <w:trPr>
          <w:trHeight w:val="276"/>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6,893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7,064</w:t>
            </w:r>
          </w:p>
        </w:tc>
      </w:tr>
      <w:tr>
        <w:trPr>
          <w:trHeight w:val="237"/>
        </w:trPr>
        <w:tc>
          <w:tcPr>
            <w:tcW w:w="840" w:type="dxa"/>
            <w:vAlign w:val="bottom"/>
          </w:tcPr>
          <w:p>
            <w:pPr>
              <w:jc w:val="right"/>
              <w:ind w:right="148"/>
              <w:spacing w:after="0"/>
              <w:rPr>
                <w:sz w:val="20"/>
                <w:szCs w:val="20"/>
                <w:color w:val="auto"/>
              </w:rPr>
            </w:pPr>
            <w:r>
              <w:rPr>
                <w:rFonts w:ascii="Arial" w:cs="Arial" w:eastAsia="Arial" w:hAnsi="Arial"/>
                <w:sz w:val="14"/>
                <w:szCs w:val="14"/>
                <w:color w:val="auto"/>
                <w:w w:val="96"/>
              </w:rPr>
              <w:t>2,555,847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2,145,690</w:t>
            </w:r>
          </w:p>
        </w:tc>
      </w:tr>
      <w:tr>
        <w:trPr>
          <w:trHeight w:val="20"/>
        </w:trPr>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85"/>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25,278</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11,757</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133,365</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174,348</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69,751</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61,358</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8,108</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10,302</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4,016</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16,429</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18,814</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2,789</w:t>
            </w:r>
          </w:p>
        </w:tc>
      </w:tr>
      <w:tr>
        <w:trPr>
          <w:trHeight w:val="270"/>
        </w:trPr>
        <w:tc>
          <w:tcPr>
            <w:tcW w:w="840" w:type="dxa"/>
            <w:vAlign w:val="bottom"/>
          </w:tcPr>
          <w:p>
            <w:pPr>
              <w:jc w:val="right"/>
              <w:ind w:right="148"/>
              <w:spacing w:after="0"/>
              <w:rPr>
                <w:sz w:val="20"/>
                <w:szCs w:val="20"/>
                <w:color w:val="auto"/>
              </w:rPr>
            </w:pPr>
            <w:r>
              <w:rPr>
                <w:rFonts w:ascii="Arial" w:cs="Arial" w:eastAsia="Arial" w:hAnsi="Arial"/>
                <w:sz w:val="14"/>
                <w:szCs w:val="14"/>
                <w:color w:val="auto"/>
              </w:rPr>
              <w:t>3,373</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-1543685</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-3267710</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8" w:lineRule="exact"/>
        <w:rPr>
          <w:sz w:val="20"/>
          <w:szCs w:val="20"/>
          <w:color w:val="auto"/>
        </w:rPr>
      </w:pPr>
    </w:p>
    <w:p>
      <w:pPr>
        <w:ind w:left="1760" w:hanging="1354"/>
        <w:spacing w:after="0"/>
        <w:tabs>
          <w:tab w:leader="none" w:pos="1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750</w:t>
      </w:r>
    </w:p>
    <w:p>
      <w:pPr>
        <w:spacing w:after="0" w:line="109"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263,598</w:t>
      </w:r>
      <w:r>
        <w:rPr>
          <w:rFonts w:ascii="Arial" w:cs="Arial" w:eastAsia="Arial" w:hAnsi="Arial"/>
          <w:sz w:val="13"/>
          <w:szCs w:val="13"/>
          <w:color w:val="auto"/>
        </w:rPr>
        <w:t>282,606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-149860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5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574,164</w:t>
      </w:r>
      <w:r>
        <w:rPr>
          <w:sz w:val="20"/>
          <w:szCs w:val="20"/>
          <w:color w:val="auto"/>
        </w:rPr>
        <w:tab/>
      </w:r>
      <w:r>
        <w:rPr>
          <w:rFonts w:ascii="Arial" w:cs="Arial" w:eastAsia="Arial" w:hAnsi="Arial"/>
          <w:sz w:val="14"/>
          <w:szCs w:val="14"/>
          <w:color w:val="auto"/>
        </w:rPr>
        <w:t>574,073</w:t>
      </w:r>
    </w:p>
    <w:p>
      <w:pPr>
        <w:spacing w:after="0" w:line="109" w:lineRule="exact"/>
        <w:rPr>
          <w:sz w:val="20"/>
          <w:szCs w:val="20"/>
          <w:color w:val="auto"/>
        </w:rPr>
      </w:pPr>
    </w:p>
    <w:p>
      <w:pPr>
        <w:ind w:left="220"/>
        <w:spacing w:after="0"/>
        <w:tabs>
          <w:tab w:leader="none" w:pos="1560" w:val="left"/>
        </w:tabs>
        <w:rPr>
          <w:sz w:val="20"/>
          <w:szCs w:val="20"/>
          <w:color w:val="auto"/>
        </w:rPr>
      </w:pPr>
      <w:r>
        <w:rPr>
          <w:rFonts w:ascii="Arial" w:cs="Arial" w:eastAsia="Arial" w:hAnsi="Arial"/>
          <w:sz w:val="14"/>
          <w:szCs w:val="14"/>
          <w:color w:val="auto"/>
        </w:rPr>
        <w:t>26,890</w:t>
      </w:r>
      <w:r>
        <w:rPr>
          <w:sz w:val="20"/>
          <w:szCs w:val="20"/>
          <w:color w:val="auto"/>
        </w:rPr>
        <w:tab/>
      </w:r>
      <w:r>
        <w:rPr>
          <w:rFonts w:ascii="Arial" w:cs="Arial" w:eastAsia="Arial" w:hAnsi="Arial"/>
          <w:sz w:val="14"/>
          <w:szCs w:val="14"/>
          <w:color w:val="auto"/>
        </w:rPr>
        <w:t>25,080</w:t>
      </w:r>
    </w:p>
    <w:p>
      <w:pPr>
        <w:spacing w:after="0" w:line="109" w:lineRule="exact"/>
        <w:rPr>
          <w:sz w:val="20"/>
          <w:szCs w:val="20"/>
          <w:color w:val="auto"/>
        </w:rPr>
      </w:pPr>
    </w:p>
    <w:p>
      <w:pPr>
        <w:ind w:left="300"/>
        <w:spacing w:after="0"/>
        <w:tabs>
          <w:tab w:leader="none" w:pos="1800" w:val="left"/>
        </w:tabs>
        <w:rPr>
          <w:sz w:val="20"/>
          <w:szCs w:val="20"/>
          <w:color w:val="auto"/>
        </w:rPr>
      </w:pPr>
      <w:r>
        <w:rPr>
          <w:rFonts w:ascii="Arial" w:cs="Arial" w:eastAsia="Arial" w:hAnsi="Arial"/>
          <w:sz w:val="14"/>
          <w:szCs w:val="14"/>
          <w:color w:val="auto"/>
        </w:rPr>
        <w:t>5,253</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color w:val="auto"/>
        </w:rPr>
        <w:t>6,194</w:t>
      </w:r>
      <w:r>
        <w:rPr>
          <w:sz w:val="20"/>
          <w:szCs w:val="20"/>
          <w:color w:val="auto"/>
        </w:rPr>
        <w:tab/>
      </w:r>
      <w:r>
        <w:rPr>
          <w:rFonts w:ascii="Arial" w:cs="Arial" w:eastAsia="Arial" w:hAnsi="Arial"/>
          <w:sz w:val="14"/>
          <w:szCs w:val="14"/>
          <w:color w:val="auto"/>
        </w:rPr>
        <w:t>6,385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612,501</w:t>
      </w:r>
      <w:r>
        <w:rPr>
          <w:sz w:val="20"/>
          <w:szCs w:val="20"/>
          <w:color w:val="auto"/>
        </w:rPr>
        <w:tab/>
      </w:r>
      <w:r>
        <w:rPr>
          <w:rFonts w:ascii="Arial" w:cs="Arial" w:eastAsia="Arial" w:hAnsi="Arial"/>
          <w:sz w:val="14"/>
          <w:szCs w:val="14"/>
          <w:color w:val="auto"/>
        </w:rPr>
        <w:t>605,538</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color w:val="auto"/>
        </w:rPr>
        <w:t>1,165</w:t>
      </w:r>
      <w:r>
        <w:rPr>
          <w:sz w:val="20"/>
          <w:szCs w:val="20"/>
          <w:color w:val="auto"/>
        </w:rPr>
        <w:tab/>
      </w:r>
      <w:r>
        <w:rPr>
          <w:rFonts w:ascii="Arial" w:cs="Arial" w:eastAsia="Arial" w:hAnsi="Arial"/>
          <w:sz w:val="14"/>
          <w:szCs w:val="14"/>
          <w:color w:val="auto"/>
        </w:rPr>
        <w:t>1,085</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1,916,821</w:t>
      </w:r>
      <w:r>
        <w:rPr>
          <w:sz w:val="20"/>
          <w:szCs w:val="20"/>
          <w:color w:val="auto"/>
        </w:rPr>
        <w:tab/>
      </w:r>
      <w:r>
        <w:rPr>
          <w:rFonts w:ascii="Arial" w:cs="Arial" w:eastAsia="Arial" w:hAnsi="Arial"/>
          <w:sz w:val="14"/>
          <w:szCs w:val="14"/>
          <w:color w:val="auto"/>
        </w:rPr>
        <w:t>1,666,024</w:t>
      </w:r>
    </w:p>
    <w:p>
      <w:pPr>
        <w:spacing w:after="0" w:line="109"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4"/>
          <w:szCs w:val="14"/>
          <w:color w:val="auto"/>
        </w:rPr>
        <w:t>(390,784)</w:t>
      </w:r>
      <w:r>
        <w:rPr>
          <w:sz w:val="20"/>
          <w:szCs w:val="20"/>
          <w:color w:val="auto"/>
        </w:rPr>
        <w:tab/>
      </w:r>
      <w:r>
        <w:rPr>
          <w:rFonts w:ascii="Arial" w:cs="Arial" w:eastAsia="Arial" w:hAnsi="Arial"/>
          <w:sz w:val="14"/>
          <w:szCs w:val="14"/>
          <w:color w:val="auto"/>
        </w:rPr>
        <w:t>(510,484)</w:t>
      </w:r>
    </w:p>
    <w:p>
      <w:pPr>
        <w:spacing w:after="0" w:line="109" w:lineRule="exact"/>
        <w:rPr>
          <w:sz w:val="20"/>
          <w:szCs w:val="20"/>
          <w:color w:val="auto"/>
        </w:rPr>
      </w:pPr>
    </w:p>
    <w:p>
      <w:pPr>
        <w:ind w:left="240"/>
        <w:spacing w:after="0"/>
        <w:tabs>
          <w:tab w:leader="none" w:pos="1760" w:val="left"/>
        </w:tabs>
        <w:rPr>
          <w:sz w:val="20"/>
          <w:szCs w:val="20"/>
          <w:color w:val="auto"/>
        </w:rPr>
      </w:pPr>
      <w:r>
        <w:rPr>
          <w:rFonts w:ascii="Arial" w:cs="Arial" w:eastAsia="Arial" w:hAnsi="Arial"/>
          <w:sz w:val="14"/>
          <w:szCs w:val="14"/>
          <w:color w:val="auto"/>
        </w:rPr>
        <w:t>(2,670)</w:t>
      </w:r>
      <w:r>
        <w:rPr>
          <w:sz w:val="20"/>
          <w:szCs w:val="20"/>
          <w:color w:val="auto"/>
        </w:rPr>
        <w:tab/>
      </w:r>
      <w:r>
        <w:rPr>
          <w:rFonts w:ascii="Arial" w:cs="Arial" w:eastAsia="Arial" w:hAnsi="Arial"/>
          <w:sz w:val="14"/>
          <w:szCs w:val="14"/>
          <w:color w:val="auto"/>
        </w:rPr>
        <w:t>(69)</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1,524,532</w:t>
      </w:r>
      <w:r>
        <w:rPr>
          <w:sz w:val="20"/>
          <w:szCs w:val="20"/>
          <w:color w:val="auto"/>
        </w:rPr>
        <w:tab/>
      </w:r>
      <w:r>
        <w:rPr>
          <w:rFonts w:ascii="Arial" w:cs="Arial" w:eastAsia="Arial" w:hAnsi="Arial"/>
          <w:sz w:val="14"/>
          <w:szCs w:val="14"/>
          <w:color w:val="auto"/>
        </w:rPr>
        <w:t>1,156,556</w:t>
      </w:r>
    </w:p>
    <w:p>
      <w:pPr>
        <w:spacing w:after="0" w:line="10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4"/>
          <w:szCs w:val="14"/>
          <w:color w:val="auto"/>
        </w:rPr>
        <w:t>155,216</w:t>
      </w:r>
      <w:r>
        <w:rPr>
          <w:sz w:val="20"/>
          <w:szCs w:val="20"/>
          <w:color w:val="auto"/>
        </w:rPr>
        <w:tab/>
      </w:r>
      <w:r>
        <w:rPr>
          <w:rFonts w:ascii="Arial" w:cs="Arial" w:eastAsia="Arial" w:hAnsi="Arial"/>
          <w:sz w:val="14"/>
          <w:szCs w:val="14"/>
          <w:color w:val="auto"/>
        </w:rPr>
        <w:t>100,990</w:t>
      </w:r>
    </w:p>
    <w:p>
      <w:pPr>
        <w:spacing w:after="0" w:line="109"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4"/>
          <w:szCs w:val="14"/>
          <w:color w:val="auto"/>
        </w:rPr>
        <w:t>1,679,748</w:t>
      </w:r>
      <w:r>
        <w:rPr>
          <w:sz w:val="20"/>
          <w:szCs w:val="20"/>
          <w:color w:val="auto"/>
        </w:rPr>
        <w:tab/>
      </w:r>
      <w:r>
        <w:rPr>
          <w:rFonts w:ascii="Arial" w:cs="Arial" w:eastAsia="Arial" w:hAnsi="Arial"/>
          <w:sz w:val="14"/>
          <w:szCs w:val="14"/>
          <w:color w:val="auto"/>
        </w:rPr>
        <w:t>1,257,546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6" w:lineRule="exact"/>
        <w:rPr>
          <w:sz w:val="20"/>
          <w:szCs w:val="20"/>
          <w:color w:val="auto"/>
        </w:rPr>
      </w:pPr>
    </w:p>
    <w:p>
      <w:pPr>
        <w:ind w:left="40"/>
        <w:spacing w:after="0"/>
        <w:tabs>
          <w:tab w:leader="none" w:pos="840" w:val="left"/>
          <w:tab w:leader="none" w:pos="1380" w:val="left"/>
        </w:tabs>
        <w:rPr>
          <w:sz w:val="20"/>
          <w:szCs w:val="20"/>
          <w:color w:val="auto"/>
        </w:rPr>
      </w:pPr>
      <w:r>
        <w:rPr>
          <w:rFonts w:ascii="Arial" w:cs="Arial" w:eastAsia="Arial" w:hAnsi="Arial"/>
          <w:sz w:val="14"/>
          <w:szCs w:val="14"/>
          <w:color w:val="auto"/>
        </w:rPr>
        <w:t>2,555,847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2,145,690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wp:posOffset>
            </wp:positionV>
            <wp:extent cx="16637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00" w:space="440"/>
            <w:col w:w="2080"/>
          </w:cols>
          <w:pgMar w:left="240" w:top="125" w:right="239" w:bottom="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209,019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113,764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390,973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228,611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Realized (loss) gain on derivatives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33,821</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211,367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129,611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402,547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264,425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24,682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75,266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33,515</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137,374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255,192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171,157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93,268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asset sales and inventory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(17,679)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(15,681)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72,493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100,211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100,005</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100,227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100,455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Contributions related to formation of Joint Venture (see Note 6)</w:t>
      </w:r>
    </w:p>
    <w:p>
      <w:pPr>
        <w:spacing w:after="0" w:line="12"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11,327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11,327</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(2,601)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53,900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(10,535)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119,700</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10,861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130,561</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116,461</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$1,916,821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(390,784)</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(2,670)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1,524,532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155,216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1,679,748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-2606675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-2211705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-1868805</wp:posOffset>
            </wp:positionV>
            <wp:extent cx="724662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-1423035</wp:posOffset>
            </wp:positionV>
            <wp:extent cx="72466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-1028700</wp:posOffset>
            </wp:positionV>
            <wp:extent cx="72466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-582295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3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Unrealized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gain on asset sales and inventory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midstream and 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Joint Venture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non-controlling interest of less-than-wholly-owned subsidiary</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20" w:type="dxa"/>
            <w:vAlign w:val="bottom"/>
          </w:tcPr>
          <w:p>
            <w:pPr>
              <w:jc w:val="right"/>
              <w:ind w:right="26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6"/>
              <w:spacing w:after="0"/>
              <w:rPr>
                <w:sz w:val="20"/>
                <w:szCs w:val="20"/>
                <w:color w:val="auto"/>
              </w:rPr>
            </w:pPr>
            <w:r>
              <w:rPr>
                <w:rFonts w:ascii="Arial" w:cs="Arial" w:eastAsia="Arial" w:hAnsi="Arial"/>
                <w:sz w:val="18"/>
                <w:szCs w:val="18"/>
                <w:b w:val="1"/>
                <w:bCs w:val="1"/>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2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130,561</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77,587</w:t>
            </w:r>
          </w:p>
        </w:tc>
      </w:tr>
      <w:tr>
        <w:trPr>
          <w:trHeight w:val="540"/>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(33,821)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122,207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75,266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614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8,945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11,192</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64</w:t>
            </w:r>
          </w:p>
        </w:tc>
      </w:tr>
      <w:tr>
        <w:trPr>
          <w:trHeight w:val="270"/>
        </w:trPr>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35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4"/>
          <w:szCs w:val="14"/>
          <w:color w:val="auto"/>
        </w:rPr>
        <w:t>(9,321)</w:t>
      </w:r>
      <w:r>
        <w:rPr>
          <w:sz w:val="20"/>
          <w:szCs w:val="20"/>
          <w:color w:val="auto"/>
        </w:rPr>
        <w:tab/>
      </w:r>
      <w:r>
        <w:rPr>
          <w:rFonts w:ascii="Arial" w:cs="Arial" w:eastAsia="Arial" w:hAnsi="Arial"/>
          <w:sz w:val="14"/>
          <w:szCs w:val="14"/>
          <w:color w:val="auto"/>
        </w:rPr>
        <w:t>(25,642)</w:t>
      </w:r>
    </w:p>
    <w:p>
      <w:pPr>
        <w:spacing w:after="0" w:line="109"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4"/>
          <w:szCs w:val="14"/>
          <w:color w:val="auto"/>
        </w:rPr>
        <w:t>(8,611)</w:t>
      </w:r>
      <w:r>
        <w:rPr>
          <w:sz w:val="20"/>
          <w:szCs w:val="20"/>
          <w:color w:val="auto"/>
        </w:rPr>
        <w:tab/>
      </w:r>
      <w:r>
        <w:rPr>
          <w:rFonts w:ascii="Arial" w:cs="Arial" w:eastAsia="Arial" w:hAnsi="Arial"/>
          <w:sz w:val="14"/>
          <w:szCs w:val="14"/>
          <w:color w:val="auto"/>
        </w:rPr>
        <w:t>(140)</w:t>
      </w:r>
    </w:p>
    <w:p>
      <w:pPr>
        <w:spacing w:after="0" w:line="1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4"/>
          <w:szCs w:val="14"/>
          <w:color w:val="auto"/>
        </w:rPr>
        <w:t>(2,167)</w:t>
      </w:r>
      <w:r>
        <w:rPr>
          <w:sz w:val="20"/>
          <w:szCs w:val="20"/>
          <w:color w:val="auto"/>
        </w:rPr>
        <w:tab/>
      </w:r>
      <w:r>
        <w:rPr>
          <w:rFonts w:ascii="Arial" w:cs="Arial" w:eastAsia="Arial" w:hAnsi="Arial"/>
          <w:sz w:val="14"/>
          <w:szCs w:val="14"/>
          <w:color w:val="auto"/>
        </w:rPr>
        <w:t>(2,619)</w:t>
      </w:r>
    </w:p>
    <w:p>
      <w:pPr>
        <w:spacing w:after="0" w:line="109" w:lineRule="exact"/>
        <w:rPr>
          <w:sz w:val="20"/>
          <w:szCs w:val="20"/>
          <w:color w:val="auto"/>
        </w:rPr>
      </w:pPr>
    </w:p>
    <w:p>
      <w:pPr>
        <w:ind w:left="1840" w:hanging="1173"/>
        <w:spacing w:after="0"/>
        <w:tabs>
          <w:tab w:leader="none" w:pos="1840" w:val="left"/>
        </w:tabs>
        <w:numPr>
          <w:ilvl w:val="0"/>
          <w:numId w:val="4"/>
        </w:numPr>
        <w:rPr>
          <w:rFonts w:ascii="Arial" w:cs="Arial" w:eastAsia="Arial" w:hAnsi="Arial"/>
          <w:sz w:val="14"/>
          <w:szCs w:val="14"/>
          <w:color w:val="auto"/>
        </w:rPr>
      </w:pPr>
      <w:r>
        <w:rPr>
          <w:rFonts w:ascii="Arial" w:cs="Arial" w:eastAsia="Arial" w:hAnsi="Arial"/>
          <w:sz w:val="14"/>
          <w:szCs w:val="14"/>
          <w:color w:val="auto"/>
        </w:rPr>
        <w:t>165</w:t>
      </w:r>
    </w:p>
    <w:p>
      <w:pPr>
        <w:spacing w:after="0" w:line="109" w:lineRule="exact"/>
        <w:rPr>
          <w:sz w:val="20"/>
          <w:szCs w:val="20"/>
          <w:color w:val="auto"/>
        </w:rPr>
      </w:pPr>
    </w:p>
    <w:p>
      <w:pPr>
        <w:ind w:left="1720" w:hanging="1053"/>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4,442</w:t>
      </w:r>
    </w:p>
    <w:p>
      <w:pPr>
        <w:spacing w:after="0" w:line="109"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8,393</w:t>
      </w:r>
      <w:r>
        <w:rPr>
          <w:rFonts w:ascii="Arial" w:cs="Arial" w:eastAsia="Arial" w:hAnsi="Arial"/>
          <w:sz w:val="13"/>
          <w:szCs w:val="13"/>
          <w:color w:val="auto"/>
        </w:rPr>
        <w:t>11,435</w:t>
      </w:r>
    </w:p>
    <w:p>
      <w:pPr>
        <w:spacing w:after="0" w:line="109"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14"/>
          <w:szCs w:val="14"/>
          <w:color w:val="auto"/>
        </w:rPr>
        <w:t>16,025</w:t>
      </w:r>
      <w:r>
        <w:rPr>
          <w:sz w:val="20"/>
          <w:szCs w:val="20"/>
          <w:color w:val="auto"/>
        </w:rPr>
        <w:tab/>
      </w:r>
      <w:r>
        <w:rPr>
          <w:rFonts w:ascii="Arial" w:cs="Arial" w:eastAsia="Arial" w:hAnsi="Arial"/>
          <w:sz w:val="14"/>
          <w:szCs w:val="14"/>
          <w:color w:val="auto"/>
        </w:rPr>
        <w:t>3,768</w:t>
      </w:r>
    </w:p>
    <w:p>
      <w:pPr>
        <w:spacing w:after="0" w:line="109" w:lineRule="exact"/>
        <w:rPr>
          <w:sz w:val="20"/>
          <w:szCs w:val="20"/>
          <w:color w:val="auto"/>
        </w:rPr>
      </w:pPr>
    </w:p>
    <w:p>
      <w:pPr>
        <w:ind w:left="1680" w:hanging="941"/>
        <w:spacing w:after="0"/>
        <w:tabs>
          <w:tab w:leader="none" w:pos="1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(1,062)</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254,208</w:t>
      </w:r>
      <w:r>
        <w:rPr>
          <w:rFonts w:ascii="Arial" w:cs="Arial" w:eastAsia="Arial" w:hAnsi="Arial"/>
          <w:sz w:val="13"/>
          <w:szCs w:val="13"/>
          <w:color w:val="auto"/>
        </w:rPr>
        <w:t>121,242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(421,595)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(328,929)</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(79,560)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(41,743)</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7,593</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w:t>
            </w:r>
          </w:p>
        </w:tc>
      </w:tr>
      <w:tr>
        <w:trPr>
          <w:trHeight w:val="244"/>
        </w:trPr>
        <w:tc>
          <w:tcPr>
            <w:tcW w:w="1040" w:type="dxa"/>
            <w:vAlign w:val="bottom"/>
          </w:tcPr>
          <w:p>
            <w:pPr>
              <w:jc w:val="right"/>
              <w:spacing w:after="0"/>
              <w:rPr>
                <w:sz w:val="20"/>
                <w:szCs w:val="20"/>
                <w:color w:val="auto"/>
              </w:rPr>
            </w:pPr>
            <w:r>
              <w:rPr>
                <w:rFonts w:ascii="Arial" w:cs="Arial" w:eastAsia="Arial" w:hAnsi="Arial"/>
                <w:sz w:val="14"/>
                <w:szCs w:val="14"/>
                <w:color w:val="auto"/>
              </w:rPr>
              <w:t>(493,562)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(369,695)</w:t>
            </w:r>
          </w:p>
        </w:tc>
      </w:tr>
      <w:tr>
        <w:trPr>
          <w:trHeight w:val="540"/>
        </w:trPr>
        <w:tc>
          <w:tcPr>
            <w:tcW w:w="1040" w:type="dxa"/>
            <w:vAlign w:val="bottom"/>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2,201</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171,500</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53,900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14,700</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(10,535)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(1,960)</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(4,683)</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(2,970)</w:t>
            </w:r>
          </w:p>
        </w:tc>
      </w:tr>
    </w:tbl>
    <w:p>
      <w:pPr>
        <w:spacing w:after="0" w:line="88"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(2,653)</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280,385</w:t>
      </w:r>
      <w:r>
        <w:rPr>
          <w:rFonts w:ascii="Arial" w:cs="Arial" w:eastAsia="Arial" w:hAnsi="Arial"/>
          <w:sz w:val="13"/>
          <w:szCs w:val="13"/>
          <w:color w:val="auto"/>
        </w:rPr>
        <w:t>180,818</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41,031</w:t>
      </w:r>
      <w:r>
        <w:rPr>
          <w:rFonts w:ascii="Arial" w:cs="Arial" w:eastAsia="Arial" w:hAnsi="Arial"/>
          <w:sz w:val="13"/>
          <w:szCs w:val="13"/>
          <w:color w:val="auto"/>
        </w:rPr>
        <w:t>(67,635)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13722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102,482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214,142</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143,513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146,507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540" w:space="720"/>
            <w:col w:w="21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Supplemental disclosures of cash flow information (Note 10)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 San Mateo Midstream, LLC (“San Mateo” or the “Joint Venture”),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2017 (the “Annual Report”) filed with the SEC.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Arial" w:cs="Arial" w:eastAsia="Arial" w:hAnsi="Arial"/>
          <w:sz w:val="16"/>
          <w:szCs w:val="16"/>
          <w:i w:val="1"/>
          <w:iCs w:val="1"/>
          <w:color w:val="auto"/>
        </w:rPr>
        <w:t>Consolidation (Topic 810)</w:t>
      </w:r>
      <w:r>
        <w:rPr>
          <w:rFonts w:ascii="Arial" w:cs="Arial" w:eastAsia="Arial" w:hAnsi="Arial"/>
          <w:sz w:val="16"/>
          <w:szCs w:val="16"/>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2018. Amounts as of December 31, 2017 are derived from the Company’s audited consolidated financial statements included in the Annual Report.</w:t>
      </w:r>
    </w:p>
    <w:p>
      <w:pPr>
        <w:spacing w:after="0" w:line="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accruals for oil and natural gas revenues, accrued assets and liabilities primarily related to oil and natural gas and midstream operations, stock-based compensation, valuation of derivative instruments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Codification,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and converge with international standards, the financial reporting requirements for revenue from contracts with customers. The Company adopted the new guidance using the modified retrospective approach. The adoption did not require an adjustment to opening accumulated deficit for any cumulative effect adjustment and did not have a material impact on the Company’s consolidated balance sheets, statements of operations, statement of shareholders’ equity or statements of cash flows.</w:t>
      </w:r>
    </w:p>
    <w:p>
      <w:pPr>
        <w:spacing w:after="0" w:line="8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Prior to the adoption of ASC 606, the Company recorded oil and natural gas revenues at the time of physical transfer of such products to the purchaser. The Company followed the sales method of accounting for oil and natural gas sales, recognizing revenues based on the Company’s actual proceeds from the oil and natural gas sold to purchasers.</w:t>
      </w:r>
    </w:p>
    <w:p>
      <w:pPr>
        <w:spacing w:after="0" w:line="7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enters into contracts with customers to sell its oil and natural gas production. With the adoption of ASC 606, revenue on these contracts is recognized in accordance with the five-step revenue recognition model prescribed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ASC 606. Specifically, revenue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oil and natural gas marketing contracts is typically received from the purchaser one to two months after production.</w:t>
      </w:r>
    </w:p>
    <w:p>
      <w:pPr>
        <w:spacing w:after="0" w:line="8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majority of the Company’s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sales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5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Company’s natural gas is sold at the lease location, at the inlet or outlet of a natural gas plant or at an interconnect near a marketing hub following transportation from a processing plant. The majority of the Company’s natural gas is sold under fee-based contracts. When the natural gas is sold at the lease, the purchaser gathers the natural gas and transports the natural gas via pipeline to natural gas processing plants where, if necessary, natural gas liquid (“NGL”) products are extracted. The NGL products and remaining residue gas are then sold by the purchaser, or if the Company elects to repurchase the natural gas, the Company sells the natural gas to a third party. Under the fee-based contracts, the Company receives NGL and residue gas value, less the fee component, or is invoiced the fee component. To the extent control of the natural gas transfers upstream of the transportation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89"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our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determined the impact to its consolidated financial statements as a result of adoption of ASC 606 was a $2.6 million and $4.8 million decrease in oil and natural gas revenues and a $2.6 million and $4.8 million decrease in production taxes, transportation and processing expenses for the three and six months ended June 30, 2018, respectively, which was not material. As a result of adoption of this standard, the Company is now required to disclose the following information regarding total revenues and revenues from contracts with customers on a disaggregated basis for the three and six months ended June 30, 2018 (in thousands).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280" w:type="dxa"/>
            <w:vAlign w:val="bottom"/>
          </w:tcPr>
          <w:p>
            <w:pPr>
              <w:spacing w:after="0"/>
              <w:rPr>
                <w:sz w:val="18"/>
                <w:szCs w:val="18"/>
                <w:color w:val="auto"/>
              </w:rPr>
            </w:pPr>
          </w:p>
        </w:tc>
        <w:tc>
          <w:tcPr>
            <w:tcW w:w="20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212,426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397,448</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Realized loss on derivatives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(2,488)</w:t>
            </w:r>
          </w:p>
        </w:tc>
        <w:tc>
          <w:tcPr>
            <w:tcW w:w="2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(6,746)</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2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11,845</w:t>
            </w:r>
          </w:p>
        </w:tc>
      </w:tr>
      <w:tr>
        <w:trPr>
          <w:trHeight w:val="257"/>
        </w:trPr>
        <w:tc>
          <w:tcPr>
            <w:tcW w:w="632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211,367</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402,547</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c>
          <w:tcPr>
            <w:tcW w:w="320" w:type="dxa"/>
            <w:vAlign w:val="bottom"/>
          </w:tcPr>
          <w:p>
            <w:pPr>
              <w:spacing w:after="0"/>
              <w:rPr>
                <w:sz w:val="18"/>
                <w:szCs w:val="18"/>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2018</w:t>
            </w:r>
          </w:p>
        </w:tc>
        <w:tc>
          <w:tcPr>
            <w:tcW w:w="32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 2018</w:t>
            </w:r>
          </w:p>
        </w:tc>
      </w:tr>
      <w:tr>
        <w:trPr>
          <w:trHeight w:val="27"/>
        </w:trPr>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314,430</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42,748</w:t>
            </w:r>
          </w:p>
        </w:tc>
        <w:tc>
          <w:tcPr>
            <w:tcW w:w="3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76,543</w:t>
            </w:r>
          </w:p>
        </w:tc>
      </w:tr>
      <w:tr>
        <w:trPr>
          <w:trHeight w:val="27"/>
        </w:trPr>
        <w:tc>
          <w:tcPr>
            <w:tcW w:w="6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r>
      <w:tr>
        <w:trPr>
          <w:trHeight w:val="257"/>
        </w:trPr>
        <w:tc>
          <w:tcPr>
            <w:tcW w:w="6320" w:type="dxa"/>
            <w:vAlign w:val="bottom"/>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212,426</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397,448</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6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 xml:space="preserve">During the first quarter of 2018, the Company adopted Accounting Standards Update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which specifies that a statement of cash flows explain the change during the period in the total of cash, cash equivalents and amounts generally described as restricted cash or restricted cash equivalents. The Company adopted ASU 2016-18 effective January 1, 2018 and determined that the adoption of this ASU changed the presentation of its beginning and ending cash balances and eliminated the presentation of changes in restricted cash balances from investing activities in its consolidated statements of cash flows. The Company adopted the new guidance using the retrospective transition method; as a result, approximately $6.0 million and $1.3 million of restricted cash was added to the beginning cash balance for the six months ended June 30, 2018 and 2017, respectively.</w:t>
      </w:r>
    </w:p>
    <w:p>
      <w:pPr>
        <w:spacing w:after="0" w:line="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During the first quarter of 2018, the Company adopted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specifies the minimum inputs and processes required for an integrated set of assets and activities to meet the definition of a business. The Company adopted ASU 2017-01 prospectively, which did not have a material impact on its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six months ended June 30, 2018 and 2017, the cost center ceiling was higher than the capitalized costs of oil and natural gas properties, and, as a result, no impairment charge was necessary.</w:t>
      </w:r>
    </w:p>
    <w:p>
      <w:pPr>
        <w:spacing w:after="0" w:line="6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capitalized approximately $6.8 million and $5.2 million of its general and administrative costs for the three months ended June 30, 2018 and 2017, respectively, and approximately $2.6 million and $1.9 million of its interest expense for the three months ended June 30, 2018 and 2017, respectively. The Company capitalized approximately $14.1 million and $10.8 million of its general and administrative costs for the six months ended June 30, 2018 and 2017, respectively, and approximately $4.5 million and $3.2 million of its interest expense for the six months ended June 30, 2018 and 2017,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shareholders per common share, which includes the effect of all potentially dilutive securities unless their impact is anti-dilutive.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computation of diluted weighted average common shares outstanding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5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520" w:type="dxa"/>
            <w:vAlign w:val="bottom"/>
          </w:tcPr>
          <w:p>
            <w:pPr>
              <w:spacing w:after="0"/>
              <w:rPr>
                <w:sz w:val="20"/>
                <w:szCs w:val="20"/>
                <w:color w:val="auto"/>
              </w:rPr>
            </w:pPr>
          </w:p>
        </w:tc>
        <w:tc>
          <w:tcPr>
            <w:tcW w:w="1620" w:type="dxa"/>
            <w:vAlign w:val="bottom"/>
            <w:gridSpan w:val="3"/>
          </w:tcPr>
          <w:p>
            <w:pPr>
              <w:ind w:left="920"/>
              <w:spacing w:after="0"/>
              <w:rPr>
                <w:sz w:val="20"/>
                <w:szCs w:val="20"/>
                <w:color w:val="auto"/>
              </w:rPr>
            </w:pPr>
            <w:r>
              <w:rPr>
                <w:rFonts w:ascii="Arial" w:cs="Arial" w:eastAsia="Arial" w:hAnsi="Arial"/>
                <w:sz w:val="18"/>
                <w:szCs w:val="18"/>
                <w:b w:val="1"/>
                <w:bCs w:val="1"/>
                <w:color w:val="auto"/>
                <w:w w:val="94"/>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90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100,211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100,005</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57"/>
        </w:trPr>
        <w:tc>
          <w:tcPr>
            <w:tcW w:w="652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113,056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100,227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111,280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100,455</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17"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 In February 2016, the Financial Accounting Standards Board (“FASB”) issued ASU 2016-02,</w:t>
      </w:r>
      <w:r>
        <w:rPr>
          <w:rFonts w:ascii="Arial" w:cs="Arial" w:eastAsia="Arial" w:hAnsi="Arial"/>
          <w:sz w:val="16"/>
          <w:szCs w:val="16"/>
          <w:i w:val="1"/>
          <w:iCs w:val="1"/>
          <w:color w:val="auto"/>
        </w:rPr>
        <w:t xml:space="preserve"> Leases (Topic 842)</w:t>
      </w:r>
      <w:r>
        <w:rPr>
          <w:rFonts w:ascii="Arial" w:cs="Arial" w:eastAsia="Arial" w:hAnsi="Arial"/>
          <w:sz w:val="16"/>
          <w:szCs w:val="16"/>
          <w:color w:val="auto"/>
        </w:rPr>
        <w:t>,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of lease assets and lease liabilities by lessees for those leases classified as operating leases under previous U.S. GAAP. This ASU will become effective for fiscal years beginning after December 15, 2018 with early adoption permitted. Entities are required to recognize and measure leases at the beginning of the earliest period presented using a modified retrospective approach. The modified retrospective approach includes a number of optional practical expedients that entities may elect to apply. These practical expedients relate to the identification and classification of leases that commenced before the effective date, initial direct costs for leases that commenced before the effective date and the ability to use hindsight in evaluating lessee options to extend or terminate a lease or to purchase the underlying asset. In January 2018, the FASB issued ASU 2018-01,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land easement practical expedient. If the Company elects to use this practical expedient, the Company should evaluate new or modified land easements under this ASU beginning at the date of adoption. Adoption of ASU 2016-02 will result in increased reported assets and liabilities. The quantitative impact of the new lease standard will depend on the leases in force at the time of adoption. The Company is currently evaluating the impact of the adoption of these ASUs on its consolidated financial statements, including identifying all leases, as defined under the new lease standard, determining which practical expedients the Company will use and quantifying the impact of the new lease standard on existing leases. The Company expects to adopt these ASUs as of January 1, 2019.</w:t>
      </w:r>
    </w:p>
    <w:p>
      <w:pPr>
        <w:spacing w:after="0" w:line="61"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In June 2018, the FASB issued ASU 2018-07,</w:t>
      </w:r>
      <w:r>
        <w:rPr>
          <w:rFonts w:ascii="Arial" w:cs="Arial" w:eastAsia="Arial" w:hAnsi="Arial"/>
          <w:sz w:val="16"/>
          <w:szCs w:val="16"/>
          <w:i w:val="1"/>
          <w:iCs w:val="1"/>
          <w:color w:val="auto"/>
        </w:rPr>
        <w:t xml:space="preserve"> Compensation - Stock Compensation (Topic 718): Improvements to Nonemployee Share-Based Payment Accounting</w:t>
      </w:r>
      <w:r>
        <w:rPr>
          <w:rFonts w:ascii="Arial" w:cs="Arial" w:eastAsia="Arial" w:hAnsi="Arial"/>
          <w:sz w:val="16"/>
          <w:szCs w:val="16"/>
          <w:color w:val="auto"/>
        </w:rPr>
        <w:t>. This ASU extends the scope of Topic 718 to include share-based payment transactions related to the acquisition of goods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from nonemployees. Currently, the Company accounts for stock-based awards to special advisors and contractors under ASC 505-50 as liability instruments, and the fair value of the awards is recalculated each reporting period. Upon adoption, all such awards will be measured at fair value on the grant date and the resulting expense will be recognized on a straight-line basis over the awards’ vesting period. This ASU is effective for fiscal years beginning after December 15, 2018 with early adoption permitted. The transitional guidance requires entities to remeasure all unvested awards that are being accounted for under ASC 505-50 as liability instruments as of the beginning of the year in which this ASU is adopted. The Company expects to adopt this ASU as of January 1, 2019 and does not anticipate this ASU will have a material impact to the Company’s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changes in the Company’s asset retirement obligations for the six months ended June 30, 2018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26,256</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739</w:t>
            </w:r>
          </w:p>
        </w:tc>
      </w:tr>
      <w:tr>
        <w:trPr>
          <w:trHeight w:val="27"/>
        </w:trPr>
        <w:tc>
          <w:tcPr>
            <w:tcW w:w="10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w:t>
            </w:r>
          </w:p>
        </w:tc>
      </w:tr>
      <w:tr>
        <w:trPr>
          <w:trHeight w:val="270"/>
        </w:trPr>
        <w:tc>
          <w:tcPr>
            <w:tcW w:w="10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69"/>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26,890</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June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0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At June 30, 2018 and August 1, 2018, the Company had $575.0 million of outstanding 6.875% senior notes due 2023 (the “Notes”), no borrowings outstanding under the Company’s revolving credit agreement (the “Credit Agreement”) and approximately $3.0 million in outstanding letters of credit issued pursuant to the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9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Both the Company and the lenders may request an unscheduled redetermination of the borrowing base once each between scheduled redetermination dates. During the first quarter of 2018, the lenders completed their review of the Company’s proved oil and natural gas reserves at December 31, 2017, and as a result, on March 5, 2018, the borrowing base was increased to $725.0 million. This March 2018 redetermination constituted the regularly scheduled May 1 redetermination. The Company elected to keep the borrowing commitment at $400.0 million and the maximum facility amount remained at $500.0 million. Borrowings under the Credit Agreement are limited to the lowest of the borrowing base, the maximum facility amount and the elected commitment. The Credit Agreement matures on October 16, 2020.</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June 30,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On April 14, 2015 and December 9, 2016, the Company issued $400.0 million and $175.0 million, respectively, of Notes. The Notes mature on April 15, 2023, and interest is payable semi-annually in arrears on April 15 and October 15 of each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Company’s deferred tax assets exceeded its deferred tax liabilities at June 30, 2018 due to the deferred tax assets generated by full-cost ceiling impairment charges recorded in prior periods. The Company established a valuation allowance against most of the deferred tax assets beginning in the third quarter of 2015 and retained a full valuation allowance at June 30, 2018 due to uncertainties regarding the future realization of its deferred tax assets. The valuation allowance will continue to be recognized until the realization of future deferred tax benefits is more likely than not to be utilized.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May 17, 2018, the Company completed a public offering of 7,000,000 shares of its common stock. After deducting offering costs totaling approximately $0.1 million, the Company received net proceeds of approximately $226.5 million. The proceeds from this offering were and are being used to acquire additional leasehold and mineral acres in the Delaware Basin, to fund certain midstream initiatives in the Delaware Basin and for general corporate purposes, including to fund a portion of the Company’s future capital expenditures. Pending such uses, the Company used a portion of the proceeds from the offering to repay the $45.0 million of outstanding borrowings under the Credit Agreement and invested the remaining funds in short-term marketable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2018, the Company granted awards of 667,488 shares of restricted stock and options to purchase 563,408 shares of the Company’s common stock at an exercise price of $29.68 per share to certain of its employees. The fair value of these awards was approximately $26.9 million. All of these awards vest ratably over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w:t>
      </w:r>
    </w:p>
    <w:p>
      <w:pPr>
        <w:spacing w:after="0" w:line="11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connection with the formation of San Mateo in 2017, the Company has the ability to earn a total of $73.5 million in performance incentives to be paid by its joint venture partner, a subsidiary of Five Point Energy LLC (“Five Point”), over a five-year period. The Company earned, and Five Point paid to the Company, $14.7 million in performance incentives during the six months ended June 30, 2018, and the Company may earn an additional $58.8 million in performance incentives over the next four years. These performance incentives are recorded as an increase to additional paid-in capital when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200" w:lineRule="exact"/>
        <w:rPr>
          <w:sz w:val="20"/>
          <w:szCs w:val="20"/>
          <w:color w:val="auto"/>
        </w:rPr>
      </w:pPr>
    </w:p>
    <w:p>
      <w:pPr>
        <w:spacing w:after="0" w:line="38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June 30, 2018,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2018 and 2019.</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 Floor ($/Bbl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Ceiling</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Notional Quantity (Bbl or</w:t>
            </w:r>
          </w:p>
        </w:tc>
        <w:tc>
          <w:tcPr>
            <w:tcW w:w="2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or</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($/Bbl or</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9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2"/>
              </w:rPr>
              <w:t>Calculation Period</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$/MMBtu)</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6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8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07/01/2018 - 12/31/2018</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r>
      <w:tr>
        <w:trPr>
          <w:trHeight w:val="270"/>
        </w:trPr>
        <w:tc>
          <w:tcPr>
            <w:tcW w:w="1620" w:type="dxa"/>
            <w:vAlign w:val="bottom"/>
          </w:tcPr>
          <w:p>
            <w:pPr>
              <w:ind w:left="40"/>
              <w:spacing w:after="0" w:line="270"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840" w:type="dxa"/>
            <w:vAlign w:val="bottom"/>
          </w:tcPr>
          <w:p>
            <w:pPr>
              <w:jc w:val="center"/>
              <w:ind w:left="250"/>
              <w:spacing w:after="0"/>
              <w:rPr>
                <w:sz w:val="20"/>
                <w:szCs w:val="20"/>
                <w:color w:val="auto"/>
              </w:rPr>
            </w:pPr>
            <w:r>
              <w:rPr>
                <w:rFonts w:ascii="Arial" w:cs="Arial" w:eastAsia="Arial" w:hAnsi="Arial"/>
                <w:sz w:val="18"/>
                <w:szCs w:val="18"/>
                <w:color w:val="auto"/>
                <w:w w:val="90"/>
              </w:rPr>
              <w:t>01/01/2019 - 12/31/2019</w:t>
            </w:r>
          </w:p>
        </w:tc>
        <w:tc>
          <w:tcPr>
            <w:tcW w:w="12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2,400,000</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(12,208)</w:t>
            </w:r>
          </w:p>
        </w:tc>
      </w:tr>
      <w:tr>
        <w:trPr>
          <w:trHeight w:val="270"/>
        </w:trPr>
        <w:tc>
          <w:tcPr>
            <w:tcW w:w="1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Oil - LLS</w:t>
            </w:r>
            <w:r>
              <w:rPr>
                <w:rFonts w:ascii="Arial" w:cs="Arial" w:eastAsia="Arial" w:hAnsi="Arial"/>
                <w:sz w:val="25"/>
                <w:szCs w:val="25"/>
                <w:color w:val="auto"/>
                <w:vertAlign w:val="superscript"/>
              </w:rPr>
              <w:t>(2)</w:t>
            </w:r>
          </w:p>
        </w:tc>
        <w:tc>
          <w:tcPr>
            <w:tcW w:w="28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07/01/2018 - 12/31/2018</w:t>
            </w:r>
          </w:p>
        </w:tc>
        <w:tc>
          <w:tcPr>
            <w:tcW w:w="1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40" w:type="dxa"/>
            <w:vAlign w:val="bottom"/>
          </w:tcPr>
          <w:p>
            <w:pPr>
              <w:jc w:val="center"/>
              <w:ind w:left="250"/>
              <w:spacing w:after="0"/>
              <w:rPr>
                <w:sz w:val="20"/>
                <w:szCs w:val="20"/>
                <w:color w:val="auto"/>
              </w:rPr>
            </w:pPr>
            <w:r>
              <w:rPr>
                <w:rFonts w:ascii="Arial" w:cs="Arial" w:eastAsia="Arial" w:hAnsi="Arial"/>
                <w:sz w:val="18"/>
                <w:szCs w:val="18"/>
                <w:color w:val="auto"/>
                <w:w w:val="90"/>
              </w:rPr>
              <w:t>07/01/2018 - 12/31/2018</w:t>
            </w:r>
          </w:p>
        </w:tc>
        <w:tc>
          <w:tcPr>
            <w:tcW w:w="1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8,400,000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open costless collar contracts</w:t>
            </w: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(32,496)</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NYMEX West Texas Intermediate crude oil.</w:t>
      </w:r>
    </w:p>
    <w:p>
      <w:pPr>
        <w:spacing w:after="0" w:line="109"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Argus Louisiana Light Sweet crude oil.</w:t>
      </w:r>
    </w:p>
    <w:p>
      <w:pPr>
        <w:spacing w:after="0" w:line="11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at June 30, 2018.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Notional</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Quantity</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Price, Short Call</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Price, Long Call</w:t>
            </w:r>
          </w:p>
        </w:tc>
        <w:tc>
          <w:tcPr>
            <w:tcW w:w="2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Calculation 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(Bbl)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Floor ($/Bbl)</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($/Bbl)</w:t>
            </w:r>
          </w:p>
        </w:tc>
        <w:tc>
          <w:tcPr>
            <w:tcW w:w="300" w:type="dxa"/>
            <w:vAlign w:val="bottom"/>
          </w:tcPr>
          <w:p>
            <w:pPr>
              <w:spacing w:after="0"/>
              <w:rPr>
                <w:sz w:val="20"/>
                <w:szCs w:val="20"/>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($/Bbl)</w:t>
            </w:r>
          </w:p>
        </w:tc>
        <w:tc>
          <w:tcPr>
            <w:tcW w:w="22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1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1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Oil - WTI</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07/01/2018 - 12/31/2018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37"/>
        </w:trPr>
        <w:tc>
          <w:tcPr>
            <w:tcW w:w="4020" w:type="dxa"/>
            <w:vAlign w:val="bottom"/>
            <w:gridSpan w:val="3"/>
          </w:tcPr>
          <w:p>
            <w:pPr>
              <w:ind w:left="380"/>
              <w:spacing w:after="0"/>
              <w:rPr>
                <w:sz w:val="20"/>
                <w:szCs w:val="20"/>
                <w:color w:val="auto"/>
              </w:rPr>
            </w:pPr>
            <w:r>
              <w:rPr>
                <w:rFonts w:ascii="Arial" w:cs="Arial" w:eastAsia="Arial" w:hAnsi="Arial"/>
                <w:sz w:val="18"/>
                <w:szCs w:val="18"/>
                <w:color w:val="auto"/>
                <w:w w:val="99"/>
              </w:rPr>
              <w:t>Total open three-way costless collar contracts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(2,249)</w:t>
            </w:r>
          </w:p>
        </w:tc>
      </w:tr>
      <w:tr>
        <w:trPr>
          <w:trHeight w:val="27"/>
        </w:trPr>
        <w:tc>
          <w:tcPr>
            <w:tcW w:w="1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 NYMEX West Texas Intermediate crude oil.</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contracts for oil at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2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Fixed Price</w:t>
            </w: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(Liability)</w:t>
            </w:r>
          </w:p>
        </w:tc>
      </w:tr>
      <w:tr>
        <w:trPr>
          <w:trHeight w:val="234"/>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Commodity</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Calculation Period</w:t>
            </w: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 Quantity (Bbl)</w:t>
            </w:r>
          </w:p>
        </w:tc>
        <w:tc>
          <w:tcPr>
            <w:tcW w:w="3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($/Bbl)</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8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0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07/01/2018 - 12/31/2018</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31,351</w:t>
            </w:r>
          </w:p>
        </w:tc>
      </w:tr>
      <w:tr>
        <w:trPr>
          <w:trHeight w:val="237"/>
        </w:trPr>
        <w:tc>
          <w:tcPr>
            <w:tcW w:w="2840" w:type="dxa"/>
            <w:vAlign w:val="bottom"/>
          </w:tcPr>
          <w:p>
            <w:pPr>
              <w:ind w:left="360"/>
              <w:spacing w:after="0"/>
              <w:rPr>
                <w:sz w:val="20"/>
                <w:szCs w:val="20"/>
                <w:color w:val="auto"/>
              </w:rPr>
            </w:pPr>
            <w:r>
              <w:rPr>
                <w:rFonts w:ascii="Arial" w:cs="Arial" w:eastAsia="Arial" w:hAnsi="Arial"/>
                <w:sz w:val="18"/>
                <w:szCs w:val="18"/>
                <w:color w:val="auto"/>
              </w:rPr>
              <w:t>Total open swap contracts</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31,351</w:t>
            </w:r>
          </w:p>
        </w:tc>
      </w:tr>
      <w:tr>
        <w:trPr>
          <w:trHeight w:val="27"/>
        </w:trPr>
        <w:tc>
          <w:tcPr>
            <w:tcW w:w="5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584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57"/>
        </w:trPr>
        <w:tc>
          <w:tcPr>
            <w:tcW w:w="5960" w:type="dxa"/>
            <w:vAlign w:val="bottom"/>
            <w:gridSpan w:val="3"/>
          </w:tcPr>
          <w:p>
            <w:pPr>
              <w:ind w:left="520"/>
              <w:spacing w:after="0"/>
              <w:rPr>
                <w:sz w:val="20"/>
                <w:szCs w:val="20"/>
                <w:color w:val="auto"/>
              </w:rPr>
            </w:pPr>
            <w:r>
              <w:rPr>
                <w:rFonts w:ascii="Arial" w:cs="Arial" w:eastAsia="Arial" w:hAnsi="Arial"/>
                <w:sz w:val="18"/>
                <w:szCs w:val="18"/>
                <w:color w:val="auto"/>
              </w:rPr>
              <w:t>Total open derivative financial instruments</w:t>
            </w: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r>
      <w:tr>
        <w:trPr>
          <w:trHeight w:val="20"/>
        </w:trPr>
        <w:tc>
          <w:tcPr>
            <w:tcW w:w="2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all but one counterparty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364" w:lineRule="exact"/>
        <w:rPr>
          <w:sz w:val="20"/>
          <w:szCs w:val="20"/>
          <w:color w:val="auto"/>
        </w:rPr>
      </w:pPr>
    </w:p>
    <w:p>
      <w:pPr>
        <w:jc w:val="both"/>
        <w:ind w:right="600" w:firstLine="468"/>
        <w:spacing w:after="0" w:line="360"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June 30, 2018 and December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r>
      <w:tr>
        <w:trPr>
          <w:trHeight w:val="194"/>
        </w:trPr>
        <w:tc>
          <w:tcPr>
            <w:tcW w:w="60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16"/>
                <w:szCs w:val="16"/>
                <w:color w:val="auto"/>
              </w:rPr>
            </w:pPr>
          </w:p>
        </w:tc>
        <w:tc>
          <w:tcPr>
            <w:tcW w:w="156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16"/>
                <w:szCs w:val="16"/>
                <w:color w:val="auto"/>
              </w:rPr>
            </w:pPr>
          </w:p>
        </w:tc>
        <w:tc>
          <w:tcPr>
            <w:tcW w:w="16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3"/>
              </w:rPr>
              <w:t>balance sheets</w:t>
            </w:r>
          </w:p>
        </w:tc>
        <w:tc>
          <w:tcPr>
            <w:tcW w:w="180" w:type="dxa"/>
            <w:vAlign w:val="bottom"/>
          </w:tcPr>
          <w:p>
            <w:pPr>
              <w:spacing w:after="0"/>
              <w:rPr>
                <w:sz w:val="16"/>
                <w:szCs w:val="16"/>
                <w:color w:val="auto"/>
              </w:rPr>
            </w:pPr>
          </w:p>
        </w:tc>
        <w:tc>
          <w:tcPr>
            <w:tcW w:w="152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85"/>
              </w:rPr>
              <w:t>balance sheets</w:t>
            </w:r>
          </w:p>
        </w:tc>
      </w:tr>
      <w:tr>
        <w:trPr>
          <w:trHeight w:val="48"/>
        </w:trPr>
        <w:tc>
          <w:tcPr>
            <w:tcW w:w="40" w:type="dxa"/>
            <w:vAlign w:val="bottom"/>
            <w:tcBorders>
              <w:bottom w:val="single" w:sz="8" w:color="CCEEFF"/>
            </w:tcBorders>
          </w:tcPr>
          <w:p>
            <w:pPr>
              <w:spacing w:after="0"/>
              <w:rPr>
                <w:sz w:val="4"/>
                <w:szCs w:val="4"/>
                <w:color w:val="auto"/>
              </w:rPr>
            </w:pPr>
          </w:p>
        </w:tc>
        <w:tc>
          <w:tcPr>
            <w:tcW w:w="1780" w:type="dxa"/>
            <w:vAlign w:val="bottom"/>
            <w:tcBorders>
              <w:top w:val="single" w:sz="8" w:color="auto"/>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101,679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(95,804)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5,875</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95,804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(4,016)</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r>
      <w:tr>
        <w:trPr>
          <w:trHeight w:val="297"/>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w:t>
            </w: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131,092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(129,902)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r>
      <w:tr>
        <w:trPr>
          <w:trHeight w:val="257"/>
        </w:trPr>
        <w:tc>
          <w:tcPr>
            <w:tcW w:w="40" w:type="dxa"/>
            <w:vAlign w:val="bottom"/>
          </w:tcPr>
          <w:p>
            <w:pPr>
              <w:spacing w:after="0"/>
              <w:rPr>
                <w:sz w:val="22"/>
                <w:szCs w:val="22"/>
                <w:color w:val="auto"/>
              </w:rPr>
            </w:pPr>
          </w:p>
        </w:tc>
        <w:tc>
          <w:tcPr>
            <w:tcW w:w="60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following table summarizes the location and aggregate fair value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Type of Instrument</w:t>
            </w:r>
          </w:p>
        </w:tc>
        <w:tc>
          <w:tcPr>
            <w:tcW w:w="5420" w:type="dxa"/>
            <w:vAlign w:val="bottom"/>
            <w:gridSpan w:val="2"/>
          </w:tcPr>
          <w:p>
            <w:pPr>
              <w:ind w:left="96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220" w:type="dxa"/>
            <w:vAlign w:val="bottom"/>
          </w:tcPr>
          <w:p>
            <w:pPr>
              <w:spacing w:after="0"/>
              <w:rPr>
                <w:sz w:val="22"/>
                <w:szCs w:val="22"/>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5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380"/>
              <w:spacing w:after="0"/>
              <w:rPr>
                <w:sz w:val="20"/>
                <w:szCs w:val="20"/>
                <w:color w:val="auto"/>
              </w:rPr>
            </w:pPr>
            <w:r>
              <w:rPr>
                <w:rFonts w:ascii="Arial" w:cs="Arial" w:eastAsia="Arial" w:hAnsi="Arial"/>
                <w:sz w:val="18"/>
                <w:szCs w:val="18"/>
                <w:color w:val="auto"/>
              </w:rPr>
              <w:t>Oil</w:t>
            </w: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Revenues: Realized (loss) gain on derivatives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5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Revenues: Realized (loss)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7"/>
        </w:trPr>
        <w:tc>
          <w:tcPr>
            <w:tcW w:w="7440" w:type="dxa"/>
            <w:vAlign w:val="bottom"/>
            <w:gridSpan w:val="3"/>
          </w:tcPr>
          <w:p>
            <w:pPr>
              <w:ind w:left="600"/>
              <w:spacing w:after="0"/>
              <w:rPr>
                <w:sz w:val="20"/>
                <w:szCs w:val="20"/>
                <w:color w:val="auto"/>
              </w:rPr>
            </w:pPr>
            <w:r>
              <w:rPr>
                <w:rFonts w:ascii="Arial" w:cs="Arial" w:eastAsia="Arial" w:hAnsi="Arial"/>
                <w:sz w:val="18"/>
                <w:szCs w:val="18"/>
                <w:color w:val="auto"/>
              </w:rPr>
              <w:t>Realized (loss) gain on derivatives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5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Revenues: Unrealized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10,643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28,422</w:t>
            </w:r>
          </w:p>
        </w:tc>
        <w:tc>
          <w:tcPr>
            <w:tcW w:w="0" w:type="dxa"/>
            <w:vAlign w:val="bottom"/>
          </w:tcPr>
          <w:p>
            <w:pPr>
              <w:spacing w:after="0"/>
              <w:rPr>
                <w:sz w:val="1"/>
                <w:szCs w:val="1"/>
                <w:color w:val="auto"/>
              </w:rPr>
            </w:pPr>
          </w:p>
        </w:tc>
      </w:tr>
      <w:tr>
        <w:trPr>
          <w:trHeight w:val="243"/>
        </w:trPr>
        <w:tc>
          <w:tcPr>
            <w:tcW w:w="2020" w:type="dxa"/>
            <w:vAlign w:val="bottom"/>
          </w:tcPr>
          <w:p>
            <w:pPr>
              <w:ind w:left="380"/>
              <w:spacing w:after="0"/>
              <w:rPr>
                <w:sz w:val="20"/>
                <w:szCs w:val="20"/>
                <w:color w:val="auto"/>
              </w:rPr>
            </w:pPr>
            <w:r>
              <w:rPr>
                <w:rFonts w:ascii="Arial" w:cs="Arial" w:eastAsia="Arial" w:hAnsi="Arial"/>
                <w:sz w:val="18"/>
                <w:szCs w:val="18"/>
                <w:color w:val="auto"/>
              </w:rPr>
              <w:t>Natural Gas</w:t>
            </w: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Revenues: Unrealized (loss) gain on derivatives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Unrealized gain on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13,190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33,821</w:t>
            </w:r>
          </w:p>
        </w:tc>
        <w:tc>
          <w:tcPr>
            <w:tcW w:w="0" w:type="dxa"/>
            <w:vAlign w:val="bottom"/>
          </w:tcPr>
          <w:p>
            <w:pPr>
              <w:spacing w:after="0"/>
              <w:rPr>
                <w:sz w:val="1"/>
                <w:szCs w:val="1"/>
                <w:color w:val="auto"/>
              </w:rPr>
            </w:pPr>
          </w:p>
        </w:tc>
      </w:tr>
      <w:tr>
        <w:trPr>
          <w:trHeight w:val="237"/>
        </w:trPr>
        <w:tc>
          <w:tcPr>
            <w:tcW w:w="2020" w:type="dxa"/>
            <w:vAlign w:val="bottom"/>
          </w:tcPr>
          <w:p>
            <w:pPr>
              <w:ind w:left="1140"/>
              <w:spacing w:after="0"/>
              <w:rPr>
                <w:sz w:val="20"/>
                <w:szCs w:val="20"/>
                <w:color w:val="auto"/>
              </w:rPr>
            </w:pPr>
            <w:r>
              <w:rPr>
                <w:rFonts w:ascii="Arial" w:cs="Arial" w:eastAsia="Arial" w:hAnsi="Arial"/>
                <w:sz w:val="18"/>
                <w:szCs w:val="18"/>
                <w:color w:val="auto"/>
              </w:rPr>
              <w:t>Total</w:t>
            </w: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13,748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4"/>
              </w:rPr>
              <w:t>32,160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5300" w:type="dxa"/>
            <w:vAlign w:val="bottom"/>
            <w:vMerge w:val="restart"/>
          </w:tcPr>
          <w:p>
            <w:pPr>
              <w:ind w:left="36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36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June 30, 2018 and December 31, 2017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June 30,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December 31, 2017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7"/>
                <w:szCs w:val="17"/>
                <w:color w:val="auto"/>
              </w:rPr>
            </w:pP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(16,429)</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(15,239)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At June 30, 2018 and December 31, 2017,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5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At June 30, 2018 and December 31, 2017, the fair value of the Notes was $603.4 million and $614.1 million, respectively, based on quoted market prices, which represent Level 1 inputs in the fair value hierarchy.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Loving County, Texas Natural Gas Processing</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late 2015, the Company entered into a 15-year, fixed-fee natural gas gathering and processing agreement whereby the Company committed to deliver the anticipated natural gas production from a significant portion of its Loving County, Texas acreage in West Texas through the counterparty’s gathering system for processing at the counterparty’s facilities. Under this agreement, if the Company does not meet the volume commitment for transportation and processing at the facilities in a contract year, it will be required to pay a deficiency fee per MMBtu of natural gas deficiency. At the end of each year of the agreement, the Company can elect to have the previous year’s actual transportation and processing volumes be the new minimum commitment for each of the remaining years of the contract. As such, the Company has the ability to unilaterally reduce the gathering and processing commitment if the Company’s production in the Loving County area is less than the Company’s minimum commitment. If the Company ceased operations in this area at June 30, 2018, the total deficiency fee required to be paid would be approximately $10.9 million. In addition, if the Company elects to reduce the gathering and processing commitment in any year, the Company has the ability to elect to increase the committed volumes in any future year to the originally agreed gathering and processing commitment. Any quantity in excess of the volume commitment delivered in a contract year can be carried over to the next contract year for purposes of calculating that year’s natural gas deficiency. The Company paid approximately $4.0 million and $3.7 million in natural gas processing and gathering fees under this agreement during the three months ended June 30, 2018 and 2017, respectively, and $7.4 million and $6.8 million in natural gas processing and gathering fees under this agreement during the six months ended June 30, 2018 and 2017, respectively. The Company can elect to either sell the residue gas to the counterparty at the tailgate of its processing plants or have the counterparty deliver to the Company the residue gas in-kind to be sold to third parties downstream of the plants.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Delaware Basin — Eddy County, New Mexico Natural Gas Transportation</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late 2017, the Company entered into an 18-year, fixed-fee natural gas transportation agreement whereby the Company committed to deliver a portion of the residue natural gas production at the tailgate of San Mateo’s Black River cryogenic natural gas processing plant in the Rustler Breaks asset area (the “Black River Processing Plant”) to transport through the counterparty’s pipeline. Under this agreement, if the Company does not meet the volume commitment for transportation in a contract year, the Company will owe the fees to transport the committed volume whether or not the committed volume is utilized. The minimum contractual obligation at June 30, 2018 was approximately $45.8 million. The Company paid approximately $0.9 million and $1.5 million in transportation fees under this agreement during the three and six months ended June 30, 2018, respectively.</w:t>
      </w:r>
    </w:p>
    <w:p>
      <w:pPr>
        <w:spacing w:after="0" w:line="7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late 2017, the Company also entered into a fixed-fee NGL transportation and fractionation agreement whereby the Company committed to deliver its NGL production at the tailgate of the Black River Processing Plant. The Company is committed to deliver a minimum amount of NGLs to the counterparty upon construction and completion of a pipeline expansion and a fractionation facility by the counterparty, which is currently expected to be completed late in 2019.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April 2018, the Company entered into a short-term natural gas transportation agreement whereby the Company committed to deliver a portion of the residue natural gas production at the tailgate of the Black River Processing Plant to transport through the counterparty’s pipeline. Under this short-term agreement, the Company will owe the fees to transport the committed volume whether or not the committed volume is transported through the counterparty’s pipeline. The minimum contractual obligation under this short-term contract at June 30, 2018 is approximately $4.6 million. This short-term agreement ends on September 30, 2019. The Company paid approximately $0.2 million in transportation fees under this agreement during the three and six months ended June 30, 2018.</w:t>
      </w:r>
    </w:p>
    <w:p>
      <w:pPr>
        <w:spacing w:after="0" w:line="8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addition, in April 2018, the Company entered into a 16-year, fixed-fee natural gas transportation agreement that begins on October 1, 2019, whereby the Company committed to deliver a portion of the residue natural gas production at the tailgate of the Black River Processing Plant to transport through the counterparty’s pipeline. The Company will owe the fees to transport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 Continued</w:t>
      </w:r>
    </w:p>
    <w:p>
      <w:pPr>
        <w:spacing w:after="0" w:line="3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committed volume whether or not the committed volume is transported through the counterparty’s pipeline. The minimum contractual obligation at June 30, 2018 was approximately $56.8 million.</w:t>
      </w:r>
    </w:p>
    <w:p>
      <w:pPr>
        <w:spacing w:after="0" w:line="62"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In May 2018, the Company also entered into a 10-year, fixed-fee natural gas sales agreement whereby the Company committed to deliver residue natural gas through the counterparty’s pipeline to the Texas Gulf Coast beginning on the in-service date of such pipeline, which is expected to be operational in late 2019. If the Company does not meet the volume commitment specified in the natural gas sales agreement, it may be required to pay a deficiency fee per MMBtu of natural gas deficiency. The minimum contractual obligation at June 30, 2018 was approximately $200.6 million.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2017, the Company dedicated its current and future leasehold interests in the Rustler Breaks and Wolf asset areas pursuant to 15-year, fixed-fee natural gas, oil and salt water gathering agreements and salt water disposal agreements. In addition, the Company dedicated its current and future leasehold interests in the Rustler Breaks asset area pursuant to a 15-year, fixed-fee natural gas processing agreement (collectively with the gathering and salt water disposal agreements, the “Operational Agreements”). San Mateo provides the Company with firm service under each of the Operational Agreements in exchange for certain minimum volume commitments. The minimum contractual obligation under the Operational Agreements at June 30, 2018 was approximately $222.6 million.</w:t>
      </w:r>
    </w:p>
    <w:p>
      <w:pPr>
        <w:spacing w:after="0" w:line="8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Beginning in May 2017, a subsidiary of San Mateo entered into certain agreements with third parties for the engineering, procurement, construction and installation of an expansion of the Black River Processing Plant. The expansion was completed late in the first quarter of 2018. San Mateo’s total commitments under these agreements are $55.3 million. The subsidiary of San Mateo paid approximately $1.1 million and $3.6 million under these agreements during the three and six months ended June 30, 2018. As of June 30, 2018, the remaining obligations under these agreements were $2.0 million, which are expected to be paid within the next few months.</w:t>
      </w:r>
    </w:p>
    <w:p>
      <w:pPr>
        <w:spacing w:after="0" w:line="8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first quarter of 2018, a subsidiary of San Mateo entered into agreements for additional field compression and an amine gas treatment unit to maximize the operation of the Black River Processing Plant. San Mateo’s total commitments under these agreements are $19.9 million. The subsidiary of San Mateo paid approximately $6.0 million and $6.5 million under these agreements during the three and six months ended June 30, 2018. As of June 30, 2018, the remaining obligations under these agreements were $13.5 million, which are expected to be paid within the next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$32.4 million at June 30, 2018.</w:t>
      </w:r>
    </w:p>
    <w:p>
      <w:pPr>
        <w:spacing w:after="0" w:line="5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June 30, 2018, the Company had outstanding commitments to participate in the drilling and completion of various non-operated wells. If all of these wells are drilled and completed as proposed, the Company’s minimum outstanding aggregate commitments for its participation in these non-operated wells were approximately $47.2 million at June 30, 2018. The Company expects these costs to be incurred within the next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is a party to several lawsuits encountered in the ordinary course of its business. While the ultimate outcome and impact to the Company cannot be predicted with certainty, in the opinion of management, it is remote that these lawsuits will have a material adverse impact on the Company’s financial condition, results of operations or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June 30, 2018 and December 31,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midstream property costs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14,823</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cost to issue equity</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lease operating expenses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12,611</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on debt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Accrued asset retirement obligations</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27,628</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4,418</w:t>
            </w: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174,348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supplemental disclosures of cash flow information for the six months ended June 30, 2018 and 2017 (in thousands).</w:t>
      </w:r>
    </w:p>
    <w:p>
      <w:pPr>
        <w:spacing w:after="0" w:line="190"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41"/>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15,875</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1,978</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asset retirement obligations related to midstream properties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(Decrease) increase in liabilities for oil and natural gas properties 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43,797</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liabilities for midstream properties capital expenditures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Stock-based compensation expense recognized as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liabilities for accrued cost to issue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Transfer of inventory from (to) oil and natural gas properties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of inventory to midstream and other property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97"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131,467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21,063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15,040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146,507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2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25" w:right="5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36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acquisition, exploration, development and production of oil and natural gas properties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 support of the Company’s exploration, development and production operations and provides natural gas processing, oil transportation services, natural gas, oil and salt water gathering services and salt water disposal services to third parties. Substantially all of the Company’s midstream operations in the Rustler Breaks and Wolf asset areas in the Delaware Basin are conducted through San Mateo.</w:t>
      </w:r>
    </w:p>
    <w:p>
      <w:pPr>
        <w:spacing w:after="0" w:line="5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207,229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209,019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126,025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137,374</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80,145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73,993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2,058,447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354,068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143,332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2,555,847</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199,345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232,977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$64.5 million and $2.3 million for the exploration and production and midstream segments, respectively. Also includes corporate depletion, depreciation and amortization expenses of $25,000.</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$16.1 million in capital expenditures attributable to non-controlling interest in subsidiaries related to the midstream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113,387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113,764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13,190</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78,078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15,852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90,622</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1,436,678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192,889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147,509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1,777,076</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165,583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$39.6 million and $1.3 million for the exploration and production and midstream segments, respectively. Also includes corporate depletion, depreciation and amortization expenses of $0.4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$3.2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$13.4 million in capital expenditures attributable to non-controlling interest in subsidiaries related to the midstream segment.</w:t>
      </w:r>
    </w:p>
    <w:p>
      <w:pPr>
        <w:spacing w:after="0" w:line="32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387,489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390,973</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6,475</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(6,746)</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11,845</w:t>
            </w:r>
          </w:p>
        </w:tc>
      </w:tr>
      <w:tr>
        <w:trPr>
          <w:trHeight w:val="270"/>
        </w:trPr>
        <w:tc>
          <w:tcPr>
            <w:tcW w:w="38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232,180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16,561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255,192</w:t>
            </w:r>
          </w:p>
        </w:tc>
      </w:tr>
      <w:tr>
        <w:trPr>
          <w:trHeight w:val="264"/>
        </w:trPr>
        <w:tc>
          <w:tcPr>
            <w:tcW w:w="38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147,355</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2,058,447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354,068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143,332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2,555,847</w:t>
            </w:r>
          </w:p>
        </w:tc>
      </w:tr>
      <w:tr>
        <w:trPr>
          <w:trHeight w:val="257"/>
        </w:trPr>
        <w:tc>
          <w:tcPr>
            <w:tcW w:w="38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388,790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468,665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8" w:lineRule="exact"/>
        <w:rPr>
          <w:sz w:val="20"/>
          <w:szCs w:val="20"/>
          <w:color w:val="auto"/>
        </w:rPr>
      </w:pPr>
    </w:p>
    <w:p>
      <w:pPr>
        <w:ind w:left="340" w:right="58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$117.8 million and $3.9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$10.9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$38.5 million in capital expenditures attributable to non-controlling interest in subsidiaries related to the midstream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227,552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228,611</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3,654</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33,821</w:t>
            </w:r>
          </w:p>
        </w:tc>
      </w:tr>
      <w:tr>
        <w:trPr>
          <w:trHeight w:val="270"/>
        </w:trPr>
        <w:tc>
          <w:tcPr>
            <w:tcW w:w="38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146,416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171,157</w:t>
            </w:r>
          </w:p>
        </w:tc>
      </w:tr>
      <w:tr>
        <w:trPr>
          <w:trHeight w:val="264"/>
        </w:trPr>
        <w:tc>
          <w:tcPr>
            <w:tcW w:w="38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93,268</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1,436,678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192,889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147,509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1,777,076</w:t>
            </w:r>
          </w:p>
        </w:tc>
      </w:tr>
      <w:tr>
        <w:trPr>
          <w:trHeight w:val="257"/>
        </w:trPr>
        <w:tc>
          <w:tcPr>
            <w:tcW w:w="38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373,956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417,399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8" w:lineRule="exact"/>
        <w:rPr>
          <w:sz w:val="20"/>
          <w:szCs w:val="20"/>
          <w:color w:val="auto"/>
        </w:rPr>
      </w:pPr>
    </w:p>
    <w:p>
      <w:pPr>
        <w:ind w:left="340" w:right="4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$72.1 million and $2.5 million for the exploration and production and midstream segments, respectively. Also includes corporate depletion, depreciation and amortization expenses of $0.7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$5.1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$18.6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GUARANTORS</w:t>
      </w:r>
    </w:p>
    <w:p>
      <w:pPr>
        <w:spacing w:after="0" w:line="36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Notes are jointly and severally guaranteed by certain subsidiaries of Matador (the “Guarantor Subsidiaries”) on a full and unconditional basis (except for customary release provisions). At June 30, 2018,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63"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following presents condensed consolidating financial information of the issuer (Matador),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700" w:type="dxa"/>
            <w:vAlign w:val="bottom"/>
            <w:gridSpan w:val="4"/>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811,982</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8,235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(820,217)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Third-party current assets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3,031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29,358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288,548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320,937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299,258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1,928,759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2,228,017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1,285,896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162,418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(1,448,314)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Third-party long-term assets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6,433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gridSpan w:val="2"/>
            <w:vMerge w:val="restart"/>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(2,934)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6,893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gridSpan w:val="2"/>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2,107,342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336,851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2,383,119</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(2,271,465)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2,555,847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820,217</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(820,217)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700" w:type="dxa"/>
            <w:vAlign w:val="bottom"/>
            <w:gridSpan w:val="4"/>
            <w:vMerge w:val="continue"/>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Third-party current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8,646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15,482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239,726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263,598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574,164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574,164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Other third-party long-term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37,280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38,337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Total equity attributable to Matador Resources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1,524,532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162,418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1,285,896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(1,448,314)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1,524,532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155,216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155,216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2,107,342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336,851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2,383,119</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(2,271,465)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2,555,847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60" w:type="dxa"/>
            <w:vAlign w:val="bottom"/>
            <w:gridSpan w:val="15"/>
          </w:tcPr>
          <w:p>
            <w:pPr>
              <w:jc w:val="center"/>
              <w:ind w:left="88"/>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Intercompany receivable</w:t>
            </w:r>
          </w:p>
        </w:tc>
        <w:tc>
          <w:tcPr>
            <w:tcW w:w="70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585,109</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Third-party current assets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9,334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245,596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257,170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Net property and equipment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223,178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1,658,278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1,881,456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subsidiaries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1,147,295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Third-party long-term assets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3,642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7,064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Intercompany payable</w:t>
            </w: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(588,021)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700" w:type="dxa"/>
            <w:vAlign w:val="bottom"/>
            <w:gridSpan w:val="4"/>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Third-party current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8,847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19,891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254,142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282,606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unsecured notes payable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574,073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Other third-party long-term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1,593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3,466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29,135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(2,729)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31,465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Total equity attributable to Matador Resources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111,077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1,147,295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(1,258,372)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1,156,556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100,990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100,990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liabilities and equity</w:t>
            </w:r>
          </w:p>
        </w:tc>
        <w:tc>
          <w:tcPr>
            <w:tcW w:w="560" w:type="dxa"/>
            <w:vAlign w:val="bottom"/>
            <w:gridSpan w:val="3"/>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1,741,069</w:t>
            </w:r>
          </w:p>
        </w:tc>
        <w:tc>
          <w:tcPr>
            <w:tcW w:w="40" w:type="dxa"/>
            <w:vAlign w:val="bottom"/>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235,424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2,018,593</w:t>
            </w:r>
          </w:p>
        </w:tc>
        <w:tc>
          <w:tcPr>
            <w:tcW w:w="40" w:type="dxa"/>
            <w:vAlign w:val="bottom"/>
            <w:vMerge w:val="restart"/>
            <w:shd w:val="clear" w:color="auto" w:fill="CCEEFF"/>
          </w:tcPr>
          <w:p>
            <w:pPr>
              <w:spacing w:after="0"/>
              <w:rPr>
                <w:sz w:val="15"/>
                <w:szCs w:val="15"/>
                <w:color w:val="auto"/>
              </w:rPr>
            </w:pPr>
          </w:p>
        </w:tc>
        <w:tc>
          <w:tcPr>
            <w:tcW w:w="10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(1,849,396)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2,145,690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314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gridSpan w:val="3"/>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gridSpan w:val="2"/>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6880" w:type="dxa"/>
            <w:vAlign w:val="bottom"/>
            <w:gridSpan w:val="22"/>
          </w:tcPr>
          <w:p>
            <w:pPr>
              <w:jc w:val="center"/>
              <w:ind w:left="214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9"/>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Matador</w:t>
            </w:r>
          </w:p>
        </w:tc>
        <w:tc>
          <w:tcPr>
            <w:tcW w:w="11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52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4"/>
            <w:vMerge w:val="restart"/>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21,356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206,219</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(16,208)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211,367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9,466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142,938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(16,208)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137,374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(loss) income</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11,890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63,281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73,993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(8,004)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22" w:name="page23"/>
    <w:bookmarkEnd w:id="2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Earnings in subsidiaries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04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65,637</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143"/>
        </w:trPr>
        <w:tc>
          <w:tcPr>
            <w:tcW w:w="304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w w:val="92"/>
              </w:rPr>
              <w:t>Net income attributable to Matador Resources</w:t>
            </w:r>
          </w:p>
        </w:tc>
        <w:tc>
          <w:tcPr>
            <w:tcW w:w="4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59,806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6,070</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59,806</w:t>
            </w: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Company shareholders</w:t>
            </w: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40" w:type="dxa"/>
            <w:vAlign w:val="bottom"/>
          </w:tcPr>
          <w:p>
            <w:pPr>
              <w:spacing w:after="0"/>
              <w:rPr>
                <w:sz w:val="24"/>
                <w:szCs w:val="24"/>
                <w:color w:val="auto"/>
              </w:rPr>
            </w:pPr>
          </w:p>
        </w:tc>
        <w:tc>
          <w:tcPr>
            <w:tcW w:w="39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jc w:val="center"/>
              <w:ind w:left="108"/>
              <w:spacing w:after="0"/>
              <w:rPr>
                <w:sz w:val="20"/>
                <w:szCs w:val="20"/>
                <w:color w:val="auto"/>
              </w:rPr>
            </w:pPr>
            <w:r>
              <w:rPr>
                <w:rFonts w:ascii="Arial" w:cs="Arial" w:eastAsia="Arial" w:hAnsi="Arial"/>
                <w:sz w:val="14"/>
                <w:szCs w:val="14"/>
                <w:b w:val="1"/>
                <w:bCs w:val="1"/>
                <w:color w:val="auto"/>
                <w:w w:val="93"/>
              </w:rPr>
              <w:t>For the Three Months Ended June 30, 2017</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11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(benefit) provision</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11,274</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127,198</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(8,861)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129,611</w:t>
            </w:r>
          </w:p>
        </w:tc>
      </w:tr>
      <w:tr>
        <w:trPr>
          <w:trHeight w:val="276"/>
        </w:trPr>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93,083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90,622</w:t>
            </w:r>
          </w:p>
        </w:tc>
      </w:tr>
      <w:tr>
        <w:trPr>
          <w:trHeight w:val="244"/>
        </w:trPr>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38,989</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(9,224)</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1,922</w:t>
            </w:r>
          </w:p>
        </w:tc>
      </w:tr>
      <w:tr>
        <w:trPr>
          <w:trHeight w:val="276"/>
        </w:trPr>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39,228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28,391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6,486</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39,282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(42,472)</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31,687</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7"/>
        </w:trPr>
        <w:tc>
          <w:tcPr>
            <w:tcW w:w="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(3,178)</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28,509</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3,244</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39,228</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(42,472)</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28,509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-1491615</wp:posOffset>
            </wp:positionV>
            <wp:extent cx="584009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-1148715</wp:posOffset>
            </wp:positionV>
            <wp:extent cx="584009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-805180</wp:posOffset>
            </wp:positionV>
            <wp:extent cx="584009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-462280</wp:posOffset>
            </wp:positionV>
            <wp:extent cx="5840095"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40"/>
            <w:col w:w="570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38,550</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392,699</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(28,702)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402,547</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16,394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265,088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255,192</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127,611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147,355</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(16,495)</w:t>
            </w:r>
          </w:p>
        </w:tc>
      </w:tr>
      <w:tr>
        <w:trPr>
          <w:trHeight w:val="270"/>
        </w:trPr>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76"/>
        </w:trPr>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138,601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11,306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22,167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138,601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(149,907)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130,561</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(10,861)</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11,306</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138,601</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(149,907)</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-1320165</wp:posOffset>
            </wp:positionV>
            <wp:extent cx="584009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-977265</wp:posOffset>
            </wp:positionV>
            <wp:extent cx="584009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-633730</wp:posOffset>
            </wp:positionV>
            <wp:extent cx="584009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-239395</wp:posOffset>
            </wp:positionV>
            <wp:extent cx="5840095"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00"/>
            <w:col w:w="574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00"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gain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(benefit) provision</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20,937</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259,846</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(16,358)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264,425</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175,987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171,157</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83,859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93,268</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(17,679)</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1,991</w:t>
            </w:r>
          </w:p>
        </w:tc>
      </w:tr>
      <w:tr>
        <w:trPr>
          <w:trHeight w:val="276"/>
        </w:trPr>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92,900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7,069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72,375</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12,281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92,900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(99,969)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77,587</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(5,094)</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72,493</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7,069</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92,900</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(99,969)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72,493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-1663065</wp:posOffset>
            </wp:positionV>
            <wp:extent cx="584009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-1320165</wp:posOffset>
            </wp:positionV>
            <wp:extent cx="584009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-977265</wp:posOffset>
            </wp:positionV>
            <wp:extent cx="584009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-633730</wp:posOffset>
            </wp:positionV>
            <wp:extent cx="584009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-239395</wp:posOffset>
            </wp:positionV>
            <wp:extent cx="5840095"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60" w:space="440"/>
            <w:col w:w="570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Net cash (used in) provided by operating activities</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(224,441)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10,225</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468,424</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254,208</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(454,478)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40,035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(493,562)</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226,539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280,385</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380"/>
              <w:spacing w:after="0"/>
              <w:rPr>
                <w:sz w:val="20"/>
                <w:szCs w:val="20"/>
                <w:color w:val="auto"/>
              </w:rPr>
            </w:pPr>
            <w:r>
              <w:rPr>
                <w:rFonts w:ascii="Arial" w:cs="Arial" w:eastAsia="Arial" w:hAnsi="Arial"/>
                <w:sz w:val="14"/>
                <w:szCs w:val="14"/>
                <w:color w:val="auto"/>
              </w:rPr>
              <w:t>Increase in cash and restricted cash</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14,506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24,427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41,031</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64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20,169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120,960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143,513</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980" w:type="dxa"/>
            <w:vAlign w:val="bottom"/>
          </w:tcPr>
          <w:p>
            <w:pPr>
              <w:spacing w:after="0"/>
              <w:rPr>
                <w:sz w:val="24"/>
                <w:szCs w:val="24"/>
                <w:color w:val="auto"/>
              </w:rPr>
            </w:pPr>
          </w:p>
        </w:tc>
        <w:tc>
          <w:tcPr>
            <w:tcW w:w="4020" w:type="dxa"/>
            <w:vAlign w:val="bottom"/>
            <w:gridSpan w:val="10"/>
          </w:tcPr>
          <w:p>
            <w:pPr>
              <w:jc w:val="center"/>
              <w:ind w:right="800"/>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7"/>
          </w:tcPr>
          <w:p>
            <w:pPr>
              <w:jc w:val="center"/>
              <w:ind w:left="248"/>
              <w:spacing w:after="0"/>
              <w:rPr>
                <w:sz w:val="20"/>
                <w:szCs w:val="20"/>
                <w:color w:val="auto"/>
              </w:rPr>
            </w:pPr>
            <w:r>
              <w:rPr>
                <w:rFonts w:ascii="Arial" w:cs="Arial" w:eastAsia="Arial" w:hAnsi="Arial"/>
                <w:sz w:val="14"/>
                <w:szCs w:val="14"/>
                <w:b w:val="1"/>
                <w:bCs w:val="1"/>
                <w:color w:val="auto"/>
                <w:w w:val="93"/>
              </w:rPr>
              <w:t>For the Six Months Ended June 30, 2017</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9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9200"/>
          </w:cols>
          <w:pgMar w:left="1360" w:top="121" w:right="1339" w:bottom="0" w:gutter="0" w:footer="0" w:header="0"/>
          <w:type w:val="continuous"/>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(98,583)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218,259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121,242</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(38,362)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(197,486)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(133,880)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(369,695)</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133,880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180,818</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(Decrease) increase in cash and restricted cash</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(98,550)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10,911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20,004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(67,635)</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3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99,795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111,447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13,811</w:t>
            </w:r>
          </w:p>
        </w:tc>
        <w:tc>
          <w:tcPr>
            <w:tcW w:w="120" w:type="dxa"/>
            <w:vAlign w:val="bottom"/>
          </w:tcPr>
          <w:p>
            <w:pPr>
              <w:spacing w:after="0"/>
              <w:rPr>
                <w:sz w:val="14"/>
                <w:szCs w:val="14"/>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131,451</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146,507</w:t>
            </w:r>
          </w:p>
        </w:tc>
        <w:tc>
          <w:tcPr>
            <w:tcW w:w="0" w:type="dxa"/>
            <w:vAlign w:val="bottom"/>
          </w:tcPr>
          <w:p>
            <w:pPr>
              <w:spacing w:after="0"/>
              <w:rPr>
                <w:sz w:val="1"/>
                <w:szCs w:val="1"/>
                <w:color w:val="auto"/>
              </w:rPr>
            </w:pPr>
          </w:p>
        </w:tc>
      </w:tr>
      <w:tr>
        <w:trPr>
          <w:trHeight w:val="60"/>
        </w:trPr>
        <w:tc>
          <w:tcPr>
            <w:tcW w:w="36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200"/>
          </w:cols>
          <w:pgMar w:left="1360" w:top="140" w:right="1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2017 (the “Annual Report”) filed with the Securities and Exchange Commission (“SEC”), along with Management’s Discussion and Analysis of Financial Condition and Results of Operations contained in the Annual Report. The Annual Report is accessible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and on our website at </w:t>
      </w:r>
      <w:r>
        <w:rPr>
          <w:rFonts w:ascii="Arial" w:cs="Arial" w:eastAsia="Arial" w:hAnsi="Arial"/>
          <w:sz w:val="17"/>
          <w:szCs w:val="17"/>
          <w:i w:val="1"/>
          <w:iCs w:val="1"/>
          <w:u w:val="single" w:color="auto"/>
          <w:color w:val="auto"/>
        </w:rPr>
        <w:t>www.matadorresources.com</w:t>
      </w:r>
      <w:r>
        <w:rPr>
          <w:rFonts w:ascii="Arial" w:cs="Arial" w:eastAsia="Arial" w:hAnsi="Arial"/>
          <w:sz w:val="17"/>
          <w:szCs w:val="17"/>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In this Quarterly Report on Form 10-Q (the “Quarterly Report”), references to “we,” “our” or the “Company” refer to Matador Resources Company and its subsidiaries as a whole (unless the context indicates otherwise) and references to “Matador” refer solely to Matador Resources Company. For certain oil and natural gas terms used in this Quarterly Report, please see the “Glossary of Oil and Natural Gas Terms” included with the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or the Securities Act, and Section 21E of the Securities Exchange Act of 1934, as amended, or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agreement,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Quarterly Report and in other documents that we file with or furnish to the SEC, all of which are difficult to predict. Forward-looking statements may include statements about:</w:t>
      </w:r>
    </w:p>
    <w:p>
      <w:pPr>
        <w:spacing w:after="0" w:line="75"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reserves;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320" w:hanging="321"/>
        <w:spacing w:after="0" w:line="25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and operate midstream facilities, including the operation of our Black River cryogenic natural gas processing plant and the drilling of additional salt water disposal wells;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midstream joint venture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estimated future reserves and the present value thereof;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our midstream joint venture, San Mateo Midstream, LLC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and Year-to-Date Highlights</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For the three months ended June 30, 2018, our total oil equivalent production was 4.8 million BOE, and our average daily oil equivalent production was 52,937 BOE per day, of which 29,740 Bbl per day, or 56%, was oil and 139.2 MMcf per day, or 44%, was natural gas. Our oil production of 2.7 million Bbl for the three months ended June 30, 2018 increased 53% year-over-year from 1.8 million Bbl for the three months ended June 30, 2017. Our natural gas production of 12.7 Bcf for the three months ended June 30, 2018 increased 33% year-over-year from 9.6 Bcf for the three months ended June 30, 2017. For the six months ended June 30, 2018, our total oil equivalent production was 8.9 million BOE, and our average daily oil equivalent production was 49,126 BOE per day, of which 28,111 Bbl per day, or 57%, was oil and 126.1 MMcf per day, or 43%, was natural gas. Our oil production of 5.1 million Bbl for the six months ended June 30, 2018 increased 49% year-over-year from 3.4 million Bbl for the six months ended June 30, 2017. Our natural gas production of 22.8 Bcf for the six months ended June 30, 2018 increased 31% year-over-year from 17.5 Bcf for the six months ended June 30, 2017.</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second quarter of 2018, we reported net income attributable to Matador Resources Company shareholders of approximately $59.8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$0.53 per diluted common share, on a GAAP basis, as compared to net income attributable to Matador Resources Company shareholders of $28.5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$0.28 per diluted common share, for the second quarter of 2017. For the second quarter of 2018, our Adjusted EBITDA attributable to Matador Resources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shareholders (“Adjusted EBITDA”), a non-GAAP financial measure, was $137.3 million, as compared to Adjusted EBITDA of $72.7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2017. For a definition of Adjusted EBITDA and a reconciliation of Adjusted EBITDA to our net income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operating activities, see “— Liquidity and Capital Resources — Non-GAAP Financial Measures.” For more information regarding our financial results for the second quarter of 2018, see “— Results of Operations” below.</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six months ended June 30, 2018, we reported net income attributable to Matador Resources Company shareholders of approximately $119.7 million, or $1.08 per diluted common share, on a GAAP basis, as compared to net income attributable to Matador Resources Company shareholders of $72.5 million, or $0.72 per diluted common share, for the six months ended June 30, 2017. For the six months ended June 30, 2018, our Adjusted EBITDA, a non-GAAP financial measure, was $254.6 million, as compared to Adjusted EBITDA of $142.6 million during the six months ended June 30, 2017. For a definition of Adjusted EBITDA and a reconciliation of Adjusted EBITDA to our net income (loss) and net cash provided by operating activities, see “— Liquidity and Capital Resources — Non-GAAP Financial Measures.” For more information regarding our financial results for the six months ended June 30, 2018, see “— Results of Operations” below.</w:t>
      </w:r>
    </w:p>
    <w:p>
      <w:pPr>
        <w:spacing w:after="0" w:line="95" w:lineRule="exact"/>
        <w:rPr>
          <w:sz w:val="20"/>
          <w:szCs w:val="20"/>
          <w:color w:val="auto"/>
        </w:rPr>
      </w:pPr>
    </w:p>
    <w:p>
      <w:pPr>
        <w:ind w:right="60" w:firstLine="405"/>
        <w:spacing w:after="0" w:line="305" w:lineRule="auto"/>
        <w:rPr>
          <w:sz w:val="20"/>
          <w:szCs w:val="20"/>
          <w:color w:val="auto"/>
        </w:rPr>
      </w:pPr>
      <w:r>
        <w:rPr>
          <w:rFonts w:ascii="Arial" w:cs="Arial" w:eastAsia="Arial" w:hAnsi="Arial"/>
          <w:sz w:val="16"/>
          <w:szCs w:val="16"/>
          <w:color w:val="auto"/>
        </w:rPr>
        <w:t>During the second quarter of 2018, we continued our focus on the exploration, delineation and development of our Delaware Basin acreage in Loving County, Texas and Lea and Eddy Counties, New Mexico. We began 2018 operating six drilling rigs in the Delaware Basin and continued to do so throughout the first half of 2018. We expect to operate those six rigs in the Delaware Basin throughout 2018, including three rigs in the Rustler Breaks asset area, one rig in the Wolf/Jackson Trust asset areas, one rig in the Ranger/Arrowhead and Twin Lakes asset areas and one rig in the Antelope Ridge asset area</w:t>
      </w:r>
      <w:r>
        <w:rPr>
          <w:rFonts w:ascii="Arial" w:cs="Arial" w:eastAsia="Arial" w:hAnsi="Arial"/>
          <w:sz w:val="17"/>
          <w:szCs w:val="17"/>
          <w:color w:val="auto"/>
        </w:rPr>
        <w:t>.</w:t>
      </w:r>
      <w:r>
        <w:rPr>
          <w:rFonts w:ascii="Arial" w:cs="Arial" w:eastAsia="Arial" w:hAnsi="Arial"/>
          <w:sz w:val="16"/>
          <w:szCs w:val="16"/>
          <w:color w:val="auto"/>
        </w:rPr>
        <w:t xml:space="preserve"> Depending on commodity prices and basis differentials, capital and operating costs, opportunities in asset areas like Arrowhead and Antelope Ridge, liquidity and other factors, we may consider adding a seventh rig during the fourth quarter of 2018, although we had not made the decision to do so at August 1, 2018. Should we elect to add a seventh drilling rig during the fourth quarter of 2018, we anticipate this additional rig will have no impact on our estimated 2018 oil and natural gas production and only a minor impact on our anticipated capital expenditures for the remainder of 2018.</w:t>
      </w:r>
    </w:p>
    <w:p>
      <w:pPr>
        <w:spacing w:after="0" w:line="46"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During the second quarter of 2018, we did not conduct any operated drilling and completion activities on our leasehold properties in the Eagle Ford shale play in South Texas or in the Haynesville shale and Cotton Valley plays in Northwest Louisiana and East Texas. We did participate in the drilling and completion of three gross (0.2 net) non-operated Haynesville shale wells that were turned to sales in the second quarter of 2018.</w:t>
      </w:r>
    </w:p>
    <w:p>
      <w:pPr>
        <w:spacing w:after="0" w:line="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completed and turned to sales a total of 33 gross (19.3 net) wells in the Delaware Basin during the second quarter of 2018, including 24 gross (18.5 net) operated horizontal wells and nine gross (0.8 net) non-operated horizontal wells. During the second quarter of 2018, we began producing oil and natural gas from a total of three gross (0.6 net) wells in the Antelope Ridge asset area, including one gross (0.5 net) operated and two gross (0.1 net) non-operated wells. The one gross operated well was a First Bone Spring completion. In the Rustler Breaks asset area, we began producing oil and natural gas from a total of 23 gross (13.6 net) wells during the second quarter of 2018, including 16 gross (12.9 net) operated and seven gross (0.7 net) non-operated wells. Of the 16 gross operated wells in the Rustler Breaks asset area, nine were Wolfcamp A-XY completions, two were Wolfcamp A-Lower completions, four were Wolfcamp B-Blair completions and one was a Second Bone Spring completion. In addition, we began producing oil and natural gas from three gross (2.7 net) operated wells in the Wolf and Jackson Trust asset areas during the second quarter of 2018, all three of which were Wolfcamp A-XY completions. Finally, in the Arrowhead asset area, we began producing oil and natural gas from four gross (2.4 net) operated wells, including three Second Bone Spring completions and one Third Bone Spring completion, during the second quarter of 2018.</w:t>
      </w:r>
    </w:p>
    <w:p>
      <w:pPr>
        <w:spacing w:after="0" w:line="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a result of our ongoing drilling and completion operations in these asset areas, our Delaware Basin production has continued to increase over the past twelve months. Our total Delaware Basin production for the second quarter of 2018 was 46,489 BOE per day, consisting of 27,381 Bbl of oil per day and</w:t>
      </w:r>
    </w:p>
    <w:p>
      <w:pPr>
        <w:spacing w:after="0" w:line="254" w:lineRule="auto"/>
        <w:rPr>
          <w:sz w:val="20"/>
          <w:szCs w:val="20"/>
          <w:color w:val="auto"/>
        </w:rPr>
      </w:pPr>
      <w:r>
        <w:rPr>
          <w:rFonts w:ascii="Arial" w:cs="Arial" w:eastAsia="Arial" w:hAnsi="Arial"/>
          <w:sz w:val="18"/>
          <w:szCs w:val="18"/>
          <w:color w:val="auto"/>
        </w:rPr>
        <w:t>114.6 MMcf of natural gas per day, a 68% increase from production of 27,622 BOE per day, consisting of 16,645 Bbl of oil per day and 65.9 MMcf of natural gas per day, in the second quarter of 2017. The Delaware Basin contributed approximately 92% of our daily oil production and approximately 82% of our daily natural gas production in the second quarter of 2018, as compared to approximately 86% of our daily oil production and approximately 63% of our daily natural gas production in the second quarter of 2017.</w:t>
      </w:r>
    </w:p>
    <w:p>
      <w:pPr>
        <w:spacing w:after="0" w:line="8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May 17, 2018, we completed a public offering of 7,000,000 shares of our common stock. After deducting offering costs totaling approximately $0.1 million, we received net proceeds of approximately $226.5 million. The proceeds from this offering were and are being used to acquire additional leasehold and mineral acres in the Delaware Basin, to fund certain midstream initiatives in the Delaware Basin and for general corporate purposes, including to fund a portion of our future capital expenditures. Pending such uses, we used a portion of the proceeds from the offering to repay the $45.0 million of outstanding borrowings under our third amended and restated revolving credit facility, as amended (the “Credit Agreement”), and invested the remaining funds in short-term marketable securities.</w:t>
      </w:r>
    </w:p>
    <w:p>
      <w:pPr>
        <w:spacing w:after="0" w:line="8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From January 1 through August 1, 2018, we acquired or had under contract approximately 16,000 net leasehold and mineral acres in and around our existing acreage positions in the Delaware Basin, including approximately 3,400 net mineral acres. From January 1 through August 1, 2018, we had incurred net capital expenditures of approximately $155 million to acquire approximately 9,500 net acres of these leasehold and mineral interests. We expect to incur net capital expenditures of approximately $32 million to acquire the additional approximately 6,500 net acres in leasehold and mineral interests that were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contract as of August 1, 2018 during the third and fourth quarters of 2018; the purchase price for such additional acquisitions is expected to be funded with a portion of the proceeds of our May 2018 equity offering. We intend to continue acquiring acreage and mineral interests, principally in the Delaware Basin, during the remainder of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Capital Expenditure Budget</w:t>
      </w:r>
    </w:p>
    <w:p>
      <w:pPr>
        <w:spacing w:after="0" w:line="117" w:lineRule="exact"/>
        <w:rPr>
          <w:sz w:val="20"/>
          <w:szCs w:val="20"/>
          <w:color w:val="auto"/>
        </w:rPr>
      </w:pPr>
    </w:p>
    <w:p>
      <w:pPr>
        <w:ind w:right="280" w:firstLine="405"/>
        <w:spacing w:after="0" w:line="291" w:lineRule="auto"/>
        <w:rPr>
          <w:sz w:val="20"/>
          <w:szCs w:val="20"/>
          <w:color w:val="auto"/>
        </w:rPr>
      </w:pPr>
      <w:r>
        <w:rPr>
          <w:rFonts w:ascii="Arial" w:cs="Arial" w:eastAsia="Arial" w:hAnsi="Arial"/>
          <w:sz w:val="16"/>
          <w:szCs w:val="16"/>
          <w:color w:val="auto"/>
        </w:rPr>
        <w:t>As of August 1, 2018, we adjusted our anticipated capital expenditures for drilling and completions (including equipping wells for production) from $530 to $570 million to $620 to $650 million and our anticipated midstream capital expenditures remained $70 to $90 million, which represents our 51% share of San Mateo’s 2018 estimated capital expenditures. We have allocated substantially all of our estimated 2018 capital expenditures to the further delineation and development of our growing leasehold position and midstream assets in the Delaware Basin, with the exception of amounts allocated to limited operations in the Eagle Ford and Haynesville shales. For the remainder of 2018, our Delaware Basin drilling program will continue to focus on the development of the Wolf and Rustler Breaks asset areas and the further delineation and development of the Jackson Trust, Ranger/Arrowhead, Antelope Ridge and Twin Lakes asset areas, although we may also continue to delineate previously untested zones in the Wolf and Rustler Breaks asset areas.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Sales Agreement with Kinder Morgan</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May 2018, we entered into a firm sales agreement with an affiliate of Kinder Morgan, Inc. beginning on the in-service date of the Gulf Coast Express Pipeline Project (the “GCX Project”). The agreement secures firm natural gas sales for an average of approximately 110,000 to 115,000 million British Thermal Units (“MMBtu”) per day at a price based upon Houston Ship Channel pricing. The GCX Project is expected to be operational in October 2019 and is expected to transport natural gas from the Permian Basin to Agua Dulce, Texas near the Texas Gulf Coast.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Salt Water Gathering and Disposal Agreement</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June 2018, a subsidiary of San Mateo entered into a long-term agreement with a third party in Eddy County, New Mexico to gather and dispose of the third party’s produced salt water. The agreement includes the dedication of certain of the third party’s wells, which are or will be located near San Mateo’s existing salt water gathering system in Eddy County, New Mexico.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w:t>
      </w:r>
    </w:p>
    <w:p>
      <w:pPr>
        <w:spacing w:after="0" w:line="1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following table sets forth our estimated total proved oil and natural gas reserves at June 30, 2018, December 31, 2017 and June 30, 2017.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These reserves estimates were based on evaluations prepared by our engineering staff and have been audited for their reasonableness and conformance with SEC guidelines by Netherland, Sewell &amp; Associates, Inc., independent reservoir engineers. These reserves estimates were prepared in accordance with the SEC’s rules for oil and natural gas reserves reporting. The estimated reserves shown are for proved reserves only and do not include any unproved reserves classified as probable or possible reserves that might exist for our properties, nor do they include any consideration that would be attributable to interests in unproved and unevaluated acreage beyond those tracts for which proved reserves have been estimated. Proved oil and natural gas reserves are quantities of oil and natural gas that geological and engineering data demonstrate with reasonable certainty to be recoverable in future years from known reservoirs under existing economic and operating conditions. Our total proved reserves are estimated using a conversion ratio of one Bbl of oil per six Mcf of natural gas.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Estimated Proved Reserves Data:</w:t>
            </w:r>
            <w:r>
              <w:rPr>
                <w:rFonts w:ascii="Arial" w:cs="Arial" w:eastAsia="Arial" w:hAnsi="Arial"/>
                <w:sz w:val="25"/>
                <w:szCs w:val="25"/>
                <w:color w:val="auto"/>
                <w:vertAlign w:val="superscript"/>
              </w:rPr>
              <w:t>(1)(2)</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Estimated proved reserves: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shd w:val="clear" w:color="auto" w:fill="CCEEFF"/>
          </w:tcPr>
          <w:p>
            <w:pPr>
              <w:ind w:left="72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95,448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86,743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74,954</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tcPr>
          <w:p>
            <w:pPr>
              <w:ind w:left="72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1120"/>
              <w:spacing w:after="0" w:line="264"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(5)</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170,155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152,771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134,373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80"/>
              <w:spacing w:after="0"/>
              <w:rPr>
                <w:sz w:val="20"/>
                <w:szCs w:val="20"/>
                <w:color w:val="auto"/>
              </w:rPr>
            </w:pPr>
            <w:r>
              <w:rPr>
                <w:rFonts w:ascii="Arial" w:cs="Arial" w:eastAsia="Arial" w:hAnsi="Arial"/>
                <w:sz w:val="18"/>
                <w:szCs w:val="18"/>
                <w:color w:val="auto"/>
              </w:rPr>
              <w:t>Estimated proved developed reserves:</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72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45,030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tcPr>
          <w:p>
            <w:pPr>
              <w:ind w:left="72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1120"/>
              <w:spacing w:after="0" w:line="264"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(5)</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82,415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68,651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55,075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140"/>
              <w:spacing w:after="0"/>
              <w:rPr>
                <w:sz w:val="20"/>
                <w:szCs w:val="20"/>
                <w:color w:val="auto"/>
              </w:rPr>
            </w:pPr>
            <w:r>
              <w:rPr>
                <w:rFonts w:ascii="Arial" w:cs="Arial" w:eastAsia="Arial" w:hAnsi="Arial"/>
                <w:sz w:val="18"/>
                <w:szCs w:val="18"/>
                <w:color w:val="auto"/>
              </w:rPr>
              <w:t>Percent developed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Estimated proved undeveloped reserves: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72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50,418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49,777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72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304"/>
        </w:trPr>
        <w:tc>
          <w:tcPr>
            <w:tcW w:w="6620" w:type="dxa"/>
            <w:vAlign w:val="bottom"/>
            <w:tcBorders>
              <w:bottom w:val="single" w:sz="8" w:color="CCEEFF"/>
            </w:tcBorders>
          </w:tcPr>
          <w:p>
            <w:pPr>
              <w:ind w:left="1120"/>
              <w:spacing w:after="0" w:line="264"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(5)</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87,740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84,120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79,298</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380"/>
              <w:spacing w:after="0" w:line="251" w:lineRule="exact"/>
              <w:rPr>
                <w:sz w:val="20"/>
                <w:szCs w:val="20"/>
                <w:color w:val="auto"/>
              </w:rPr>
            </w:pPr>
            <w:r>
              <w:rPr>
                <w:rFonts w:ascii="Arial" w:cs="Arial" w:eastAsia="Arial" w:hAnsi="Arial"/>
                <w:sz w:val="18"/>
                <w:szCs w:val="18"/>
                <w:color w:val="auto"/>
              </w:rPr>
              <w:t>Standardized Measure</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(in millions)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1,613.3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1,258.6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52"/>
        </w:trPr>
        <w:tc>
          <w:tcPr>
            <w:tcW w:w="6620" w:type="dxa"/>
            <w:vAlign w:val="bottom"/>
          </w:tcPr>
          <w:p>
            <w:pPr>
              <w:ind w:left="380"/>
              <w:spacing w:after="0" w:line="252" w:lineRule="exact"/>
              <w:rPr>
                <w:sz w:val="20"/>
                <w:szCs w:val="20"/>
                <w:color w:val="auto"/>
              </w:rPr>
            </w:pPr>
            <w:r>
              <w:rPr>
                <w:rFonts w:ascii="Arial" w:cs="Arial" w:eastAsia="Arial" w:hAnsi="Arial"/>
                <w:sz w:val="18"/>
                <w:szCs w:val="18"/>
                <w:color w:val="auto"/>
              </w:rPr>
              <w:t>PV-10</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_______________</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9" w:lineRule="exact"/>
        <w:rPr>
          <w:rFonts w:ascii="Arial" w:cs="Arial" w:eastAsia="Arial" w:hAnsi="Arial"/>
          <w:sz w:val="14"/>
          <w:szCs w:val="14"/>
          <w:color w:val="auto"/>
        </w:rPr>
      </w:pPr>
    </w:p>
    <w:p>
      <w:pPr>
        <w:ind w:left="340" w:hanging="332"/>
        <w:spacing w:after="0" w:line="270"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period from July 2017 through June 2018 were $54.15 per Bbl for oil and $2.92 per MMBtu for natural gas, for the period from January 2017 through December 2017 were $47.79 per Bbl for oil and $2.98 per MMBtu for natural gas and for the period from July 2016 through June 2017 were $45.42 per Bbl for oil and $3.01 per MMBtu for natural gas. These prices were adjusted by property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w:t>
      </w:r>
    </w:p>
    <w:p>
      <w:pPr>
        <w:spacing w:after="0" w:line="71" w:lineRule="exact"/>
        <w:rPr>
          <w:rFonts w:ascii="Arial" w:cs="Arial" w:eastAsia="Arial" w:hAnsi="Arial"/>
          <w:sz w:val="13"/>
          <w:szCs w:val="13"/>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right="220" w:hanging="332"/>
        <w:spacing w:after="0" w:line="312"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43" w:lineRule="exact"/>
        <w:rPr>
          <w:rFonts w:ascii="Arial" w:cs="Arial" w:eastAsia="Arial" w:hAnsi="Arial"/>
          <w:sz w:val="13"/>
          <w:szCs w:val="13"/>
          <w:color w:val="auto"/>
        </w:rPr>
      </w:pPr>
    </w:p>
    <w:p>
      <w:pPr>
        <w:ind w:left="340" w:right="60" w:hanging="332"/>
        <w:spacing w:after="0" w:line="247"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June 30, 2018, December 31, 2017 and June 30, 2017 may be reconciled to the Standardized Measure of discounted future net cash flows at such dates by reducing our PV-10 by the discounted future income taxes associated with such reserves. The discounted future income taxes at June 30, 2018, December 31, 2017 and June 30, 2017 were $152.6 million, $74.8 million and $85.0 million, respectively.</w:t>
      </w:r>
    </w:p>
    <w:p>
      <w:pPr>
        <w:spacing w:after="0" w:line="9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At June 30, 2018, our estimated total proved oil and natural gas reserves were 170.2 million BOE, including 95.4 million Bbl of oil and 448.2 Bcf of natural gas, with a Standardized Measure of $1.6 billion and a PV-10, a non-GAAP financial measure, of $1.8 billion. At December 31, 2017, our estimated total proved oil and natural gas reserves were 152.8 million BOE, including 86.7 million Bbl of oil and 396.2 Bcf of natural gas, and at June 30, 2017, our estimated total proved oil and natural gas reserves were 134.4 million BOE, including 75.0 million Bbl of oil and 356.5 Bcf of natural gas. Our proved oil reserves of 95.4 million Bbl at June 30, 2018 increased 10%, as compared to 86.7 million Bbl at December 31, 2017, and increased 27%, as compared to 75.0 million Bbl at June 30, 2017. At June 30, 2018, approximately 48% of our total proved reserves were proved developed reserves, 56% of our total proved reserves were oil and 44% of our total proved reserves were natural gas.</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our drilling, completion and delineation activities in Southeast New Mexico and West Texas since 2014, our Delaware Basin oil and natural gas reserves have become a more significant component of our total oil and natural gas reserves.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estimated Delaware Basin proved oil and natural gas reserves increased 37% from 108.1 million BOE at June 30, 2017, or 80% of our total proved oil and natural gas reserves, including 64.9 million Bbl of oil and 259.2 Bcf of natural gas, to 148.5 million BOE, or 87% of our total proved oil and natural gas reserves, including 87.1 million Bbl of oil and 368.7 Bcf of natural gas, at June 30, 2018.</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been no changes to the technology we used to establish reserves or to our internal control over the reserves estimation process from those set forth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Other than as discussed in Note 2 to the interim unaudited condensed consolidated financial statements in this Quarterly Report related to the adoption of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there have been no changes to our critical accounting policies and estimates from those set forth in the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See Note 2 to the interim unaudited condensed consolidated financial statements in this Quarterly Report for a summary of recent accounting pronouncements that we believe may have an impact on our financial statements upon adoption.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166,271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81,322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314,430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164,958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63,653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oil and natural gas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209,019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113,764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390,973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228,611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Realized (loss) gain on derivatives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33,821</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211,367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129,611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402,547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264,425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70"/>
        </w:trPr>
        <w:tc>
          <w:tcPr>
            <w:tcW w:w="6740" w:type="dxa"/>
            <w:vAlign w:val="bottom"/>
          </w:tcPr>
          <w:p>
            <w:pPr>
              <w:ind w:left="38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3,417</w:t>
            </w: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70"/>
        </w:trPr>
        <w:tc>
          <w:tcPr>
            <w:tcW w:w="6740" w:type="dxa"/>
            <w:vAlign w:val="bottom"/>
          </w:tcPr>
          <w:p>
            <w:pPr>
              <w:ind w:left="76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4,817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8,892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6,330</w:t>
            </w:r>
          </w:p>
        </w:tc>
      </w:tr>
      <w:tr>
        <w:trPr>
          <w:trHeight w:val="270"/>
        </w:trPr>
        <w:tc>
          <w:tcPr>
            <w:tcW w:w="674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52,937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49,126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without realized derivatives (per Bbl)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 with realized derivatives (per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47.97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without realized derivatives (per Mcf)</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Natural gas, with realized derivatives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89" w:lineRule="exact"/>
        <w:rPr>
          <w:sz w:val="20"/>
          <w:szCs w:val="20"/>
          <w:color w:val="auto"/>
        </w:rPr>
      </w:pPr>
    </w:p>
    <w:p>
      <w:pPr>
        <w:ind w:left="340" w:right="50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2018 as Compared to Three Months Ended June 30, 2017</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$95.3 million to $209.0 million, or 84%,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$113.8 million for the three months ended June 30, 2017. Our oil revenues increased $84.9 million, or 104%, to $166.3 million for the three months ended June 30, 2018, as compared to $81.3 million for the three months ended June 30, 2017. The increase in oil revenues resulted from (i) a higher weighted average oil price realized for the three months ended June 30, 2018 of $61.44 per Bbl, as compared to $46.01 per Bbl realized for the three months ended June 30, 2017, and (ii) the 53% increase in our oil production to 2.7 million Bbl of oil for the three months ended June 30, 2018, or 29,740 Bbl of oil per day, as compared to 1.8 million Bbl of oil, or 19,423 Bbl of oil per day, for the three months ended June 30, 2017. The increase in oil production was primarily attributable to our ongoing delineation and development drilling activities in the Delaware Basin. Our natural gas revenues increased by $10.3 million, or 32%, to $42.7 million for the three months ended June 30, 2018, as compared to $32.4 million for the three months ended June 30, 2017. The increase in natural gas revenues resulted from the 33% increase in our natural gas production to 12.7 Bcf for the three months ended June 30, 2018, as compared to 9.6 Bcf for the three months ended June 30, 2017. The increase in natural gas production was primarily attributable to our ongoing delineation and development drilling activities in the Delaware Basin.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$1.3 million to $3.4 million, or 62%,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as compared to $2.1 million for the three months ended June 30, 2017. Third-party midstream services revenues are those revenues from midstream operations related to third parties, including working interest owners in our operated wells. This increase was primarily attributable to an increase in our third-party salt water gathering and disposal revenues to approximately $1.9 million for the three months ended June 30, 2018, as compared to approximately $0.4 million for the three months ended June 30, 2017.</w:t>
      </w:r>
    </w:p>
    <w:p>
      <w:pPr>
        <w:spacing w:after="0" w:line="8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Realized (loss) gain on derivatives. </w:t>
      </w:r>
      <w:r>
        <w:rPr>
          <w:rFonts w:ascii="Arial" w:cs="Arial" w:eastAsia="Arial" w:hAnsi="Arial"/>
          <w:sz w:val="17"/>
          <w:szCs w:val="17"/>
          <w:color w:val="auto"/>
        </w:rPr>
        <w:t>Our realized net loss on derivatives was $2.5 million for the three months ended June 30, 2018,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gain of $0.6 million for the three months ended June 30, 2017. We realized a net loss of $8.7 million related to our oil costless collar contracts for the three months ended June 30, 2018, resulting from oil prices that were above the short call/ceiling prices of certain of our oil costless collar contracts. We realized a net gain of $6.2 million related to our oil basis swap contracts for the three months ended June 30, 2018, resulting from oil basis prices lower than the swap prices of certain of our oil basis swap contracts. We realized a net gain of $0.6 million from our oil derivative contracts for the three months ended June 30, 2017 resulting from oil prices that were below the floor prices of certain of our oil costless collar contracts. We realized an average loss on our oil derivatives contracts of approximately $0.92 per Bbl produced during the three months ended June 30, 2018, as compared to an average gain of $0.33 per Bbl produced during the three months ended June 30, 2017. Our total oil volumes hedged for the three months ended June 30, 2018 represented 51% of our total oil production, as compared to 70% of our total oil production for the three months ended June 30, 2017. Our total natural gas volumes hedged for the three months ended June 30, 2018 represented 33% of our total natural gas production, as compared to 66% of our total natural gas production for the three months ended June 30, 2017.</w:t>
      </w:r>
    </w:p>
    <w:p>
      <w:pPr>
        <w:spacing w:after="0" w:line="7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i w:val="1"/>
          <w:iCs w:val="1"/>
          <w:color w:val="auto"/>
        </w:rPr>
        <w:t xml:space="preserve">Unrealized gain on derivatives. </w:t>
      </w:r>
      <w:r>
        <w:rPr>
          <w:rFonts w:ascii="Arial" w:cs="Arial" w:eastAsia="Arial" w:hAnsi="Arial"/>
          <w:sz w:val="16"/>
          <w:szCs w:val="16"/>
          <w:color w:val="auto"/>
        </w:rPr>
        <w:t>Our unrealized net gain on derivatives was $1.4 million for the three months ended June 30, 2018, as compared to an</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net gain of $13.2 million for the three months ended June 30, 2017. During the three months ended June 30, 2018, the net fair value of our open oil and natural gas derivative contracts increased to a net liability of $3.4 million from a net liability of $4.8 million at March 31, 2018, resulting in an unrealized gain on derivatives of $1.4 million for the three months ended June 30, 2018. This decrease in net liability is primarily attributable to the widening in the oil basis differential futures prices, offset by the increase in oil and natural gas futures prices during the three months ended June 30, 2018. During the three months ended June 30, 2017, the net fair value of our open oil and natural gas derivative contracts increased to a net asset of approximately $8.9 million from a net liability of $4.3 million at March 31, 2017, resulting in an unrealized gain on derivatives of $13.2 million for the three months ended June 30, 2017.</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Six Months Ended June 30, 2018 as Compared to Six Months Ended June 30, 2017</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$162.4 million to $391.0 million, or 71%,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$228.6 million for the six months ended June 30, 2017. Our oil revenues increased $149.5 million, or 91%, to $314.4 million for the six months ended June 30, 2018, as compared to $165.0 million for the six months ended June 30, 2017. The increase in oil revenues resulted from (i) a higher weighted average oil price realized for the six months ended June 30, 2018 of $61.80 per Bbl, as compared to $48.28 per Bbl realized for the six months ended June 30, 2017, and (ii) the 49% increase in our oil production to 5.1 million Bbl of oil for the six months ended June 30, 2018, or 28,111 Bbl of oil per day, as compared to 3.4 million Bbl of oil, or 18,876 Bbl of oil per day, for the six months ended June 30, 2017. The increase in oil production was primarily attributable to our ongoing delineation and development drilling activities in the Delaware Basin. Our natural gas revenues increased by $12.9 million, or 20%, to $76.5 million for the six months ended June 30, 2018, as compared to $63.7 million for the six months ended June 30, 2017. The increase in natural gas revenues resulted from the 31% increase in our natural gas production to 22.8 Bcf for the six months ended June 30, 2018, as compared to 17.5 Bcf for the six months ended June 30, 2017, which was partially offset by a lower weighted average natural gas price realized for the six months ended June 30, 2018 of $3.35 per Mcf, as compared to $3.64 per Mcf realized for the six months ended June 30, 2017. The increase in natural gas production was primarily attributable to our ongoing delineation and development drilling activities in the Delaware Basin.</w:t>
      </w:r>
    </w:p>
    <w:p>
      <w:pPr>
        <w:spacing w:after="0" w:line="6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$2.8 million to $6.5 million, or 77%,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to $3.7 million for the six months ended June 30, 2017. This increase was primarily attributable to (i) an increase in natural gas gathering and processing revenues to approximately $3.4 million for the six months ended June 30, 2018, as compared to $2.8 million for the six months ended June 30, 2017, due to increased natural gas production in our Rustler Breaks and Wolf asset areas and (ii) an increase in our third-party salt water gathering and disposal revenues to approximately $3.0 million for the six months ended June 30, 2018, as compared to approximately $0.7 million for the six months ended June 30, 2017.</w:t>
      </w:r>
    </w:p>
    <w:p>
      <w:pPr>
        <w:spacing w:after="0" w:line="8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i w:val="1"/>
          <w:iCs w:val="1"/>
          <w:color w:val="auto"/>
        </w:rPr>
        <w:t xml:space="preserve">Realized loss on derivatives. </w:t>
      </w:r>
      <w:r>
        <w:rPr>
          <w:rFonts w:ascii="Arial" w:cs="Arial" w:eastAsia="Arial" w:hAnsi="Arial"/>
          <w:sz w:val="16"/>
          <w:szCs w:val="16"/>
          <w:color w:val="auto"/>
        </w:rPr>
        <w:t>Our realized net loss on derivatives was $6.7 million for the six months ended June 30, 2018, as compared to a realized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$1.7 million for the six months ended June 30, 2017. We realized a net loss of $11.4 million related to our oil costless collar contracts for the six months ended June 30, 2018, resulting from oil prices that were above the short call/ceiling prices of certain of our oil costless collar contracts. We realized a net gain of $4.6 million related to our oil basis swap contracts for the six months ended June 30, 2018, resulting from oil basis prices lower than the swap prices of certain of our oil basis swap contracts. We realized a net loss of $1.1 million and $0.6 million from our oil and natural gas derivative contracts,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respectively, for the six months ended June 30, 2017, resulting from oil and natural gas prices that were above the ceiling prices of certain of our oil and natural gas costless collar contracts. We realized an average loss on our oil derivatives of approximately $1.34 per Bbl produced during the six months ended June 30, 2018, as compared to an average loss of $0.31 per Bbl produced during the six months ended June 30, 2017. Our total oil volumes hedged for the six months ended June 30, 2018 represented 53% of our total oil production, as compared to 64% of our total oil production for the six months ended June 30, 2017. Our total natural gas volumes hedged for the six months ended June 30, 2018 represented 37% of our total natural gas production, as compared to 66% of our total natural gas production for the six months ended June 30, 2017.</w:t>
      </w:r>
    </w:p>
    <w:p>
      <w:pPr>
        <w:spacing w:after="0" w:line="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Unrealized gain on derivatives. </w:t>
      </w:r>
      <w:r>
        <w:rPr>
          <w:rFonts w:ascii="Arial" w:cs="Arial" w:eastAsia="Arial" w:hAnsi="Arial"/>
          <w:sz w:val="17"/>
          <w:szCs w:val="17"/>
          <w:color w:val="auto"/>
        </w:rPr>
        <w:t>Our unrealized net gain on derivatives was $11.8 million for the six months ended June 30, 2018, as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unrealized net gain of $33.8 million for the six months ended June 30, 2017. During the period from December 31, 2017 through June 30, 2018, the aggregate net fair value of our open oil and natural gas derivative contracts increased from a net liability of approximately $15.2 million to a net liability of approximately $3.4 million, resulting in an unrealized gain on derivatives of approximately $11.8 million for the six months ended June 30, 2018. This decrease in net liability is primarily attributable to the widening in the oil basis differential futures prices, offset by the increase in oil and natural gas futures prices during the six months ended June 30, 2018. During the period from December 31, 2016 through June 30, 2017, the aggregate net fair value of our open oil and natural gas derivative contracts increased from a net liability of approximately $25.0 million to a net asset of approximately $8.9 million, resulting in an unrealized gain on derivatives of approximately $33.8 million for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24,682</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31,797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5,283</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66,838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75,266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33,515</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38,989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93,268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Net gain on asset sales and inventory impairment</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1,991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130,561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77,587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59,806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119,700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72,493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 per BOE: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5.29</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2018 as Compared to Three Months Ended June 30, 2017</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$7.2 million to $20.1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56%, for the three months ended June 30, 2018, as compared to $12.9 million for the three months ended June 30, 2017. On a unit-of-production basis, our production taxes, transportation and processing expenses increased 9% to $4.17 per BOE for the three months ended June 30, 2018, as compared to $3.83 per BOE for the three months ended June 30, 2017. The increase in production taxes, transportation and processing expenses was primarily attributable to the $8.2 million increase in our production taxes to $15.1 million for the three months ended June 30, 2018, as compared to $6.9 million for the three months ended June 30, 2017, principally due to the $95.3 million increase in oil and natural gas revenues for the three months ended June 30, 2018, as compared to the three months ended June 30, 2017. In addition, the production tax rates in New Mexico are higher than production tax rates in Texas. As more of our oil and natural gas production becomes attributable to New Mexico, we expect our production tax expenses to increase proportionately.</w:t>
      </w:r>
    </w:p>
    <w:p>
      <w:pPr>
        <w:spacing w:after="0" w:line="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$9.0 million to $25.0 million, or 56%, for the three months ended June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$16.0 million for the three months ended June 30, 2017. Our lease operating expenses on a unit-of-production basis increased 9% to $5.19 per BOE for the three months ended June 30, 2018, as compared to $4.77 per BOE for the three months ended June 30, 2017. The increase in lease operating expenses for the three months ended June 30, 2018, as compared to the three months ended June 30, 2017, was primarily attributable to an increase in costs of services and equipment, including salt water disposal costs in asset areas other than Wolf and Rustler Breaks (which are serviced by San Mateo), at June 30, 2018, as compared to June 30, 2017.</w:t>
      </w:r>
    </w:p>
    <w:p>
      <w:pPr>
        <w:spacing w:after="0" w:line="8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$2.7 million to $5.7 million,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93%, for the three months ended June 30, 2018, as compared to $2.9 million for the three months ended June 30, 2017. This increase was primarily attributable to (i) increased expenses associated with our expanded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commercial salt water disposal operations to $3.0 million for the three months ended June 30, 2018, as compared to $1.5 million for the three months ended June 30, 2017 and (ii) increased expenses associated with San Mateo’s Black River cryogenic natural gas processing plant in the Rustler Breaks asset area (the “Black River Processing Plant”) to $1.9 million for the three months ended June 30, 2018, as compared to $0.8 million for the three months ended June 30, 2017.</w:t>
      </w:r>
    </w:p>
    <w:p>
      <w:pPr>
        <w:spacing w:after="0" w:line="79"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$25.6 million to $66.8 million, or 62%,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2018, as compared to $41.3 million for the three months ended June 30, 2017. On a unit-of-production basis, our depletion, depreciation and amortization expenses increased 13% to $13.87 per BOE for the three months ended June 30, 2018, as compared to $12.28 per BOE for the three months ended June 30, 2017. The increase in our total depletion, depreciation and amortization expenses was primarily attributable to (i) increased well costs, largely as a result of increased well stimulation costs in response to increased oil prices over the past year and (ii) the 43% increase in our total oil equivalent production to 4.8 million BOE for the three months ended June 30, 2018, as compared to 3.4 million BOE for the three months ended June 30, 2017. The impact of the increase in well costs and oil and natural gas production was partially offset by higher total proved oil and natural gas reserves at June 30, 2018, as compared to June 30, 2017, primarily attributable to our ongoing delineation and development drilling activities in the Delaware Basin. In addition, depreciation expenses attributable to our midstream segment were approximately $2.3 million for the three months ended June 30, 2018, as compared to $1.3 million for the three months ended June 30, 2017.</w:t>
      </w:r>
    </w:p>
    <w:p>
      <w:pPr>
        <w:spacing w:after="0" w:line="7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$2.2 million to $19.4 million, or 13%,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2018, as compared to $17.2 million for the three months ended June 30, 2017. The increase in our general and administrative expenses was primarily attributable to increased payroll and related expenses of approximately $3.5 million associated with additional employees joining the Company to support our increased land, geoscience, drilling, completion, production, midstream, accounting and administration functions as a result of the continued growth of the Company. These increases were partially offset by the $1.5 million increase in capitalized general and administrative expenses for the three months ended June 30, 2018, as compared to the three months ended June 30, 2017. As a result of the 43% increase in oil and natural gas production for the three months ended June 30, 2018, as compared to the three months ended June 30, 2017, our general and administrative expenses decreased 21% on a unit-of-production basis to $4.02 per BOE for the three months ended June 30, 2018, as compared to $5.11 per BOE for the three months ended June 30, 2017.</w:t>
      </w:r>
    </w:p>
    <w:p>
      <w:pPr>
        <w:spacing w:after="0" w:line="5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June 30, 2018, we incurred total interest expense of approximately $10.6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 million of our interest expense on certain qualifying projects for the three months ended June 30, 2018 and expensed the remaining $8.0 million to operations. For the three months ended June 30, 2017, we incurred total interest expense of approximately $11.1 million. We capitalized approximately $1.9 million of our interest expense on certain qualifying projects for the three months ended June 30, 2017 and expensed the remaining $9.2 million to operations.</w:t>
      </w:r>
    </w:p>
    <w:p>
      <w:pPr>
        <w:spacing w:after="0" w:line="8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i w:val="1"/>
          <w:iCs w:val="1"/>
          <w:color w:val="auto"/>
        </w:rPr>
        <w:t xml:space="preserve">Total income tax benefit. </w:t>
      </w:r>
      <w:r>
        <w:rPr>
          <w:rFonts w:ascii="Arial" w:cs="Arial" w:eastAsia="Arial" w:hAnsi="Arial"/>
          <w:sz w:val="16"/>
          <w:szCs w:val="16"/>
          <w:color w:val="auto"/>
        </w:rPr>
        <w:t>Our deferred tax assets exceeded our deferred tax liabilities at June 30, 2018 due to the deferred tax amounts generated by full-cost ceiling impairment charges recorded in prior periods. As a result, we established a valuation allowance against the deferred tax assets beginning in the third quarter of 2015. We retained a full valuation allowance at June 30, 2018 due to uncertainties regarding the future realization of our deferred tax assets.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Six Months Ended June 30, 2018 as Compared to Six Months Ended June 30, 2017</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$13.2 million to $37.9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54%, for the six months ended June 30, 2018, as compared to $24.7 million for the six months ended June 30, 2017. On a unit-of-production basis, our production taxes, transportation and processing expenses increased 9% to $4.26 per BOE for the six months ended June 30, 2018, as compared to $3.90 per BOE for the six months ended June 30, 2017. The increase in production taxes, transportation and processing expenses was primarily attributable to the $14.1 million increase in our production taxes to $28.2 million for the six months ended June 30, 2018, as compared to $14.1 million for the six months ended June 30, 2017, principally due to the $162.4 million increase in oil and natural gas revenues for the six months ended June 30, 2018, as compared to the six months ended June 30, 2017. In addition, the production tax rates in New Mexico are higher than production tax rates in Texas. As more of our oil and natural gas production becomes attributable to New Mexico, we expect our production tax expenses to increase proportionately.</w:t>
      </w:r>
    </w:p>
    <w:p>
      <w:pPr>
        <w:spacing w:after="0" w:line="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$15.4 million to $47.2 million, or 48%, for the six months ended June 30,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$31.8 million for the six months ended June 30, 2017. Our lease operating expenses on a unit-of production basis increased 6% to $5.30 per BOE for the six months ended June 30, 2018, as compared to $5.02 per BOE for the six months ended June 30, 2017. The increase in lease operating expenses for the six months ended June 30, 2018, as compared to the six months ended June 30, 2017, was primarily attributable to an increase in costs of services and equipment, including salt water disposal costs in asset areas other than Wolf and Rustler Breaks (which are serviced by San Mateo), at June 30, 2018, as compared to June 30, 2017.</w:t>
      </w:r>
    </w:p>
    <w:p>
      <w:pPr>
        <w:spacing w:after="0" w:line="8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$4.6 million to $9.9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87%, for the six months ended June 30, 2018, as compared to $5.3 million for the six months ended June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30, 2017. This increase was primarily attributable to (i) increased expenses associated with our expanded commercial salt water disposal operations to $5.2 million for the six months ended June 30, 2018, as compared to $3.0 million for the six months ended June 30, 2017 and (ii) increased expenses associated with the Black River Processing Plant to $3.6 million for the six months ended June 30, 2018, as compared to $1.8 million for the six months ended June 30, 2017.</w:t>
      </w:r>
    </w:p>
    <w:p>
      <w:pPr>
        <w:spacing w:after="0" w:line="7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$46.9 million to $122.2 million, or 62%,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2018, as compared to $75.3 million for the six months ended June 30, 2017. On a unit-of-production basis, our depletion, depreciation and amortization expenses increased 16% to $13.74 per BOE for the six months ended June 30, 2018, as compared to $11.89 per BOE for the six months ended June 30, 2017. The increase in our total depletion, depreciation and amortization expenses was primarily attributable to (i) increased well costs, largely as a result of increased well stimulation costs in response to increased oil prices over the past year and (ii) the 40% increase in our total oil equivalent production to 8.9 million BOE for the six months ended June 30, 2018, as compared to 6.3 million BOE for the six months ended June 30, 2017. The impact of the increase in well costs and oil and natural gas production was partially offset by higher total proved oil and natural gas reserves at June 30, 2018, as compared to June 30, 2017, primarily attributable to our ongoing delineation and development drilling activities in the Delaware Basin. In addition, depreciation expenses attributable to our midstream segment were approximately $3.9 million for the six months ended June 30, 2018, as compared to $2.5 million for the six months ended June 30, 2017.</w:t>
      </w:r>
    </w:p>
    <w:p>
      <w:pPr>
        <w:spacing w:after="0" w:line="7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$3.8 million to $37.3 million, or 11%,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$33.5 million for the six months ended June 30, 2017. The increase in our general and administrative expenses was partially attributable to increased payroll and related expenses of approximately $7.6 million associated with additional employees joining the Company to support our increased land, geoscience, drilling, completion, production, midstream, accounting and administration functions as a result of the continued growth of the Company. These increases were partially offset by the $3.3 million increase in capitalized general and administrative expenses for the six months ended June 30, 2018, as compared to the six months ended June 30, 2017. As a result of the 40% increase in oil and natural gas production for the six months ended June 30, 2018, as compared to the six months ended June 30, 2017, our general and administrative expenses decreased 21% on a unit-of-production basis to $4.19 per BOE for the six months ended June 30, 2018, as compared to $5.29 per BOE for the six months ended June 30, 2017.</w:t>
      </w:r>
    </w:p>
    <w:p>
      <w:pPr>
        <w:spacing w:after="0" w:line="58"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six months ended June 30, 2018, we incurred total interest expense of approximately $21.0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$4.5 million of our interest expense on certain qualifying projects for the six months ended June 30, 2018 and expensed the remaining $16.5 million to operations. For the six months ended June 30, 2017, we incurred total interest expense of approximately $20.8 million. We capitalized approximately $3.2 million of our interest expense on certain qualifying projects for the six months ended June 30, 2017 and expensed the remaining $17.7 million to operations.</w:t>
      </w:r>
    </w:p>
    <w:p>
      <w:pPr>
        <w:spacing w:after="0" w:line="8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Total income tax benefit. </w:t>
      </w:r>
      <w:r>
        <w:rPr>
          <w:rFonts w:ascii="Arial" w:cs="Arial" w:eastAsia="Arial" w:hAnsi="Arial"/>
          <w:sz w:val="18"/>
          <w:szCs w:val="18"/>
          <w:color w:val="auto"/>
        </w:rPr>
        <w:t>Our deferred tax assets exceeded our deferred tax liabilities at June 30, 2018 due to the deferred tax amounts generated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full-cost ceiling impairment charges recorded in prior periods. As a result, we established a valuation allowance against the deferred tax assets beginning in the third quarter of 2015. We retained a full valuation allowance at June 30, 2018 due to uncertainties regarding the future realization of our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primary use of capital has been, and we expect will continue to be during the remainder of 2018 and for the foreseeable future, for the acquisition, exploration and development of oil and natural gas properties and for midstream investments. Excluding any possible significant acquisitions, we expect to fund our capital expenditure requirements for the remainder of 2018 through a combination of cash on hand (including proceeds from our May 2018 public equity offering), operating cash flows and borrowings under the Credit Agreement (assuming availability under our borrowing base). We continually evaluate other capital sources, including borrowings under additional credit arrangements, the sale or joint venture of midstream assets or oil and natural gas producing assets or acreage, particularly in our non-core asset areas,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June 30, 2018, we had cash totaling approximately $122.5 million and restricted cash totaling approximately $21.1 million, most of which is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first quarter of 2018, the lenders under our Credit Agreement completed their review of the Company’s proved oil and natural gas reserves at December 31, 2017, and as a result, on March 5, 2018, the borrowing base was increased to $725.0 million and the maximum facility amount remained at $500.0 million. This March 2018 redetermination constituted the regularly scheduled May 1 redetermination. The Company elected to keep the lenders’ borrowing commitment at $400.0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million. Borrowings under the Credit Agreement are limited to the lowest of the borrowing base, the maximum facility amount and the elected commitment.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matures on October 16, 2020.</w:t>
      </w:r>
    </w:p>
    <w:p>
      <w:pPr>
        <w:spacing w:after="0" w:line="10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April 2018, we accessed the line of credit under our Credit Agreement and borrowed $45.0 million to fund certain of our acreage and mineral acquisitions, as well as for our ongoing exploration and development and midstream activities and for general corporate purposes. On May 17, 2018, we completed a public offering of 7,000,000 shares of our common stock. After deducting offering costs totaling approximately $0.1 million, we received net proceeds of approximately $226.5 million. The proceeds from this offering were and are being used to acquire additional leasehold and mineral acres in the Delaware Basin, to fund certain midstream initiatives in the Delaware Basin and for general corporate purposes, including to fund a portion of the Company’s future capital expenditures. Pending such uses, we used a portion of the proceeds from the offering to repay the $45.0 million of outstanding borrowings under our Credit Agreement and invested the remaining funds in short-term marketable securities. At June 30, 2018 and August 1, 2018, we had no borrowings outstanding under our Credit Agreement and approximately $3.0 million in outstanding letters of credit issued pursuant to the Credit Agreement.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that development of our Delaware Basin assets will be the primary focus of our operations and capital expenditures for the remainder</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of 2018. We plan to operate six contracted drilling rigs in the Delaware Basin throughout the remainder of 2018. Depending on commodity prices and basis differentials, capital and operating costs, opportunities in asset areas like Arrowhead and Antelope Ridge, liquidity and other factors, we may consider adding a seventh rig during the fourth quarter of 2018, although we had not made the decision to do so at August 1, 2018. Should we elect to add a seventh drilling rig during the fourth quarter of 2018, we anticipate this additional rig will have no impact on our estimated 2018 oil and natural gas production and only a minor impact on our anticipated capital expenditures for the remainder of 2018.</w:t>
      </w:r>
    </w:p>
    <w:p>
      <w:pPr>
        <w:spacing w:after="0" w:line="83"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As of August 1, 2018, we adjusted our anticipated capital expenditures for drilling and completions (including equipping wells for production) from $530 to $570 million to $620 to $650 million and our anticipated midstream capital expenditures remained $70 to $90 million, which represents our 51% share of San Mateo’s 2018 estimated capital expenditures. During the second quarter of 2018, we incurred capital expenditures of approximately $166.1 million for drilling, completions, facilities and infrastructure and approximately $16.7 million for midstream activities, which primarily represented 51% of San Mateo’s total second quarter capital expenditures of $32.7 million. We have allocated substantially all of our estimated 2018 capital expenditures to the further delineation and development of our growing leasehold position and midstream assets in the Delaware Basin, with the exception of amounts allocated to limited operations in the Eagle Ford and Haynesville shales. For the remainder of 2018, our Delaware Basin drilling program will continue to focus on the development of the Wolf and Rustler Breaks asset areas and the further delineation and development of the Jackson Trust, Ranger/Arrowhead, Antelope Ridge and Twin Lakes asset areas, although we may also continue to delineate previously untested zones in the Wolf and Rustler Breaks asset areas.</w:t>
      </w:r>
    </w:p>
    <w:p>
      <w:pPr>
        <w:spacing w:after="0" w:line="5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From January 1 through August 1, 2018, we acquired or had under contract approximately 16,000 net leasehold and mineral acres in and around our existing acreage positions in the Delaware Basin, including approximately 3,400 net mineral acres. From January 1 through August 1, 2018, we had incurred net capital expenditures of approximately $155 million to acquire approximately 9,500 net acres of these leasehold and mineral interests. We expect to incur net capital expenditures of approximately $32 million to acquire the additional approximately 6,500 net acres in leasehold and mineral interests that were under contract as of August 1, 2018 during the third and fourth quarters of 2018; the purchase price for such additional acquisitions is expected to be funded with a portion of the proceeds of our May 2018 equity offering. We intend to continue acquiring acreage and mineral interests, principally in the Delaware Basin, during the remainder of 2018. These expenditures are opportunity-specific and per-acre prices can vary significantly based on the prospect. As a result, it is difficult to estimate these remaining 2018 capital expenditures with any degree of certainty; therefore, we have not provided estimated capital expenditures related to acreage and mineral acquisitions for the remainder of 2018.</w:t>
      </w:r>
    </w:p>
    <w:p>
      <w:pPr>
        <w:spacing w:after="0" w:line="7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2018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remainder of 2018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2018 and the hedges we currently have in place.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 at June 30, 2018.</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six months ended June 30, 2018 and 2017 are presented below:</w:t>
      </w:r>
    </w:p>
    <w:p>
      <w:pPr>
        <w:spacing w:after="0" w:line="172"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457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(369,695)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280,385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180,818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restricted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(67,635)</w:t>
            </w: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1"/>
        </w:trPr>
        <w:tc>
          <w:tcPr>
            <w:tcW w:w="858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254,592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142,611</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__________________</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5" w:lineRule="exact"/>
        <w:rPr>
          <w:sz w:val="20"/>
          <w:szCs w:val="20"/>
          <w:color w:val="auto"/>
        </w:rPr>
      </w:pPr>
    </w:p>
    <w:p>
      <w:pPr>
        <w:ind w:left="340" w:right="46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provided by operating activities increased $133.0 million to $254.2 million for the six months ended June 30, 2018 from $121.2 million for the six months ended June 30, 2017. Excluding changes in operating assets and liabilities, net cash provided by operating activities increased to $251.0 million for the six months ended June 30, 2018 from $130.9 million for the six months ended June 30, 2017. This increase was primarily attributable to higher oil and natural gas production and higher oil prices. Changes in our operating assets and liabilities between the two periods resulted in a net increase of approximately $12.8 million in net cash provided by operating activities for the six months ended June 30, 2018, as compared to the six months ended June 30, 2017.</w:t>
      </w:r>
    </w:p>
    <w:p>
      <w:pPr>
        <w:spacing w:after="0" w:line="8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 In addition, we attempt to avoid long-term service agreements where possible in order to minimize ongoing future commitments.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Net cash used in investing activities increased by $123.9 million to $493.6 million for the six months ended June 30, 2018 from $369.7 million for the six months ended June 30, 2017. This increase in net cash used in investing activities is primarily due to an increase of $92.7 million in oil and natural gas properties capital expenditures for the six months ended June 30, 2018, as compared to the six months ended June 30, 2017. Cash used for oil and natural gas properties capital expenditures for the six months ended June 30, 2018 was primarily attributable to the acquisition of additional leasehold and mineral interests and to our operated and non-operated drilling and completion activities in the Delaware Basin. The remaining increase was attributable to an increase in cash used for midstream and other property and equipment of $37.8 million primarily related to capital expenditures for San Mateo, which was partially offset by a net increase of $6.6 million in proceeds from the sale of acreage.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Net cash provided by financing activities increased by $99.6 million to $280.4 million for the six months ended June 30, 2018 from $180.8 million for the six months ended June 30, 2017. During the six months ended June 30, 2018, we received net proceeds of $226.5 million from our May 2018 public equity offering, as well as an increase of $39.2 million in contributions from non-controlling interest owners in less-than-wholly-owned subsidiaries. These increases were offset by a decrease of $156.8 million in contributions related to the formation of San Mateo in 2017 as well as an increase of $8.6 million in distributions to non-controlling interest owners in less-than-wholly-owned subsidiaries.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w:t>
      </w:r>
    </w:p>
    <w:p>
      <w:pPr>
        <w:ind w:right="220"/>
        <w:spacing w:after="0" w:line="261" w:lineRule="auto"/>
        <w:rPr>
          <w:sz w:val="20"/>
          <w:szCs w:val="20"/>
          <w:color w:val="auto"/>
        </w:rPr>
      </w:pPr>
      <w:r>
        <w:rPr>
          <w:rFonts w:ascii="Arial" w:cs="Arial" w:eastAsia="Arial" w:hAnsi="Arial"/>
          <w:sz w:val="18"/>
          <w:szCs w:val="18"/>
          <w:color w:val="auto"/>
        </w:rPr>
        <w:t>Adjusted EBITDA is a supplemental non-GAAP financial measure that is used by management and external users of our consolidated financial statements, such as industry analysts, investors, lenders and rating agencies.</w:t>
      </w:r>
    </w:p>
    <w:p>
      <w:pPr>
        <w:spacing w:after="0" w:line="1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480" w:type="dxa"/>
            <w:vAlign w:val="bottom"/>
          </w:tcPr>
          <w:p>
            <w:pPr>
              <w:jc w:val="right"/>
              <w:ind w:right="788"/>
              <w:spacing w:after="0"/>
              <w:rPr>
                <w:sz w:val="20"/>
                <w:szCs w:val="20"/>
                <w:color w:val="auto"/>
              </w:rPr>
            </w:pPr>
            <w:r>
              <w:rPr>
                <w:rFonts w:ascii="Arial" w:cs="Arial" w:eastAsia="Arial" w:hAnsi="Arial"/>
                <w:sz w:val="14"/>
                <w:szCs w:val="14"/>
                <w:b w:val="1"/>
                <w:bCs w:val="1"/>
                <w:color w:val="auto"/>
              </w:rPr>
              <w:t>June 30,</w:t>
            </w:r>
          </w:p>
        </w:tc>
      </w:tr>
      <w:tr>
        <w:trPr>
          <w:trHeight w:val="258"/>
        </w:trPr>
        <w:tc>
          <w:tcPr>
            <w:tcW w:w="6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37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59,806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28,509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119,700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72,493</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65,637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130,561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77,587</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66,838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41,274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122,207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75,266</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Unrealized gain on derivatives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(33,821)</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gain on asset sales and inventory impairment</w:t>
            </w: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148,510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(5,899)</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Adjusted EBITDA attributable to Matador Resources Company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137,338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254,592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142,611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268"/>
        </w:trPr>
        <w:tc>
          <w:tcPr>
            <w:tcW w:w="6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3"/>
                <w:szCs w:val="23"/>
                <w:color w:val="auto"/>
              </w:rPr>
            </w:pPr>
          </w:p>
        </w:tc>
        <w:tc>
          <w:tcPr>
            <w:tcW w:w="20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r>
      <w:tr>
        <w:trPr>
          <w:trHeight w:val="211"/>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1"/>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118,059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59,933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254,208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121,242</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17,615</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w w:val="98"/>
              </w:rPr>
              <w:t>Adjusted EBITDA attributable to Matador Resources Company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137,338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254,592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142,611</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income attributable to Matador Resources Company shareholders increased by $31.3 million to $59.8 million for the three months ended June 30, 2018, as compared to $28.5 million for the three months ended June 30, 2017. This increase in net income attributable to Matador Resources Company shareholders for the three months ended June 30, 2018 as compared to the three months ended June 30, 2017 is primarily attributable to the increase in oil and natural gas revenues of $95.3 million, partially offset by an $11.8 million decrease in unrealized gain on derivatives and a $46.8 million increase in total expenses.</w:t>
      </w:r>
    </w:p>
    <w:p>
      <w:pPr>
        <w:spacing w:after="0" w:line="8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Net income attributable to Matador Resources Company shareholders increased by $47.2 million to $119.7 million for the six months ended June 30, 2018, as compared to $72.5 million for the six months ended June 30, 2017. This increase in net income attributable to Matador Resources Company shareholders for the six months ended June 30, 2018 as compared to the six months ended June 30, 2017 is primarily attributable to the increase in oil and natural gas revenues of $162.4 million, partially offset by a $22.0 million decrease in unrealized gain on derivatives and an $84.0 million increase in total expenses.</w:t>
      </w:r>
    </w:p>
    <w:p>
      <w:pPr>
        <w:spacing w:after="0" w:line="8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Adjusted EBITDA, a non-GAAP financial measure, increased by $64.7 million to $137.3 million for the three months ended June 30, 2018, as compared to $72.7 million for the three months ended June 30, 2017. This increase in our Adjusted EBITDA is primarily attributable to higher oil and natural gas production and higher oil prices for the three months ended June 30, 2018, as compared to the three months ended June 30, 2017.</w:t>
      </w:r>
    </w:p>
    <w:p>
      <w:pPr>
        <w:spacing w:after="0" w:line="5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Adjusted EBITDA, a non-GAAP financial measure, increased by $112.0 million to $254.6 million for the six months ended June 30, 2018, as compared to $142.6 million for the six months ended June 30, 2017. This increase in our Adjusted EBITDA is primarily attributable to higher oil and natural gas production and higher oil prices for the six months ended June 30, 2018, as compared to the six months ended June 30,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 of June 30, 2018, the material off-balance sheet arrangements and transactions that we have entered into include (i) operating lease agreements, (ii) non-operated drilling commitments, (iii) termination obligations under drilling rig contracts, (iv) firm transportation, gathering, processing and disposal commitments and (v)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7"/>
              </w:rPr>
              <w:t>Less</w:t>
            </w:r>
          </w:p>
        </w:tc>
        <w:tc>
          <w:tcPr>
            <w:tcW w:w="22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5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Than</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80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line="270" w:lineRule="exact"/>
              <w:rPr>
                <w:sz w:val="20"/>
                <w:szCs w:val="20"/>
                <w:color w:val="auto"/>
              </w:rPr>
            </w:pPr>
            <w:r>
              <w:rPr>
                <w:rFonts w:ascii="Arial" w:cs="Arial" w:eastAsia="Arial" w:hAnsi="Arial"/>
                <w:sz w:val="18"/>
                <w:szCs w:val="18"/>
                <w:color w:val="auto"/>
              </w:rPr>
              <w:t>Revolving credit borrowings, including letters of credit</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47,190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47,190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32,439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29,547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23,993</w:t>
            </w:r>
          </w:p>
        </w:tc>
        <w:tc>
          <w:tcPr>
            <w:tcW w:w="0" w:type="dxa"/>
            <w:vAlign w:val="bottom"/>
          </w:tcPr>
          <w:p>
            <w:pPr>
              <w:spacing w:after="0"/>
              <w:rPr>
                <w:sz w:val="1"/>
                <w:szCs w:val="1"/>
                <w:color w:val="auto"/>
              </w:rPr>
            </w:pP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5"/>
              </w:rPr>
              <w:t>Natural gas transportation, gathering and processing agreements with</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line="257" w:lineRule="exact"/>
              <w:rPr>
                <w:sz w:val="20"/>
                <w:szCs w:val="20"/>
                <w:color w:val="auto"/>
              </w:rPr>
            </w:pPr>
            <w:r>
              <w:rPr>
                <w:rFonts w:ascii="Arial" w:cs="Arial" w:eastAsia="Arial" w:hAnsi="Arial"/>
                <w:sz w:val="18"/>
                <w:szCs w:val="18"/>
                <w:color w:val="auto"/>
              </w:rPr>
              <w:t>non-affiliates</w:t>
            </w:r>
            <w:r>
              <w:rPr>
                <w:rFonts w:ascii="Arial" w:cs="Arial" w:eastAsia="Arial" w:hAnsi="Arial"/>
                <w:sz w:val="25"/>
                <w:szCs w:val="25"/>
                <w:color w:val="auto"/>
                <w:vertAlign w:val="superscript"/>
              </w:rPr>
              <w:t>(5)</w:t>
            </w:r>
          </w:p>
        </w:tc>
        <w:tc>
          <w:tcPr>
            <w:tcW w:w="2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451,087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86,559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90,815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265,234</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Gathering, processing and disposal agreements with San Mateo</w:t>
            </w:r>
            <w:r>
              <w:rPr>
                <w:rFonts w:ascii="Arial" w:cs="Arial" w:eastAsia="Arial" w:hAnsi="Arial"/>
                <w:sz w:val="25"/>
                <w:szCs w:val="25"/>
                <w:color w:val="auto"/>
                <w:w w:val="99"/>
                <w:vertAlign w:val="superscript"/>
              </w:rPr>
              <w:t>(6)</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222,614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75,205</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Natural gas construction contracts</w:t>
            </w:r>
            <w:r>
              <w:rPr>
                <w:rFonts w:ascii="Arial" w:cs="Arial" w:eastAsia="Arial" w:hAnsi="Arial"/>
                <w:sz w:val="25"/>
                <w:szCs w:val="25"/>
                <w:color w:val="auto"/>
                <w:vertAlign w:val="superscript"/>
              </w:rPr>
              <w:t>(7)</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15,474</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15,474</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1,396,290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106,728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165,531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751,482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372,549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12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June 30, 2018, we had no borrowings outstanding under our Credit Agreement and approximately $3.0 million in outstanding letters of credit issued pursuant to the Credit Agreement. The Credit Agreement matures in October 2020.</w:t>
      </w:r>
    </w:p>
    <w:p>
      <w:pPr>
        <w:spacing w:after="0" w:line="65"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our 6.875% senior notes due 2023 that are outstanding as of June 30, 2018 is expected to be approximately $39.5 million each year until maturity.</w:t>
      </w:r>
    </w:p>
    <w:p>
      <w:pPr>
        <w:spacing w:after="0" w:line="65"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June 30, 2018, we had outstanding commitments to participate in the drilling and completion of various non-operated wells. Our working interests in these wells are typically small, and certain of these wells were in progress at June 30, 2018. If all of these wells are drilled and completed, we will have minimum outstanding aggregate commitments for our participation in these wells of approximately $47.2 million at June 30, 2018, which we expect to incur within the next year.</w:t>
      </w:r>
    </w:p>
    <w:p>
      <w:pPr>
        <w:spacing w:after="0" w:line="77"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 See Note 9 to the interim unaudited condensed consolidated financial statements in this Quarterly Report for more information regarding these contractual commitments.</w:t>
      </w:r>
    </w:p>
    <w:p>
      <w:pPr>
        <w:spacing w:after="0" w:line="65" w:lineRule="exact"/>
        <w:rPr>
          <w:rFonts w:ascii="Arial" w:cs="Arial" w:eastAsia="Arial" w:hAnsi="Arial"/>
          <w:sz w:val="14"/>
          <w:szCs w:val="14"/>
          <w:color w:val="auto"/>
        </w:rPr>
      </w:pPr>
    </w:p>
    <w:p>
      <w:pPr>
        <w:ind w:left="340" w:hanging="332"/>
        <w:spacing w:after="0" w:line="265"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late 2015, we entered into a 15-year fixed-fee natural gas gathering and processing agreement for a significant portion of our operated natural gas production in Loving County, Texas. In late 2017, we entered into an 18-year fixed-fee natural gas transportation agreement where we committed to deliver a portion of the residue natural gas production at the tailgate of the Black River Processing Plant to transport through the counterparty’s pipeline in Eddy County, New Mexico. In late 2017, we also entered into a fixed-fee NGL transportation and fractionation agreement whereby we committed to deliver our NGL production at the tailgate of the Black River Processing Plant. We have committed to deliver a minimum amount of NGLs to the counterparty upon construction and completion of a pipeline expansion and a fractionation facility by the counterparty, which is currently expected to be completed late in 2019. We have no rights to compel the counterparty to construct this pipeline extension or fractionation facility. If the counterparty does not construct the pipeline extension and fractionation facility, then we do not have any minimum volume commitments under the agreement. If the counterparty constructs the pipeline extension and fractionation facility on or prior to February 28, 2021, then we will have a commitment to deliver a minimum amount of NGLs for seven years following the completion of the pipeline extension and fractionation facility. If we do not meet our NGL volume commitment in any quarter during the seven-year commitment period, we will be required to pay a deficiency fee per gallon of NGL deficiency. The amounts in the table assume that the seven-year period containing minimum NGL volume commitments begins in late 2019. In the second quarter of 2018, we entered into a 16-year, fixed fee natural gas transportation agreement that begins on October 1, 2019, whereby we committed to deliver a portion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100"/>
        <w:spacing w:after="0" w:line="425" w:lineRule="auto"/>
        <w:rPr>
          <w:sz w:val="20"/>
          <w:szCs w:val="20"/>
          <w:color w:val="auto"/>
        </w:rPr>
      </w:pPr>
      <w:r>
        <w:rPr>
          <w:rFonts w:ascii="Arial" w:cs="Arial" w:eastAsia="Arial" w:hAnsi="Arial"/>
          <w:sz w:val="13"/>
          <w:szCs w:val="13"/>
          <w:color w:val="auto"/>
        </w:rPr>
        <w:t>of the residue natural gas production at the tailgate of the Black River Processing Plant to transport through the counterparty’s pipeline. Additionally, in the second quarter of 2018, we entered into a short-term natural gas transportation agreement whereby we committed to deliver a portion of the residue natural gas production at the tailgate of the Black River Processing Plant to transport through the counterparty’s pipeline. Lastly, in the second quarter of 2018, we entered into a 10-year, fixed-fee natural gas sales agreement whereby we committed to deliver residue natural gas through the counterparty’s pipeline to the Texas Gulf Coast beginning on the in-service date for such pipeline, which is expected to be operational in late 2019. See Note 9 to the interim unaudited condensed consolidated financial statements in this Quarterly Report for more information regarding these contractual commitments.</w:t>
      </w:r>
    </w:p>
    <w:p>
      <w:pPr>
        <w:spacing w:after="0" w:line="13" w:lineRule="exact"/>
        <w:rPr>
          <w:sz w:val="20"/>
          <w:szCs w:val="20"/>
          <w:color w:val="auto"/>
        </w:rPr>
      </w:pPr>
    </w:p>
    <w:p>
      <w:pPr>
        <w:ind w:left="340" w:right="20" w:hanging="332"/>
        <w:spacing w:after="0" w:line="252"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February 2017, we dedicated our current and future leasehold interests in the Rustler Breaks and Wolf asset areas pursuant to 15-year, fixed-fee natural gas, oil and salt water gathering agreements and salt water disposal agreements. In addition, effective February 1, 2017, we dedicated our current and future leasehold interests in the Rustler Breaks asset area pursuant to a 15-year, fixed-fee natural gas processing agreement. See Note 9 to the interim unaudited condensed consolidated financial statements in this Quarterly Report for more information regarding these contractual commitments.</w:t>
      </w:r>
    </w:p>
    <w:p>
      <w:pPr>
        <w:spacing w:after="0" w:line="80" w:lineRule="exact"/>
        <w:rPr>
          <w:rFonts w:ascii="Arial" w:cs="Arial" w:eastAsia="Arial" w:hAnsi="Arial"/>
          <w:sz w:val="14"/>
          <w:szCs w:val="14"/>
          <w:color w:val="auto"/>
        </w:rPr>
      </w:pPr>
    </w:p>
    <w:p>
      <w:pPr>
        <w:ind w:left="340" w:right="120" w:hanging="332"/>
        <w:spacing w:after="0" w:line="252"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Beginning in May 2017, a subsidiary of San Mateo entered into certain agreements with third parties for the engineering, procurement, construction and installation of an expansion of the Black River Processing Plant. In addition, during the first quarter of 2018, a subsidiary of San Mateo entered into agreements for additional field compression and an amine gas treatment unit to maximize the operation of the Black River Processing Plant. See Note 9 to the interim unaudited condensed consolidated financial statements in this Quarterly Report for more information regarding these contractual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For the three months ended June 30, 2018, oil prices averaged $67.91 per Bbl, ranging from a high of $74.15 per Bbl in late June to a low of $62.06 per Bbl in early April, based upon the NYMEX West Texas Intermediate oil futures contract price for the earliest delivery date. We realized a weighted average oil price of $61.44 per Bbl ($60.52 per Bbl including realized losses from oil derivatives) for our oil production for the three months ended June 30, 2018, as compared to $46.01 per Bbl ($46.34 per Bbl including realized gains from oil derivatives) for our production for the three months ended June 30, 2017. At August 1, 2018, the NYMEX West Texas Intermediate oil futures contract for the earliest delivery date had remained essentially unchanged from the average price for the second quarter of 2018, settling at $67.66 per Bbl, which was a significant increase as compared to $49.16 per Bbl at August 1, 2017.</w:t>
      </w:r>
    </w:p>
    <w:p>
      <w:pPr>
        <w:spacing w:after="0" w:line="5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For the three months ended June 30, 2018, natural gas prices averaged $2.83 per MMBtu, ranging from a high of approximately $3.02 per MMBtu in mid-June to a low of approximately $2.66 per MMBtu in mid-April, based upon the NYMEX Henry Hub natural gas futures contract price for the earliest delivery date. We realized a weighted average natural gas price of $3.38 per Mcf (with essentially no realized gains or losses from natural gas derivatives) for our natural gas production (including revenues attributable to NGLs) for the three months ended June 30, 2018, as compared to $3.40 per Mcf ($3.39 per Mcf, including realized losses from natural gas derivatives) for our natural gas production (including revenues attributable to NGLs) for the three months ended June 30, 2017. At August 1, 2018, the NYMEX Henry Hub natural gas futures contract for the earliest delivery date had slightly decreased from the average price for the second quarter of 2018, settling at $2.76 per MMBtu, which was also a slight decrease as compared to $2.82 per MMBtu at August 1, 2017.</w:t>
      </w:r>
    </w:p>
    <w:p>
      <w:pPr>
        <w:spacing w:after="0" w:line="5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prices we receive for oil, natural gas and NGLs heavily influence our revenue, profitability, cash flow available for capital expenditures, access to capital and future rate of growth. Oil, natural gas and NGLs are commodities, and therefore, their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We are uncertain if oil and natural gas prices may rise from their current levels, and in fact, oil and natural gas prices may decrease in future periods.</w:t>
      </w:r>
    </w:p>
    <w:p>
      <w:pPr>
        <w:spacing w:after="0" w:line="8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From time to time, we use derivative financial instruments to mitigate our exposure to commodity price risk associated with oil, natural gas and NGL prices and basis differentials.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46"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In addition, the prices we receive for our oil and natural gas production often reflect a discount to the relevant benchmark prices, such as the NYMEX West Texas Intermediate oil price or the NYMEX Henry Hub natural gas price. The difference between these benchmark prices and the price we receive is called a differential. At June 30, 2018, most of our oil production from the Delaware Basin was sold based on prices established in Midland, Texas and most of our natural gas production from the Delaware Basin was sold based on prices established at the Waha Hub in far West Texas. During the first quarter of 2018, the price differentials for oil sold in Midland and natural gas sold at the Waha Hub compared to the benchmark prices for oil and natural gas, respectively, began to widen significantly, and these differentials widened further in the second quarter. These widening differentials negatively impacted our oil and natural gas revenues in the second quarter of 2018, especially in the latter portion of the quarter. These differentials, particularly for oil, have continued to widen since June 30, 2018 and are expected to further negatively impact our oil and natural gas revenues in the third quarter of 2018.</w:t>
      </w:r>
    </w:p>
    <w:p>
      <w:pPr>
        <w:spacing w:after="0" w:line="5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early August 2018, these price differentials were approximately ($16.00) per barrel for oil and ($1.00) per MMBtu for natural gas. We anticipate that these widening price differentials could persist for 12 to 18 months or longer until additional oil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natural gas pipeline capacity from West Texas to the Texas Gulf Coast and other end markets is completed; however, we can provide no assurances as to how long these widening differentials may persist and, in fact, these price differentials could widen further in future periods. At June 30, 2018, we had approximately 50% of our anticipated Delaware Basin oil production for the second half of 2018 hedged at a weighted average basis differential swap price of ($1.02) per barrel to help mitigate our exposure to these widening oil basis differentials. See Note 7 to the interim unaudited condensed consolidated financial statements in this Quarterly Report for a summary of these oil basis swaps. At June 30, 2018, we had no hedges in place to mitigate our exposure to basis differentials for our natural gas production in 2018 and no basis hedges in place for either oil or natural gas in 2019 or beyond.</w:t>
      </w:r>
    </w:p>
    <w:p>
      <w:pPr>
        <w:spacing w:after="0" w:line="5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These widening basis differentials are largely attributable to industry concerns regarding the near-term sufficiency of pipeline takeaway capacity for oil, natural gas and NGL production in the Delaware Basin. At August 1, 2018, we had not experienced any pipeline-related interruptions to our oil, natural gas or NGL production during 2018. If we do experience any such interruptions, our oil and natural gas revenues, business, financial condition, results of operations and cash flows could be adversely affected.</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Coinciding with the improvements in oil and natural gas prices since the latter part of 2016, we have experienced price increases from certain of our service providers for some of the products and services we use in our drilling, completion and production operations. If oil and natural gas prices remain at their current levels or increase further, we could experience additional price increases for drilling, completion and production products and services, although we can provide no estimates as to the eventual magnitude of these increases.</w:t>
      </w:r>
    </w:p>
    <w:p>
      <w:pPr>
        <w:spacing w:after="0" w:line="7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properties are subject to natural production declines. By their nature, our oil and natural gas wells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certain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w:t>
      </w:r>
    </w:p>
    <w:p>
      <w:pPr>
        <w:spacing w:after="0" w:line="8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2017, which are disclosed in Part II, Item 7A of the Annual Report and incorporated herein by reference.</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5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June 30, 2018, RBC,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at June 30, 2018. Such information is incorporated herein by reference.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2018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June 30, 2018 that have materially affected or are reasonably likely to have a material effect on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party to several lawsuits encountered in the ordinary course of business. While the ultimate outcome and impact to us cannot be predicted with certainty, in the opinion of management, it is remote that these lawsuits will have a material adverse impact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the quarter ended June 30, 2018,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Per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5"/>
                <w:szCs w:val="25"/>
                <w:b w:val="1"/>
                <w:bCs w:val="1"/>
                <w:color w:val="auto"/>
                <w:w w:val="83"/>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to April 30, 2018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May 1, 2018 to May 31, 2018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1"/>
                <w:szCs w:val="21"/>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to June 30, 2018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The shares were not re-acquired pursuant to any repurchase plan or program.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Effective August 1, 2018, the Company entered into a First Amendment (the “Goodwin Amendment”) to that certain Employment Agreement with Billy E. Goodwin, Executive Vice President and Head of Operations, effective February 19, 2016 (the “2016 Agreement”). In connection with Mr. Goodwin’s promotion to his current position, the Goodwin Amendment increases the payment Mr. Goodwin would receive upon termination for certain specified reasons, including by the Company other than for “just cause” or by Mr. Goodwin for “good reason,” to an amount equal to one and one half times his then-current salary plus an amount equal to one and one half times the average of his annual bonuses with respect to the prior two years. In connection with termination by the Company without “just cause” or by Mr. Goodwin with “good reason” in contemplation of or following a “change in control,” the Amendment increases the payment Mr. Goodwin would receive to an amount equal to three times his then-current base salary plus an amount equal to three times the average of his annual bonuses with respect to the prior two years. The Goodwin Amendment also lengthens the restricted period of the non-compete and non-solicit provisions of the 2016 Agreement to 24 months. The description of the Goodwin Amendment set forth above is qualified in its entirety by reference to the terms of the Goodwin Amendment, a copy of which is filed as Exhibit 10.1 to this Quarterly Report and is incorporated herein by reference.</w:t>
      </w:r>
    </w:p>
    <w:p>
      <w:pPr>
        <w:spacing w:after="0" w:line="6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Effective August 1, 2018, the Company entered into an Amended and Restated Employment Agreement (the “Robinson Amendment”) with Bradley M. Robinson, Executive Vice President - Reservoir Engineering and Chief Technology Officer. The Robinson Amendment amends and restates the prior Employment Agreement between the Company and Mr. Robinson dated August 9, 2011, as amended to date (as amended, the “2011 Agreement”). In connection with Mr. Robinson’s promotion to his current position, the Robinson Amendment makes the same changes to the 2011 Agreement as are described above with respect to the Goodwin Amendment for termination of employment without “just cause” or for “good reason,” including following a “change in control.”</w:t>
      </w:r>
    </w:p>
    <w:p>
      <w:pPr>
        <w:spacing w:after="0" w:line="8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the Company has done for any employment agreements for executive officers entered into since 2014, the Robinson Amendment includes a “double trigger” change in control provision such that in contemplation of or following a “change in control,” if the Company terminates Mr. Robinson without “just cause” or he terminates his employment with “good reason,” the Company will pay the same amounts described above with respect to the Goodwin Amendment. In addition, among other changes, the Robinson Amendment expands the definition of “just cause” to the definition substantially set forth in the Company’s Proxy Statement for the Annual Meeting of Shareholders held on June 7, 2018 filed on April 26, 2018 (the “Proxy Statement”) and incorporated herein by reference.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description of the Robinson Amendment set forth above is qualified in its entirety by reference to the terms of the Robinson Amendment, a copy of which is filed as Exhibit 10.2 to this Quarterly Report and is incorporated herein by reference.</w:t>
      </w:r>
    </w:p>
    <w:p>
      <w:pPr>
        <w:spacing w:after="0" w:line="62"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All references to “just cause,” “good reason” and “change in control” in this Item 5 shall have the meanings substantially as set forth in the Proxy Statement and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6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6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60" w:type="dxa"/>
            <w:vAlign w:val="bottom"/>
            <w:tcBorders>
              <w:top w:val="single" w:sz="8" w:color="auto"/>
              <w:bottom w:val="single" w:sz="8" w:color="0000FF"/>
            </w:tcBorders>
            <w:gridSpan w:val="16"/>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Certificate of Merger between Matador Resources Company (now known as MRC Energy Company) and Matador Merger Co. (incorporated</w:t>
              </w:r>
            </w:hyperlink>
          </w:p>
        </w:tc>
        <w:tc>
          <w:tcPr>
            <w:tcW w:w="1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by reference to Exhibit 3.4 to the Registration Statement on Form S-1 filed on August 12, 2011).</w:t>
              </w:r>
            </w:hyperlink>
          </w:p>
        </w:tc>
        <w:tc>
          <w:tcPr>
            <w:tcW w:w="3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Report on Form 10-Q for the quarter ended June 30, 2017).</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w w:val="97"/>
              </w:rPr>
            </w:pPr>
            <w:hyperlink r:id="rId91">
              <w:r>
                <w:rPr>
                  <w:rFonts w:ascii="Arial" w:cs="Arial" w:eastAsia="Arial" w:hAnsi="Arial"/>
                  <w:sz w:val="18"/>
                  <w:szCs w:val="18"/>
                  <w:color w:val="0000FF"/>
                  <w:w w:val="97"/>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(incorporated by reference to Exhibit 3.3 to the Quarterly Report on Form 10-Q for the quarter ended June 30, 2017).</w:t>
              </w:r>
            </w:hyperlink>
          </w:p>
        </w:tc>
        <w:tc>
          <w:tcPr>
            <w:tcW w:w="1220" w:type="dxa"/>
            <w:vAlign w:val="bottom"/>
            <w:tcBorders>
              <w:top w:val="single" w:sz="8" w:color="0000FF"/>
            </w:tcBorders>
            <w:gridSpan w:val="5"/>
          </w:tcPr>
          <w:p>
            <w:pPr>
              <w:spacing w:after="0"/>
              <w:rPr>
                <w:sz w:val="17"/>
                <w:szCs w:val="17"/>
                <w:color w:val="auto"/>
              </w:rPr>
            </w:pPr>
          </w:p>
        </w:tc>
        <w:tc>
          <w:tcPr>
            <w:tcW w:w="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Certificate of Amendment to the Amended and Restated Certificate of Formation of Matador Resources Company effective June 2, 2017</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(incorporated by reference to Exhibit 3.4 to the Quarterly Report on Form 10-Q for the quarter ended June 30, 2017).</w:t>
              </w:r>
            </w:hyperlink>
          </w:p>
        </w:tc>
        <w:tc>
          <w:tcPr>
            <w:tcW w:w="19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tcBorders>
              <w:bottom w:val="single" w:sz="8" w:color="0000FF"/>
            </w:tcBorders>
            <w:gridSpan w:val="15"/>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Amended and Restated Bylaws of Matador Resources Company, as amended (incorporated by reference to Exhibit 3.1 to the Current Report</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on Form 8-K filed on February 22,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First Amendment to the Employment Agreement between Matador Resources Company and Billy E. Goodwin (filed herewith).</w:t>
              </w:r>
            </w:hyperlink>
          </w:p>
        </w:tc>
        <w:tc>
          <w:tcPr>
            <w:tcW w:w="1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Amended and Restated Employment Agreement between Matador Resources Company and Bradley M. Robinson (filed herewith).</w:t>
              </w:r>
            </w:hyperlink>
          </w:p>
        </w:tc>
        <w:tc>
          <w:tcPr>
            <w:tcW w:w="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Consent of Netherland, Sewell &amp; Associates, Inc.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24"/>
                <w:szCs w:val="24"/>
                <w:color w:val="auto"/>
              </w:rPr>
            </w:pPr>
          </w:p>
        </w:tc>
        <w:tc>
          <w:tcPr>
            <w:tcW w:w="1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of 2002 (furnished herewith).</w:t>
              </w:r>
            </w:hyperlink>
          </w:p>
        </w:tc>
        <w:tc>
          <w:tcPr>
            <w:tcW w:w="8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of 2002 (furnished herewith).</w:t>
              </w:r>
            </w:hyperlink>
          </w:p>
        </w:tc>
        <w:tc>
          <w:tcPr>
            <w:tcW w:w="8100" w:type="dxa"/>
            <w:vAlign w:val="bottom"/>
            <w:tcBorders>
              <w:top w:val="single" w:sz="8" w:color="0000FF"/>
            </w:tcBorders>
            <w:gridSpan w:val="1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73">
              <w:r>
                <w:rPr>
                  <w:rFonts w:ascii="Arial" w:cs="Arial" w:eastAsia="Arial" w:hAnsi="Arial"/>
                  <w:sz w:val="18"/>
                  <w:szCs w:val="18"/>
                  <w:color w:val="0000FF"/>
                  <w:w w:val="92"/>
                </w:rPr>
                <w:t>Audit report of Netherland, Sewell &amp; Associates, Inc. (filed herewith).</w:t>
              </w:r>
            </w:hyperlink>
          </w:p>
        </w:tc>
        <w:tc>
          <w:tcPr>
            <w:tcW w:w="52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80" w:right="100" w:hanging="680"/>
        <w:spacing w:after="0" w:line="25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Quarterly Report on Form 10-Q for the quarter ended June 30, 2018 formatted in XBRL (eXtensible Business Reporting Language): (i) the Condensed Consolidated Balance Sheets - Unaudited, (ii) the Condensed Consolidated Statements of Operations - Unaudited, (iii) the Condensed Consolidated Statement of Changes in Shareholders’ Equity - Unaudited, (iv) the Condensed Consolidated Statements of Cash Flows - Unaudited and (v) the Notes to Condensed Consolidated Financial Statements - Unaudited (submitted electronically herewith).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220" w:type="dxa"/>
            <w:vAlign w:val="bottom"/>
          </w:tcPr>
          <w:p>
            <w:pPr>
              <w:spacing w:after="0"/>
              <w:rPr>
                <w:sz w:val="20"/>
                <w:szCs w:val="20"/>
                <w:color w:val="auto"/>
              </w:rPr>
            </w:pPr>
            <w:r>
              <w:rPr>
                <w:rFonts w:ascii="Arial" w:cs="Arial" w:eastAsia="Arial" w:hAnsi="Arial"/>
                <w:sz w:val="18"/>
                <w:szCs w:val="18"/>
                <w:color w:val="auto"/>
              </w:rPr>
              <w:t>Date: August 3, 2018</w:t>
            </w:r>
          </w:p>
        </w:tc>
        <w:tc>
          <w:tcPr>
            <w:tcW w:w="2140" w:type="dxa"/>
            <w:vAlign w:val="bottom"/>
          </w:tcPr>
          <w:p>
            <w:pPr>
              <w:ind w:left="16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Date: August 3, 2018</w:t>
            </w:r>
          </w:p>
        </w:tc>
        <w:tc>
          <w:tcPr>
            <w:tcW w:w="2140" w:type="dxa"/>
            <w:vAlign w:val="bottom"/>
          </w:tcPr>
          <w:p>
            <w:pPr>
              <w:ind w:left="16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02"/>
        </w:trPr>
        <w:tc>
          <w:tcPr>
            <w:tcW w:w="3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First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employment agreement between Matador Resources Company, a Texas corporation (“</w:t>
      </w:r>
      <w:r>
        <w:rPr>
          <w:rFonts w:ascii="Arial" w:cs="Arial" w:eastAsia="Arial" w:hAnsi="Arial"/>
          <w:sz w:val="18"/>
          <w:szCs w:val="18"/>
          <w:u w:val="single" w:color="auto"/>
          <w:color w:val="auto"/>
        </w:rPr>
        <w:t>Matador</w:t>
      </w:r>
      <w:r>
        <w:rPr>
          <w:rFonts w:ascii="Arial" w:cs="Arial" w:eastAsia="Arial" w:hAnsi="Arial"/>
          <w:sz w:val="18"/>
          <w:szCs w:val="18"/>
          <w:color w:val="auto"/>
        </w:rPr>
        <w:t>”), acting through its Board of Directors, and Billy E. Goodwin (“</w:t>
      </w:r>
      <w:r>
        <w:rPr>
          <w:rFonts w:ascii="Arial" w:cs="Arial" w:eastAsia="Arial" w:hAnsi="Arial"/>
          <w:sz w:val="18"/>
          <w:szCs w:val="18"/>
          <w:u w:val="single" w:color="auto"/>
          <w:color w:val="auto"/>
        </w:rPr>
        <w:t>Employee</w:t>
      </w:r>
      <w:r>
        <w:rPr>
          <w:rFonts w:ascii="Arial" w:cs="Arial" w:eastAsia="Arial" w:hAnsi="Arial"/>
          <w:sz w:val="18"/>
          <w:szCs w:val="18"/>
          <w:color w:val="auto"/>
        </w:rPr>
        <w:t>”) dated February 19, 2016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and effective as of August 1,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Matador and Employee previously entered into the Agreement;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Matador and Employee desire to modify certain provisions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Matador and Employee hereby agree to amend the Agreement as follows, effective as of the date hereof:</w:t>
      </w:r>
    </w:p>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9(a)(ii) of the Agreement is amended by replacing the words “twelve (12) months” with “twenty-four (24) months.”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14(b) of the Agreement is restated in its entirety to provide as follows:</w:t>
      </w:r>
    </w:p>
    <w:p>
      <w:pPr>
        <w:spacing w:after="0" w:line="225" w:lineRule="exact"/>
        <w:rPr>
          <w:rFonts w:ascii="Arial" w:cs="Arial" w:eastAsia="Arial" w:hAnsi="Arial"/>
          <w:sz w:val="18"/>
          <w:szCs w:val="18"/>
          <w:color w:val="auto"/>
        </w:rPr>
      </w:pPr>
    </w:p>
    <w:p>
      <w:pPr>
        <w:ind w:left="660" w:right="100" w:firstLine="645"/>
        <w:spacing w:after="0" w:line="276" w:lineRule="auto"/>
        <w:tabs>
          <w:tab w:leader="none" w:pos="1698"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for a reason other than as described in Section 14(a) or (c), or is terminated by Employee for Good Reason pursuant to Section 12(g),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one and one half (1.5) times his then-current Base Salary as of the Date of Termination, plus an amount equal to one and one half (1.5) times the average annual amount of all bonuses paid to Employee with respect to the prior two (2) calendar years, in a lump sum, subject to Section 16(b), on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Date of Termination. Employee shall have no obligation to seek other employment, and any income so earned shall not reduce the foregoing amounts.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14(c) of the Agreement is restated in its entirety to provide as follows:</w:t>
      </w:r>
    </w:p>
    <w:p>
      <w:pPr>
        <w:spacing w:after="0" w:line="225" w:lineRule="exact"/>
        <w:rPr>
          <w:rFonts w:ascii="Arial" w:cs="Arial" w:eastAsia="Arial" w:hAnsi="Arial"/>
          <w:sz w:val="18"/>
          <w:szCs w:val="18"/>
          <w:color w:val="auto"/>
        </w:rPr>
      </w:pPr>
    </w:p>
    <w:p>
      <w:pPr>
        <w:ind w:left="660" w:right="20" w:firstLine="645"/>
        <w:spacing w:after="0" w:line="284" w:lineRule="auto"/>
        <w:tabs>
          <w:tab w:leader="none" w:pos="1688" w:val="left"/>
        </w:tabs>
        <w:numPr>
          <w:ilvl w:val="2"/>
          <w:numId w:val="23"/>
        </w:numPr>
        <w:rPr>
          <w:rFonts w:ascii="Arial" w:cs="Arial" w:eastAsia="Arial" w:hAnsi="Arial"/>
          <w:sz w:val="16"/>
          <w:szCs w:val="16"/>
          <w:color w:val="auto"/>
        </w:rPr>
      </w:pPr>
      <w:r>
        <w:rPr>
          <w:rFonts w:ascii="Arial" w:cs="Arial" w:eastAsia="Arial" w:hAnsi="Arial"/>
          <w:sz w:val="16"/>
          <w:szCs w:val="16"/>
          <w:color w:val="auto"/>
        </w:rPr>
        <w:t>If in contemplation of or following a Change in Control pursuant to Section 12(i), Employee’s employment is terminated by the Company without Just Cause or is terminated by Employee with Good Reason,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three (3) times the then-current Base Salary as of the Date of Termination, plus an amount equal to three (3) times the average annual amount of all bonuses paid to Employee with respect to the prior two (2) calendar years, in a lump sum, (A) on the date which immediately follows six (6) months from the Date of Termination or, if earlier, (B) within thirty</w:t>
      </w:r>
    </w:p>
    <w:p>
      <w:pPr>
        <w:spacing w:after="0" w:line="4" w:lineRule="exact"/>
        <w:rPr>
          <w:rFonts w:ascii="Arial" w:cs="Arial" w:eastAsia="Arial" w:hAnsi="Arial"/>
          <w:sz w:val="16"/>
          <w:szCs w:val="16"/>
          <w:color w:val="auto"/>
        </w:rPr>
      </w:pPr>
    </w:p>
    <w:p>
      <w:pPr>
        <w:ind w:left="660" w:right="120" w:hanging="4"/>
        <w:spacing w:after="0" w:line="254" w:lineRule="auto"/>
        <w:tabs>
          <w:tab w:leader="none" w:pos="10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days of Employee’s death, with the exact date of payment after Employee’s death to be determined by the Company. Immediately prior to such termination of employment, as contemplated in the prior sentence, all unvested equity incentive awards held by Employee shall vest, and the forfeiture provisions with respect to any such awards that are subject to forfeiture will terminate. Employee shall have no obligation to seek other employment and any income so earned shall not reduce the foregoing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WITNESS WHEREOF, Matador and Employee have duly executed this Amendment to be effective as of the date set forth above.</w:t>
      </w:r>
    </w:p>
    <w:p>
      <w:pPr>
        <w:sectPr>
          <w:pgSz w:w="11900" w:h="16838" w:orient="portrait"/>
          <w:cols w:equalWidth="0" w:num="1">
            <w:col w:w="9600"/>
          </w:cols>
          <w:pgMar w:left="900" w:top="625" w:right="13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MATADOR RESOURCES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By:</w:t>
        <w:tab/>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31750</wp:posOffset>
            </wp:positionV>
            <wp:extent cx="23069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Chairman of the Board and Chief</w:t>
      </w:r>
    </w:p>
    <w:p>
      <w:pPr>
        <w:spacing w:after="0" w:line="8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Billy E.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31750</wp:posOffset>
            </wp:positionV>
            <wp:extent cx="26498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Billy E. Goodwin,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Signature Page</w:t>
      </w:r>
    </w:p>
    <w:p>
      <w:pPr>
        <w:spacing w:after="0" w:line="2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600"/>
          </w:cols>
          <w:pgMar w:left="900" w:top="625" w:right="139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3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AMENDED AND RESTATED EMPLOYMENT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effective as of the Effective Date (as defined below) by and between Matador Resources Company, a Texas corporation (“</w:t>
      </w:r>
      <w:r>
        <w:rPr>
          <w:rFonts w:ascii="Arial" w:cs="Arial" w:eastAsia="Arial" w:hAnsi="Arial"/>
          <w:sz w:val="16"/>
          <w:szCs w:val="16"/>
          <w:u w:val="single" w:color="auto"/>
          <w:color w:val="auto"/>
        </w:rPr>
        <w:t>Matador</w:t>
      </w:r>
      <w:r>
        <w:rPr>
          <w:rFonts w:ascii="Arial" w:cs="Arial" w:eastAsia="Arial" w:hAnsi="Arial"/>
          <w:sz w:val="16"/>
          <w:szCs w:val="16"/>
          <w:color w:val="auto"/>
        </w:rPr>
        <w:t>”), which is the holding company of MRC Energy Company (“</w:t>
      </w:r>
      <w:r>
        <w:rPr>
          <w:rFonts w:ascii="Arial" w:cs="Arial" w:eastAsia="Arial" w:hAnsi="Arial"/>
          <w:sz w:val="16"/>
          <w:szCs w:val="16"/>
          <w:u w:val="single" w:color="auto"/>
          <w:color w:val="auto"/>
        </w:rPr>
        <w:t>MRC</w:t>
      </w:r>
      <w:r>
        <w:rPr>
          <w:rFonts w:ascii="Arial" w:cs="Arial" w:eastAsia="Arial" w:hAnsi="Arial"/>
          <w:sz w:val="16"/>
          <w:szCs w:val="16"/>
          <w:color w:val="auto"/>
        </w:rPr>
        <w:t>”), acting through its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Bradley M. Robinson (“</w:t>
      </w:r>
      <w:r>
        <w:rPr>
          <w:rFonts w:ascii="Arial" w:cs="Arial" w:eastAsia="Arial" w:hAnsi="Arial"/>
          <w:sz w:val="16"/>
          <w:szCs w:val="16"/>
          <w:u w:val="single" w:color="auto"/>
          <w:color w:val="auto"/>
        </w:rPr>
        <w:t>Employee</w:t>
      </w:r>
      <w:r>
        <w:rPr>
          <w:rFonts w:ascii="Arial" w:cs="Arial" w:eastAsia="Arial" w:hAnsi="Arial"/>
          <w:sz w:val="16"/>
          <w:szCs w:val="16"/>
          <w:color w:val="auto"/>
        </w:rPr>
        <w:t>”). For purposes of this Agreement, (i) the “</w:t>
      </w:r>
      <w:r>
        <w:rPr>
          <w:rFonts w:ascii="Arial" w:cs="Arial" w:eastAsia="Arial" w:hAnsi="Arial"/>
          <w:sz w:val="16"/>
          <w:szCs w:val="16"/>
          <w:u w:val="single" w:color="auto"/>
          <w:color w:val="auto"/>
        </w:rPr>
        <w:t>Company</w:t>
      </w:r>
      <w:r>
        <w:rPr>
          <w:rFonts w:ascii="Arial" w:cs="Arial" w:eastAsia="Arial" w:hAnsi="Arial"/>
          <w:sz w:val="16"/>
          <w:szCs w:val="16"/>
          <w:color w:val="auto"/>
        </w:rPr>
        <w:t>” shall mean Matador and MRC, and (ii) the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August 1, 2018, or such other date as the Board and Employee may agree.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Employee are parties to that certain employment agreement dated August 9, 2011 (as previously amended, the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Employee desire to enter into this Agreement to amend and restate the Prior Agreement and to set forth the terms and conditions of Employee’s employment with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the parties hereto, in consideration of the mutual covenants and promises hereinafter contained, do hereby agree as follows:</w:t>
      </w:r>
    </w:p>
    <w:p>
      <w:pPr>
        <w:spacing w:after="0" w:line="248" w:lineRule="exact"/>
        <w:rPr>
          <w:sz w:val="20"/>
          <w:szCs w:val="20"/>
          <w:color w:val="auto"/>
        </w:rPr>
      </w:pPr>
    </w:p>
    <w:p>
      <w:pPr>
        <w:jc w:val="both"/>
        <w:ind w:firstLine="656"/>
        <w:spacing w:after="0" w:line="286" w:lineRule="auto"/>
        <w:tabs>
          <w:tab w:leader="none" w:pos="97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The Company hereby agrees to employ Employee in the capacity of Executive Vice President - Reservoir Engineering and Chief Technology Officer, or in such other position or positions of the same or greater stature as the Board may direct or desire, to the extent reasonably acceptable to Employee, and Employee hereby accepts such employment, on the terms and subject to the conditions set forth herein.</w:t>
      </w:r>
    </w:p>
    <w:p>
      <w:pPr>
        <w:spacing w:after="0" w:line="165" w:lineRule="exact"/>
        <w:rPr>
          <w:rFonts w:ascii="Arial" w:cs="Arial" w:eastAsia="Arial" w:hAnsi="Arial"/>
          <w:sz w:val="17"/>
          <w:szCs w:val="17"/>
          <w:color w:val="auto"/>
        </w:rPr>
      </w:pPr>
    </w:p>
    <w:p>
      <w:pPr>
        <w:jc w:val="both"/>
        <w:ind w:firstLine="656"/>
        <w:spacing w:after="0" w:line="270" w:lineRule="auto"/>
        <w:tabs>
          <w:tab w:leader="none" w:pos="97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Employee’s principal duties and responsibilities shall be (a) to manage, generally, all of the Company’s reservoir engineering functions, subject to the supervision of the Chairman of the Board, the Chief Executive Officer, the President or the Chief Financial Officer, (b) such other duties and responsibilities as may be more fully described in Matador’s Bylaws for his position, and such other duties consistent with his position and (c) such other duties that are reasonably assigned to Employee from time to time by the Board, the Chairman of the Board or the Chief Executive Officer. Employee agrees to perform such services and duties and hold such offices as may be reasonably assigned to him from time to time by the Board, the Chairman of the Board or the Chief Executive Officer, consistent with his position, and to devote substantially his full time, energies and best efforts to the performance thereof to the exclusion of all other business activities, except reasonable and normal work for his personal affairs and estate and any other activities to which Matador may consent, and except for services to charitable, civic and/or professional organizations, to the extent such service does not materially and adversely impact Employee’s service to the Company.</w:t>
      </w:r>
    </w:p>
    <w:p>
      <w:pPr>
        <w:spacing w:after="0" w:line="181" w:lineRule="exact"/>
        <w:rPr>
          <w:rFonts w:ascii="Arial" w:cs="Arial" w:eastAsia="Arial" w:hAnsi="Arial"/>
          <w:sz w:val="17"/>
          <w:szCs w:val="17"/>
          <w:color w:val="auto"/>
        </w:rPr>
      </w:pPr>
    </w:p>
    <w:p>
      <w:pPr>
        <w:jc w:val="both"/>
        <w:ind w:firstLine="656"/>
        <w:spacing w:after="0" w:line="279" w:lineRule="auto"/>
        <w:tabs>
          <w:tab w:leader="none" w:pos="100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Employee’s employment shall be under the terms and conditions of this Agreement and shall expire at the end of eighteen (18) months from the Effective Date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subject to earlier termination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shall be extended automatically at the end of each month by one additional month unless by such date Matador or Employee gives written notice to the other that the Term shall not be further extended. Such notice must indicate that it shall have the effect of preventing any further extension of the Term.</w:t>
      </w:r>
    </w:p>
    <w:p>
      <w:pPr>
        <w:spacing w:after="0" w:line="171" w:lineRule="exact"/>
        <w:rPr>
          <w:rFonts w:ascii="Arial" w:cs="Arial" w:eastAsia="Arial" w:hAnsi="Arial"/>
          <w:sz w:val="17"/>
          <w:szCs w:val="17"/>
          <w:color w:val="auto"/>
        </w:rPr>
      </w:pPr>
    </w:p>
    <w:p>
      <w:pPr>
        <w:ind w:firstLine="656"/>
        <w:spacing w:after="0" w:line="277" w:lineRule="auto"/>
        <w:tabs>
          <w:tab w:leader="none" w:pos="101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Salary and Other Compensation</w:t>
      </w:r>
      <w:r>
        <w:rPr>
          <w:rFonts w:ascii="Arial" w:cs="Arial" w:eastAsia="Arial" w:hAnsi="Arial"/>
          <w:sz w:val="18"/>
          <w:szCs w:val="18"/>
          <w:color w:val="auto"/>
        </w:rPr>
        <w:t>. As compensation for the services to be rendered by Employee to the Company pursuant to this Agreement, Employee shall be paid the following compensation and other benefits:</w:t>
      </w:r>
    </w:p>
    <w:p>
      <w:pPr>
        <w:spacing w:after="0" w:line="170" w:lineRule="exact"/>
        <w:rPr>
          <w:rFonts w:ascii="Arial" w:cs="Arial" w:eastAsia="Arial" w:hAnsi="Arial"/>
          <w:sz w:val="18"/>
          <w:szCs w:val="18"/>
          <w:color w:val="auto"/>
        </w:rPr>
      </w:pPr>
    </w:p>
    <w:p>
      <w:pPr>
        <w:jc w:val="both"/>
        <w:ind w:left="820" w:firstLine="809"/>
        <w:spacing w:after="0" w:line="272" w:lineRule="auto"/>
        <w:tabs>
          <w:tab w:leader="none" w:pos="202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Employee shall receive an annualized salary of $525,000.00 per year, payable in installments in accordance with the Company’s then standard payroll practices, or such higher compensation as may be established by the Company from time to time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Should Employee become “</w:t>
      </w:r>
      <w:r>
        <w:rPr>
          <w:rFonts w:ascii="Arial" w:cs="Arial" w:eastAsia="Arial" w:hAnsi="Arial"/>
          <w:sz w:val="17"/>
          <w:szCs w:val="17"/>
          <w:u w:val="single" w:color="auto"/>
          <w:color w:val="auto"/>
        </w:rPr>
        <w:t>Partially Disabled</w:t>
      </w:r>
      <w:r>
        <w:rPr>
          <w:rFonts w:ascii="Arial" w:cs="Arial" w:eastAsia="Arial" w:hAnsi="Arial"/>
          <w:sz w:val="17"/>
          <w:szCs w:val="17"/>
          <w:color w:val="auto"/>
        </w:rPr>
        <w:t>,” which for purposes hereof means the inability because of any physical or emotional illness lasting no more than 90 days to perform his assigned duties under this Agreement for no less than 20 hours per week (and including any period of short term total absence due to illness or injury, including recovery from surgery, but in no event lasting more than the 90-day period of Partial Disability), and if Employee, during any period of Partial Disability, receives any periodic payments representing lost compensation under any health and accident policy or under any salary continuation insurance policy, the</w:t>
      </w:r>
    </w:p>
    <w:p>
      <w:pPr>
        <w:sectPr>
          <w:pgSz w:w="11900" w:h="16838" w:orient="portrait"/>
          <w:cols w:equalWidth="0" w:num="1">
            <w:col w:w="11420"/>
          </w:cols>
          <w:pgMar w:left="240" w:top="121" w:right="239" w:bottom="1440" w:gutter="0" w:footer="0" w:header="0"/>
        </w:sectPr>
      </w:pPr>
    </w:p>
    <w:bookmarkStart w:id="50" w:name="page51"/>
    <w:bookmarkEnd w:id="50"/>
    <w:p>
      <w:pPr>
        <w:jc w:val="both"/>
        <w:ind w:left="820"/>
        <w:spacing w:after="0" w:line="259" w:lineRule="auto"/>
        <w:rPr>
          <w:sz w:val="20"/>
          <w:szCs w:val="20"/>
          <w:color w:val="auto"/>
        </w:rPr>
      </w:pPr>
      <w:r>
        <w:rPr>
          <w:rFonts w:ascii="Arial" w:cs="Arial" w:eastAsia="Arial" w:hAnsi="Arial"/>
          <w:sz w:val="18"/>
          <w:szCs w:val="18"/>
          <w:color w:val="auto"/>
        </w:rPr>
        <w:t>premiums for which have been paid by the Company, the amount of Base Salary that Employee would be entitled to receive from the Company during the period of Partial Disability shall be decreased by the amounts of such payments. Notwithstanding the foregoing, should Employee become Totally Disabled, as defined in Section 12(b), during a period of Partial Disability, the provisions in Sections 12 and 14 with respect to Total Disability shall control.</w:t>
      </w:r>
    </w:p>
    <w:p>
      <w:pPr>
        <w:spacing w:after="0" w:line="187" w:lineRule="exact"/>
        <w:rPr>
          <w:sz w:val="20"/>
          <w:szCs w:val="20"/>
          <w:color w:val="auto"/>
        </w:rPr>
      </w:pPr>
    </w:p>
    <w:p>
      <w:pPr>
        <w:jc w:val="both"/>
        <w:ind w:left="820" w:firstLine="809"/>
        <w:spacing w:after="0" w:line="279" w:lineRule="auto"/>
        <w:tabs>
          <w:tab w:leader="none" w:pos="218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Annual Incentive Compensation</w:t>
      </w:r>
      <w:r>
        <w:rPr>
          <w:rFonts w:ascii="Arial" w:cs="Arial" w:eastAsia="Arial" w:hAnsi="Arial"/>
          <w:sz w:val="17"/>
          <w:szCs w:val="17"/>
          <w:color w:val="auto"/>
        </w:rPr>
        <w:t>. Employee shall be entitled to participate in the annual incentive plan for management maintained by Matador at a level to provide Employee with annual incentive compensation commensurate with Employee’s position and responsibilities, as determined by, and based on such performance objectives as established by the Strategic Planning and Compensation Committee of the Board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and the Board, in their sole discretion.</w:t>
      </w:r>
    </w:p>
    <w:p>
      <w:pPr>
        <w:spacing w:after="0" w:line="171" w:lineRule="exact"/>
        <w:rPr>
          <w:rFonts w:ascii="Arial" w:cs="Arial" w:eastAsia="Arial" w:hAnsi="Arial"/>
          <w:sz w:val="17"/>
          <w:szCs w:val="17"/>
          <w:color w:val="auto"/>
        </w:rPr>
      </w:pPr>
    </w:p>
    <w:p>
      <w:pPr>
        <w:jc w:val="both"/>
        <w:ind w:left="820" w:firstLine="809"/>
        <w:spacing w:after="0" w:line="264" w:lineRule="auto"/>
        <w:tabs>
          <w:tab w:leader="none" w:pos="205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xml:space="preserve"> Employee shall be entitled to participate in Matador’s Amended and Restated 2012 Long-Term Incentive Plan, or such other equity incentive plan as may exist in the future, with awards under any such plan to be determined by the Compensation Committee or the Board, in their discretion.</w:t>
      </w:r>
    </w:p>
    <w:p>
      <w:pPr>
        <w:spacing w:after="0" w:line="181" w:lineRule="exact"/>
        <w:rPr>
          <w:rFonts w:ascii="Arial" w:cs="Arial" w:eastAsia="Arial" w:hAnsi="Arial"/>
          <w:sz w:val="18"/>
          <w:szCs w:val="18"/>
          <w:color w:val="auto"/>
        </w:rPr>
      </w:pPr>
    </w:p>
    <w:p>
      <w:pPr>
        <w:jc w:val="both"/>
        <w:ind w:left="820" w:firstLine="809"/>
        <w:spacing w:after="0" w:line="264" w:lineRule="auto"/>
        <w:tabs>
          <w:tab w:leader="none" w:pos="206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Employee shall be eligible to participate, to the extent he may be eligible pursuant to the terms of any such plan, in any profit sharing, retirement, insurance or other employee benefit plan maintained by the Company for the benefit of officers and senior management of the Company, at the officer/senior management level.</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9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The Company, in its discretion, may apply for and procure in its own name and for its own benefit, life insurance on the life of Employee in any amount or amounts considered advisable by the Company, and Employee shall submit to any medical or other examination and execute and deliver any application or other instrument in writing, reasonably necessary to effectuate such insurance.</w:t>
      </w:r>
    </w:p>
    <w:p>
      <w:pPr>
        <w:spacing w:after="0" w:line="181" w:lineRule="exact"/>
        <w:rPr>
          <w:rFonts w:ascii="Arial" w:cs="Arial" w:eastAsia="Arial" w:hAnsi="Arial"/>
          <w:sz w:val="18"/>
          <w:szCs w:val="18"/>
          <w:color w:val="auto"/>
        </w:rPr>
      </w:pPr>
    </w:p>
    <w:p>
      <w:pPr>
        <w:ind w:firstLine="656"/>
        <w:spacing w:after="0" w:line="277"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or reimburse Employee, for the reasonable and necessary business expenses of Employee, to the extent incurred in accordance with all applicable expense reimbursement policies of the Company.</w:t>
      </w:r>
    </w:p>
    <w:p>
      <w:pPr>
        <w:spacing w:after="0" w:line="170" w:lineRule="exact"/>
        <w:rPr>
          <w:rFonts w:ascii="Arial" w:cs="Arial" w:eastAsia="Arial" w:hAnsi="Arial"/>
          <w:sz w:val="18"/>
          <w:szCs w:val="18"/>
          <w:color w:val="auto"/>
        </w:rPr>
      </w:pPr>
    </w:p>
    <w:p>
      <w:pPr>
        <w:ind w:right="20" w:firstLine="656"/>
        <w:spacing w:after="0" w:line="277" w:lineRule="auto"/>
        <w:tabs>
          <w:tab w:leader="none" w:pos="105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Vacations and Leave</w:t>
      </w:r>
      <w:r>
        <w:rPr>
          <w:rFonts w:ascii="Arial" w:cs="Arial" w:eastAsia="Arial" w:hAnsi="Arial"/>
          <w:sz w:val="18"/>
          <w:szCs w:val="18"/>
          <w:color w:val="auto"/>
        </w:rPr>
        <w:t>. Employee shall be entitled to four (4) weeks paid vacation per year, to be accrued and used in accordance with the Company’s vacation policy in effect from time to time.</w:t>
      </w:r>
    </w:p>
    <w:p>
      <w:pPr>
        <w:spacing w:after="0" w:line="170" w:lineRule="exact"/>
        <w:rPr>
          <w:rFonts w:ascii="Arial" w:cs="Arial" w:eastAsia="Arial" w:hAnsi="Arial"/>
          <w:sz w:val="18"/>
          <w:szCs w:val="18"/>
          <w:color w:val="auto"/>
        </w:rPr>
      </w:pPr>
    </w:p>
    <w:p>
      <w:pPr>
        <w:jc w:val="both"/>
        <w:ind w:firstLine="656"/>
        <w:spacing w:after="0" w:line="268" w:lineRule="auto"/>
        <w:tabs>
          <w:tab w:leader="none" w:pos="99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The Company shall provide Employee Confidential Information, which Employee may use in the performance of his job duties with the Company.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whether electronic, oral or in written form, includes without limitation: all geological and geophysical reports and related data such as maps, charts, logs, seismographs, seismic records and other reports and related data, calculations, summaries, memoranda and opinions relating to the foregoing, production records, electric logs, core data, pressure data, lease files, well files and records, land files, abstracts, title opinions, title or curative matters, contract files, notes, records, drawings, manuals, correspondence, financial and accounting information, customer lists, statistical data and compilations, patents, copyrights, trademarks, trade names, inventions, formulae, methods, processes, agreements, contracts, manuals or any documents relating to the business of the Company and information or data regarding the Company’s systems, operations, business, finances, prospects, properties or prospective properties;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Confidential Information shall not include any information that is or becomes publicly available, or is otherwise generally known in the Company’s industry, other than as a result of any disclosure by Employee that is inconsistent with his duties pursuant to this Agreement. As a material inducement to the Company to enter into this Agreement and to pay to Employee the compensation stated in Section 4, Employee covenants and agrees that he shall not, at any time during or following the term of his employment, directly or indirectly divulge or disclose for any purpose whatsoever, other than as may be required by law, any Confidential Information that has been obtained by, or disclosed to, him as a result of his employment by the Company, or use such Confidential Information for any reason other than to perform his duties pursuant to this Agreement.</w:t>
      </w:r>
    </w:p>
    <w:p>
      <w:pPr>
        <w:spacing w:after="0" w:line="185"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1" w:name="page52"/>
    <w:bookmarkEnd w:id="51"/>
    <w:p>
      <w:pPr>
        <w:jc w:val="both"/>
        <w:ind w:left="164" w:firstLine="809"/>
        <w:spacing w:after="0" w:line="285" w:lineRule="auto"/>
        <w:tabs>
          <w:tab w:leader="none" w:pos="152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Employee acknowledges and agrees that the Confidential Information the Company shall provide Employee will enable Employee to injure the Company if Employee should compete with the Company. Therefore, Employee hereby agrees that during Employee’s employment, and (i) if the Company terminates Employee’s employment for Total Disability, or if Employee terminates his employment for Good Reason, then for a period of six (6) months thereafter, or (ii) if the Company terminates Employee’s employment for Just Cause, Employee terminates his employment during the Term other than for Good Reason or Employee is entitled to severance pay pursuant to Section 14(b) or Section 14(c) (other than if Employee terminates his employment for Good Reason), then for a period of twenty-four (24) months thereafter (the period specified in clause (i) or (ii), as applicable, being referred to herein as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Employee shall not, without the Company’s prior written consent (which consent, in the event Employee terminates his employment for Good Reason, may not be unreasonably withheld, but in each other situation described in clauses (i) and (ii) above, may be withheld in its sole discretion), directly or indirectly: (a) invest in (other than investments in publicly-owned companies which constitute not more than 1% of the voting securities of any such company) a Competing Business with Significant Assets in the Restricted Area (each as defined below), or (b) participate in a Competing Business as a manager, employee, director, officer, consultant, independent contractor, or other capacity or otherwise provide, directly or indirectly, services or assistance to a Competing Business in a position that involves input into or direction of the Competing Business’s decisions within the Restricted Area.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means any person or entity engaged in oil and natural gas exploration, development, production and acquisition activities. “</w:t>
      </w:r>
      <w:r>
        <w:rPr>
          <w:rFonts w:ascii="Arial" w:cs="Arial" w:eastAsia="Arial" w:hAnsi="Arial"/>
          <w:sz w:val="16"/>
          <w:szCs w:val="16"/>
          <w:u w:val="single" w:color="auto"/>
          <w:color w:val="auto"/>
        </w:rPr>
        <w:t>Significant Assets</w:t>
      </w:r>
      <w:r>
        <w:rPr>
          <w:rFonts w:ascii="Arial" w:cs="Arial" w:eastAsia="Arial" w:hAnsi="Arial"/>
          <w:sz w:val="16"/>
          <w:szCs w:val="16"/>
          <w:color w:val="auto"/>
        </w:rPr>
        <w:t>” means oil and natural gas reserves with an aggregate fair market value of $25 million or more. “</w:t>
      </w:r>
      <w:r>
        <w:rPr>
          <w:rFonts w:ascii="Arial" w:cs="Arial" w:eastAsia="Arial" w:hAnsi="Arial"/>
          <w:sz w:val="16"/>
          <w:szCs w:val="16"/>
          <w:u w:val="single" w:color="auto"/>
          <w:color w:val="auto"/>
        </w:rPr>
        <w:t>Restricted Area</w:t>
      </w:r>
      <w:r>
        <w:rPr>
          <w:rFonts w:ascii="Arial" w:cs="Arial" w:eastAsia="Arial" w:hAnsi="Arial"/>
          <w:sz w:val="16"/>
          <w:szCs w:val="16"/>
          <w:color w:val="auto"/>
        </w:rPr>
        <w:t xml:space="preserve">” means a one-mile radius of any oil and natural gas reserves held by the Company as of the end of Employee’s employment,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county or parish where the Company, together with its subsidiaries, has Significant Assets as of the end of Employee’s employment.</w:t>
      </w:r>
    </w:p>
    <w:p>
      <w:pPr>
        <w:spacing w:after="0" w:line="175" w:lineRule="exact"/>
        <w:rPr>
          <w:rFonts w:ascii="Arial" w:cs="Arial" w:eastAsia="Arial" w:hAnsi="Arial"/>
          <w:sz w:val="16"/>
          <w:szCs w:val="16"/>
          <w:color w:val="auto"/>
        </w:rPr>
      </w:pPr>
    </w:p>
    <w:p>
      <w:pPr>
        <w:jc w:val="both"/>
        <w:ind w:left="164" w:firstLine="809"/>
        <w:spacing w:after="0" w:line="293" w:lineRule="auto"/>
        <w:tabs>
          <w:tab w:leader="none" w:pos="142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Restricted Period, Employee agrees on his own behalf and on behalf of his affiliates that, without the prior written consent of the Board, the Chairman of the Board or the Chief Executive Officer, they shall not, directly or indirectly, (i) solicit for employment or a contracting relationship, or employ or retain any person who is or has been, within six months prior to such time, employed by or engaged as an individual independent contractor to the Company or its affiliates or (ii) induce or attempt to induce any such person to leave his or her employment or independent contractor relationship with the Company or its affiliates. The Company agrees that the foregoing restriction is not intended to apply generally to companies providing services to the Company, such as rig and oilfield services providers, or lenders.</w:t>
      </w:r>
    </w:p>
    <w:p>
      <w:pPr>
        <w:spacing w:after="0" w:line="164" w:lineRule="exact"/>
        <w:rPr>
          <w:rFonts w:ascii="Arial" w:cs="Arial" w:eastAsia="Arial" w:hAnsi="Arial"/>
          <w:sz w:val="16"/>
          <w:szCs w:val="16"/>
          <w:color w:val="auto"/>
        </w:rPr>
      </w:pPr>
    </w:p>
    <w:p>
      <w:pPr>
        <w:ind w:left="404" w:hanging="404"/>
        <w:spacing w:after="0"/>
        <w:tabs>
          <w:tab w:leader="none" w:pos="40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Reasonableness of Restrictions</w:t>
      </w:r>
    </w:p>
    <w:p>
      <w:pPr>
        <w:spacing w:after="0" w:line="225" w:lineRule="exact"/>
        <w:rPr>
          <w:rFonts w:ascii="Arial" w:cs="Arial" w:eastAsia="Arial" w:hAnsi="Arial"/>
          <w:sz w:val="18"/>
          <w:szCs w:val="18"/>
          <w:color w:val="auto"/>
        </w:rPr>
      </w:pPr>
    </w:p>
    <w:p>
      <w:pPr>
        <w:jc w:val="both"/>
        <w:ind w:left="164" w:firstLine="809"/>
        <w:spacing w:after="0" w:line="264" w:lineRule="auto"/>
        <w:tabs>
          <w:tab w:leader="none" w:pos="13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Employee has carefully read and considered the provisions of Sections 8 and 9, and, having done so, agrees that the restrictions set forth in those Sections are fair and reasonable and are reasonably required for the protection of the interests of the Company and its parent or subsidiary corporations, officers, directors, and shareholders.</w:t>
      </w:r>
    </w:p>
    <w:p>
      <w:pPr>
        <w:spacing w:after="0" w:line="181" w:lineRule="exact"/>
        <w:rPr>
          <w:rFonts w:ascii="Arial" w:cs="Arial" w:eastAsia="Arial" w:hAnsi="Arial"/>
          <w:sz w:val="18"/>
          <w:szCs w:val="18"/>
          <w:color w:val="auto"/>
        </w:rPr>
      </w:pPr>
    </w:p>
    <w:p>
      <w:pPr>
        <w:jc w:val="both"/>
        <w:ind w:left="164" w:firstLine="809"/>
        <w:spacing w:after="0" w:line="273" w:lineRule="auto"/>
        <w:tabs>
          <w:tab w:leader="none" w:pos="1511"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event that, notwithstanding the foregoing, any of the provisions of Sections 8 or 9 shall be held to be invalid or unenforceable, the remaining provisions thereof shall nevertheless continue to be valid and enforceable as though the invalid or unenforceable parts had not been included therein. In the event that any provision of Sections 8 or 9 shall be declared by a court of competent jurisdiction to exceed the maximum restrictiveness such court deems reasonable and enforceable, the time period, the areas of restriction and/or related aspects deemed reasonable and enforceable by the court shall become and thereafter be the maximum restriction in such regard, and the restriction shall remain enforceable to the fullest extent deemed reasonable by such court.</w:t>
      </w:r>
    </w:p>
    <w:p>
      <w:pPr>
        <w:spacing w:after="0" w:line="178" w:lineRule="exact"/>
        <w:rPr>
          <w:rFonts w:ascii="Arial" w:cs="Arial" w:eastAsia="Arial" w:hAnsi="Arial"/>
          <w:sz w:val="17"/>
          <w:szCs w:val="17"/>
          <w:color w:val="auto"/>
        </w:rPr>
      </w:pPr>
    </w:p>
    <w:p>
      <w:pPr>
        <w:jc w:val="both"/>
        <w:ind w:left="164" w:firstLine="809"/>
        <w:spacing w:after="0" w:line="286" w:lineRule="auto"/>
        <w:tabs>
          <w:tab w:leader="none" w:pos="1408"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Sections 8 and 9 shall survive the termination of this Agreement. If Employee is found by a court of competent jurisdiction or arbitrator to have materially violated any of the restrictions contained in Section 9, the restrictive period will be suspended and will not run in favor of Employee during such period that Employee shall have been found to be in material violation thereof.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4" w:right="239" w:bottom="1440" w:gutter="0" w:footer="0" w:header="0"/>
        </w:sectPr>
      </w:pPr>
    </w:p>
    <w:bookmarkStart w:id="52" w:name="page53"/>
    <w:bookmarkEnd w:id="52"/>
    <w:p>
      <w:pPr>
        <w:jc w:val="both"/>
        <w:ind w:firstLine="656"/>
        <w:spacing w:after="0" w:line="264" w:lineRule="auto"/>
        <w:tabs>
          <w:tab w:leader="none" w:pos="11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Remedies for Breach of Employee’s Covenants of Non-Disclosure, Non-Competition and Non-Solicitation</w:t>
      </w:r>
      <w:r>
        <w:rPr>
          <w:rFonts w:ascii="Arial" w:cs="Arial" w:eastAsia="Arial" w:hAnsi="Arial"/>
          <w:sz w:val="18"/>
          <w:szCs w:val="18"/>
          <w:color w:val="auto"/>
        </w:rPr>
        <w:t>. In the event of a breach or threatened breach of any of the covenants in Sections 8 or 9, then the Company shall be entitled to seek a temporary restraining order and injunctive relief restraining Employee from the commission of any breach.</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Employment of Employee under this Agreement may be terminated:</w:t>
      </w:r>
    </w:p>
    <w:p>
      <w:pPr>
        <w:spacing w:after="0" w:line="225" w:lineRule="exact"/>
        <w:rPr>
          <w:rFonts w:ascii="Arial" w:cs="Arial" w:eastAsia="Arial" w:hAnsi="Arial"/>
          <w:sz w:val="18"/>
          <w:szCs w:val="18"/>
          <w:color w:val="auto"/>
        </w:rPr>
      </w:pPr>
    </w:p>
    <w:p>
      <w:pPr>
        <w:ind w:left="2000" w:hanging="371"/>
        <w:spacing w:after="0"/>
        <w:tabs>
          <w:tab w:leader="none" w:pos="2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Employee’s death.</w:t>
      </w:r>
    </w:p>
    <w:p>
      <w:pPr>
        <w:spacing w:after="0" w:line="225" w:lineRule="exact"/>
        <w:rPr>
          <w:rFonts w:ascii="Arial" w:cs="Arial" w:eastAsia="Arial" w:hAnsi="Arial"/>
          <w:sz w:val="18"/>
          <w:szCs w:val="18"/>
          <w:color w:val="auto"/>
        </w:rPr>
      </w:pPr>
    </w:p>
    <w:p>
      <w:pPr>
        <w:jc w:val="both"/>
        <w:ind w:left="980" w:firstLine="649"/>
        <w:spacing w:after="0" w:line="264" w:lineRule="auto"/>
        <w:tabs>
          <w:tab w:leader="none" w:pos="20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Employee is Totally Disabled. For the purposes of this Agreement, Employee is totally disabled if he is “</w:t>
      </w:r>
      <w:r>
        <w:rPr>
          <w:rFonts w:ascii="Arial" w:cs="Arial" w:eastAsia="Arial" w:hAnsi="Arial"/>
          <w:sz w:val="18"/>
          <w:szCs w:val="18"/>
          <w:u w:val="single" w:color="auto"/>
          <w:color w:val="auto"/>
        </w:rPr>
        <w:t>Totally Disabled</w:t>
      </w:r>
      <w:r>
        <w:rPr>
          <w:rFonts w:ascii="Arial" w:cs="Arial" w:eastAsia="Arial" w:hAnsi="Arial"/>
          <w:sz w:val="18"/>
          <w:szCs w:val="18"/>
          <w:color w:val="auto"/>
        </w:rPr>
        <w:t>” as defined in and for the period necessary to qualify for benefits under any disability income insurance policy and any replacement policy or policies covering Employee and Employee has been declared to be Totally Disabled by the insurer.</w:t>
      </w:r>
    </w:p>
    <w:p>
      <w:pPr>
        <w:spacing w:after="0" w:line="181" w:lineRule="exact"/>
        <w:rPr>
          <w:rFonts w:ascii="Arial" w:cs="Arial" w:eastAsia="Arial" w:hAnsi="Arial"/>
          <w:sz w:val="18"/>
          <w:szCs w:val="18"/>
          <w:color w:val="auto"/>
        </w:rPr>
      </w:pPr>
    </w:p>
    <w:p>
      <w:pPr>
        <w:ind w:left="2000" w:hanging="371"/>
        <w:spacing w:after="0"/>
        <w:tabs>
          <w:tab w:leader="none" w:pos="2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mutual agreement of Employee and the Company.</w:t>
      </w:r>
    </w:p>
    <w:p>
      <w:pPr>
        <w:spacing w:after="0" w:line="225" w:lineRule="exact"/>
        <w:rPr>
          <w:rFonts w:ascii="Arial" w:cs="Arial" w:eastAsia="Arial" w:hAnsi="Arial"/>
          <w:sz w:val="18"/>
          <w:szCs w:val="18"/>
          <w:color w:val="auto"/>
        </w:rPr>
      </w:pPr>
    </w:p>
    <w:p>
      <w:pPr>
        <w:ind w:left="980" w:right="20" w:firstLine="649"/>
        <w:spacing w:after="0" w:line="277" w:lineRule="auto"/>
        <w:tabs>
          <w:tab w:leader="none" w:pos="21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the dissolution and liquidation of Matador (other than as part of a reorganization, merger, consolidation or sale of all or substantially all of the assets of Matador whereby the business of Matador is continued).</w:t>
      </w:r>
    </w:p>
    <w:p>
      <w:pPr>
        <w:spacing w:after="0" w:line="170" w:lineRule="exact"/>
        <w:rPr>
          <w:rFonts w:ascii="Arial" w:cs="Arial" w:eastAsia="Arial" w:hAnsi="Arial"/>
          <w:sz w:val="18"/>
          <w:szCs w:val="18"/>
          <w:color w:val="auto"/>
        </w:rPr>
      </w:pPr>
    </w:p>
    <w:p>
      <w:pPr>
        <w:jc w:val="both"/>
        <w:ind w:left="980" w:firstLine="649"/>
        <w:spacing w:after="0" w:line="267" w:lineRule="auto"/>
        <w:tabs>
          <w:tab w:leader="none" w:pos="2078" w:val="left"/>
        </w:tabs>
        <w:numPr>
          <w:ilvl w:val="1"/>
          <w:numId w:val="30"/>
        </w:numPr>
        <w:rPr>
          <w:rFonts w:ascii="Arial" w:cs="Arial" w:eastAsia="Arial" w:hAnsi="Arial"/>
          <w:sz w:val="17"/>
          <w:szCs w:val="17"/>
          <w:color w:val="auto"/>
        </w:rPr>
      </w:pPr>
      <w:r>
        <w:rPr>
          <w:rFonts w:ascii="Arial" w:cs="Arial" w:eastAsia="Arial" w:hAnsi="Arial"/>
          <w:sz w:val="17"/>
          <w:szCs w:val="17"/>
          <w:color w:val="auto"/>
        </w:rPr>
        <w:t>By the Company for Just Cause. This Agreement and Employee’s employment with the Company may be terminated for Just Cause at any time in accordance with Section 13. For purposes of this Agreement, “</w:t>
      </w:r>
      <w:r>
        <w:rPr>
          <w:rFonts w:ascii="Arial" w:cs="Arial" w:eastAsia="Arial" w:hAnsi="Arial"/>
          <w:sz w:val="17"/>
          <w:szCs w:val="17"/>
          <w:u w:val="single" w:color="auto"/>
          <w:color w:val="auto"/>
        </w:rPr>
        <w:t>Just Cause</w:t>
      </w:r>
      <w:r>
        <w:rPr>
          <w:rFonts w:ascii="Arial" w:cs="Arial" w:eastAsia="Arial" w:hAnsi="Arial"/>
          <w:sz w:val="17"/>
          <w:szCs w:val="17"/>
          <w:color w:val="auto"/>
        </w:rPr>
        <w:t xml:space="preserve">” shall mean only the following: (i) Employee’s continued and material failure to perform the duties of his employment consistent with Employee’s position, except as a result of being Partially Disabled (during any period of Partial Disability) or Totally Disabled, (ii) Employee’s failure to perform his material obligations under this Agreement, except as a result of being Partially Disabled (during any period of Partial Disability) or Totally Disabled, or a material breach by the Employee of the Company’s written policies concerning discrimination, harassment, conflicts of interest or securities trading, (iii) Employee’s insubordination, lack of cooperation, conduct detrimental to the Company or refusal or failure to follow lawful directives of the Board, the Chairman of the Board and/or Chief Executive Officer, except as a result of being Partially Disabled (during any period of Partial Disability) or Totally Disabled, (iv) Employee’s commission of an act of fraud, theft, embezzlement or violation of an applicable regulation or law involving financial impropriety, (v) Employee’s indictment for or conviction of a felony or other crime involving moral turpitude, or (vi) Employee’s intentional breach of fiduciary duty;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Employee shall have thirty (30) days after written notice from the Board (or Compensation Committee or Executive Committee of the Board (the “</w:t>
      </w:r>
      <w:r>
        <w:rPr>
          <w:rFonts w:ascii="Arial" w:cs="Arial" w:eastAsia="Arial" w:hAnsi="Arial"/>
          <w:sz w:val="17"/>
          <w:szCs w:val="17"/>
          <w:u w:val="single" w:color="auto"/>
          <w:color w:val="auto"/>
        </w:rPr>
        <w:t>Executive Committee</w:t>
      </w:r>
      <w:r>
        <w:rPr>
          <w:rFonts w:ascii="Arial" w:cs="Arial" w:eastAsia="Arial" w:hAnsi="Arial"/>
          <w:sz w:val="17"/>
          <w:szCs w:val="17"/>
          <w:color w:val="auto"/>
        </w:rPr>
        <w:t xml:space="preserve">”)) to remedy any actions alleged under subsections (i) or (ii) in the manner reasonably specified by the Board (or Compensation Committee or Executive Committee), unless the Board (or Compensation Committee or Executive Committee), in its sole and reasonable discretion, determines that such alleged actions cannot be remedied within such thirty (30) day period. For the avoidance of doubt, the parties acknowledge and agree that a termination by the Company for Just Cause shall have priority over the other provisions of this Section 12, and the Company shall have the right, to the extent raised by the Company within twelve (12) months following Employee’s termination, to “claw back” any benefits paid to Employee based on a termination pursuant to any other provision of this Section 12, in the event that the Company subsequently discovers the existence of facts or circumstances that would have been grounds for Employee’s termination for Just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modify in any way Employee’s rights to dispute any termination for Just Cause, or to have any such dispute resolved by mediation or arbitration, as provided herein.</w:t>
      </w:r>
    </w:p>
    <w:p>
      <w:pPr>
        <w:spacing w:after="0" w:line="187" w:lineRule="exact"/>
        <w:rPr>
          <w:rFonts w:ascii="Arial" w:cs="Arial" w:eastAsia="Arial" w:hAnsi="Arial"/>
          <w:sz w:val="17"/>
          <w:szCs w:val="17"/>
          <w:color w:val="auto"/>
        </w:rPr>
      </w:pPr>
    </w:p>
    <w:p>
      <w:pPr>
        <w:ind w:left="1980" w:hanging="351"/>
        <w:spacing w:after="0"/>
        <w:tabs>
          <w:tab w:leader="none" w:pos="1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At the end of the Term.</w:t>
      </w:r>
    </w:p>
    <w:p>
      <w:pPr>
        <w:spacing w:after="0" w:line="225" w:lineRule="exact"/>
        <w:rPr>
          <w:rFonts w:ascii="Arial" w:cs="Arial" w:eastAsia="Arial" w:hAnsi="Arial"/>
          <w:sz w:val="18"/>
          <w:szCs w:val="18"/>
          <w:color w:val="auto"/>
        </w:rPr>
      </w:pPr>
    </w:p>
    <w:p>
      <w:pPr>
        <w:jc w:val="both"/>
        <w:ind w:left="980" w:firstLine="649"/>
        <w:spacing w:after="0" w:line="264" w:lineRule="auto"/>
        <w:tabs>
          <w:tab w:leader="none" w:pos="20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Employee for Good Reason. This Agreement and Employee’s employment with the Company may be terminated at any time, at the election of Employee, for Good Reason in accordance with Section 13, and such termination for Good Reason shall be treated as an involuntary separation from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7" w:lineRule="auto"/>
        <w:rPr>
          <w:sz w:val="20"/>
          <w:szCs w:val="20"/>
          <w:color w:val="auto"/>
        </w:rPr>
      </w:pPr>
      <w:r>
        <w:rPr>
          <w:rFonts w:ascii="Arial" w:cs="Arial" w:eastAsia="Arial" w:hAnsi="Arial"/>
          <w:sz w:val="17"/>
          <w:szCs w:val="17"/>
          <w:color w:val="auto"/>
        </w:rPr>
        <w:t>service within the meaning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Treasury Regulations promulgated thereunder. As used in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(i) the assignment to Employee of duties inconsistent with the title of Executive Vice President - Reservoir Engineering and Chief Technology Officer or his then-current office, or a material diminution in Employee’s then current authority, duties or responsibilities; (ii) a diminution of Employee’s then current Base Salary or other action or inaction that constitutes a material breach of this Agreement by the Company; or (iii) the relocation of Matador’s principal executive offices to a location more than thirty (30) miles from Matador’s current principal executive offices or the transfer of Employee to a place other than Matador’s principal executive offices (excepting required travel on the Company’s business). Within thirty (30) days from the date Employee knows of the actions constituting Good Reason as defined in this Section 12(g), Employee shall give the Company written notice thereof, and provide the Company with a reasonable period of time, in no event exceeding thirty (30) days, after receipt of such notice to remedy the alleged actions constituting Good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entitled to notice of, and the opportunity to remedy, the recurrence of any alleged actions (or substantially similar actions) constituting Good Reason in the event that Employee has previously provided notice of such prior alleged actions (or substantially similar actions) to the Company and provided the Company an opportunity to cure such prior actions (or substantially similar actions). In the event the Company does not cure the alleged actions, if Employee does not terminate this Agreement and his employment within sixty (60) days following the last day of the Company’s cure period, Employee shall not be entitled to terminate his employment for Good Reason based upon the occurrence of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recurrence of such actions (or substantially similar actions) may constitute Good Reason. Any corrective measures undertaken by the Company are solely within its discretion and do not concede or indicate agreement that the actions described in Employee’s written notice constitute Good Reason within the meaning of this Section 12(g).</w:t>
      </w:r>
    </w:p>
    <w:p>
      <w:pPr>
        <w:spacing w:after="0" w:line="191" w:lineRule="exact"/>
        <w:rPr>
          <w:sz w:val="20"/>
          <w:szCs w:val="20"/>
          <w:color w:val="auto"/>
        </w:rPr>
      </w:pPr>
    </w:p>
    <w:p>
      <w:pPr>
        <w:ind w:right="20" w:firstLine="649"/>
        <w:spacing w:after="0" w:line="277" w:lineRule="auto"/>
        <w:tabs>
          <w:tab w:leader="none" w:pos="10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Employee other than for Good Reason. This Agreement and Employee’s employment with the Company may be terminated at any time, at the election of Employee, other than for Good Reason.</w:t>
      </w:r>
    </w:p>
    <w:p>
      <w:pPr>
        <w:spacing w:after="0" w:line="170" w:lineRule="exact"/>
        <w:rPr>
          <w:rFonts w:ascii="Arial" w:cs="Arial" w:eastAsia="Arial" w:hAnsi="Arial"/>
          <w:sz w:val="18"/>
          <w:szCs w:val="18"/>
          <w:color w:val="auto"/>
        </w:rPr>
      </w:pPr>
    </w:p>
    <w:p>
      <w:pPr>
        <w:jc w:val="both"/>
        <w:ind w:firstLine="649"/>
        <w:spacing w:after="0" w:line="302" w:lineRule="auto"/>
        <w:tabs>
          <w:tab w:leader="none" w:pos="10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a Change in Control; provided (i) Employee is terminated by the Company without Just Cause, or (ii) Employee terminates his employment with Good Reason, in either case within 30 days prior to or twelve (12) months following the Change in Control. As used in this Section 12(i) and Section 14, the term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a change in control event for purposes of Section 409A of the Code, as defined in Treasury Regulation Section 1.409A-3(i)(5) and any successor provision thereto, which currently is the following:</w:t>
      </w:r>
    </w:p>
    <w:p>
      <w:pPr>
        <w:spacing w:after="0" w:line="154" w:lineRule="exact"/>
        <w:rPr>
          <w:rFonts w:ascii="Arial" w:cs="Arial" w:eastAsia="Arial" w:hAnsi="Arial"/>
          <w:sz w:val="16"/>
          <w:szCs w:val="16"/>
          <w:color w:val="auto"/>
        </w:rPr>
      </w:pPr>
    </w:p>
    <w:p>
      <w:pPr>
        <w:jc w:val="both"/>
        <w:ind w:left="1140" w:hanging="5"/>
        <w:spacing w:after="0" w:line="288" w:lineRule="auto"/>
        <w:tabs>
          <w:tab w:leader="none" w:pos="15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change in ownership of Matador occurs on the date that any Person other than (1) Matador or any subsidiaries, (2) a trustee or other fiduciary holding securities under an employee benefit plan of Matador or any of its Affiliates, (3) an underwriter temporarily holding stock pursuant to an offering of such stock, or (4) a corporation owned, directly or indirectly, by the shareholders of Matador in substantially the same proportions as their ownership of Matador’s stock, acquires ownership of Matador’s stock that, together with stock held by such Person, constitutes more than 50% of the total fair market value or total voting power of Matador’s stock. However, if any Person is considered to own already more than 50% of the total fair market value or total voting power of Matador’s stock, the acquisition of additional stock by the same Person is not considered to be a Change in Control. In addition, if any Person has effective control of Matador through ownership of 30% or more of the total voting power of Matador’s stock, as described in Section 12(i), subsection (ii), below, the acquisition of additional control of Matador by the same Person is not considered to cause a Change in Control pursuant to this Section 12(i), subsection (i);</w:t>
      </w:r>
    </w:p>
    <w:p>
      <w:pPr>
        <w:spacing w:after="0" w:line="169" w:lineRule="exact"/>
        <w:rPr>
          <w:rFonts w:ascii="Arial" w:cs="Arial" w:eastAsia="Arial" w:hAnsi="Arial"/>
          <w:sz w:val="16"/>
          <w:szCs w:val="16"/>
          <w:color w:val="auto"/>
        </w:rPr>
      </w:pPr>
    </w:p>
    <w:p>
      <w:pPr>
        <w:ind w:left="1140" w:hanging="5"/>
        <w:spacing w:after="0" w:line="277" w:lineRule="auto"/>
        <w:tabs>
          <w:tab w:leader="none" w:pos="15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Even though Matador may not have undergone a change in ownership under Section 12(i), subsection (i), above, a change in the effective control of Matador occurs on either of the following dates: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0"/>
          </w:cols>
          <w:pgMar w:left="1220" w:top="584" w:right="239" w:bottom="1440" w:gutter="0" w:footer="0" w:header="0"/>
        </w:sectPr>
      </w:pPr>
    </w:p>
    <w:bookmarkStart w:id="54" w:name="page55"/>
    <w:bookmarkEnd w:id="54"/>
    <w:p>
      <w:pPr>
        <w:jc w:val="both"/>
        <w:ind w:left="2760" w:firstLine="3"/>
        <w:spacing w:after="0" w:line="304" w:lineRule="auto"/>
        <w:tabs>
          <w:tab w:leader="none" w:pos="33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that any Person acquires (or has acquired during the 12-month period ending on the date of the most recent acquisition by such Person) ownership of Matador’s stock possessing 30% or more of the total voting power of Matador’s stock. However, if any Person owns 30% or more of the total voting power of Matador’s stock, the acquisition of additional control of Matador by the same Person is not considered to cause a Change in Control pursuant to this Section 12(i), subsection (ii), clause a); or</w:t>
      </w:r>
    </w:p>
    <w:p>
      <w:pPr>
        <w:spacing w:after="0" w:line="80" w:lineRule="exact"/>
        <w:rPr>
          <w:rFonts w:ascii="Arial" w:cs="Arial" w:eastAsia="Arial" w:hAnsi="Arial"/>
          <w:sz w:val="18"/>
          <w:szCs w:val="18"/>
          <w:color w:val="auto"/>
        </w:rPr>
      </w:pPr>
    </w:p>
    <w:p>
      <w:pPr>
        <w:jc w:val="both"/>
        <w:ind w:left="2760" w:firstLine="3"/>
        <w:spacing w:after="0" w:line="304" w:lineRule="auto"/>
        <w:tabs>
          <w:tab w:leader="none" w:pos="33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date during any 12-month period when a majority of members of the Board is replaced by directors whose appointment or election is not endorsed by a majority of the Board before the date of appointment or election; provided, however, that any such director shall not be considered to be endorsed by the Board if his or her initial assumption of office occurs as a result of an actual or threatened solicitation of proxies or consents by or on behalf of a Person other than the Board; or</w:t>
      </w:r>
    </w:p>
    <w:p>
      <w:pPr>
        <w:spacing w:after="0" w:line="53" w:lineRule="exact"/>
        <w:rPr>
          <w:rFonts w:ascii="Arial" w:cs="Arial" w:eastAsia="Arial" w:hAnsi="Arial"/>
          <w:sz w:val="18"/>
          <w:szCs w:val="18"/>
          <w:color w:val="auto"/>
        </w:rPr>
      </w:pPr>
    </w:p>
    <w:p>
      <w:pPr>
        <w:jc w:val="both"/>
        <w:ind w:left="2120" w:hanging="5"/>
        <w:spacing w:after="0" w:line="270" w:lineRule="auto"/>
        <w:tabs>
          <w:tab w:leader="none" w:pos="26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Matador’s assets occurs on the date that a Person acquires (or has acquired during the 12-month period ending on the date of the most recent acquisition by such Person) assets of Matador, that have a total gross fair market value equal to at least 40% of the total gross fair market value of all of Matador’s assets immediately before such acquisition or acquisitions. However, there is no Change in Control where there is such a transfer to an entity that is controlled by the shareholders of Matador immediately after the transfer, through a transfer to a) a shareholder of Matador (immediately before the asset transfer) in exchange for or with respect to Matador’s stock; b) an entity, at least 50% of the total value or voting power of the stock of which is owned, directly or indirectly, by Matador; c) a Person that owns, directly or indirectly, at least 50% of the total value or voting power of Matador’s outstanding stock; or d) an entity, at least 50% of the total value or voting power of the stock of which is owned by a Person that owns, directly or indirectly, at least 50% of the total value or voting power of Matador’s outstanding stock.</w:t>
      </w:r>
    </w:p>
    <w:p>
      <w:pPr>
        <w:spacing w:after="0" w:line="177" w:lineRule="exact"/>
        <w:rPr>
          <w:rFonts w:ascii="Arial" w:cs="Arial" w:eastAsia="Arial" w:hAnsi="Arial"/>
          <w:sz w:val="17"/>
          <w:szCs w:val="17"/>
          <w:color w:val="auto"/>
        </w:rPr>
      </w:pPr>
    </w:p>
    <w:p>
      <w:pPr>
        <w:ind w:left="2560" w:hanging="445"/>
        <w:spacing w:after="0"/>
        <w:tabs>
          <w:tab w:leader="none" w:pos="2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purposes of this definition of Change in Control only:</w:t>
      </w:r>
    </w:p>
    <w:p>
      <w:pPr>
        <w:spacing w:after="0" w:line="117" w:lineRule="exact"/>
        <w:rPr>
          <w:sz w:val="20"/>
          <w:szCs w:val="20"/>
          <w:color w:val="auto"/>
        </w:rPr>
      </w:pPr>
    </w:p>
    <w:p>
      <w:pPr>
        <w:ind w:left="27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given in Section 7701(a)(1) of the Code. Person shall include more than one Person acting as a group as defined in the Final Treasury Regulations issued under Section 409A of the Code.</w:t>
      </w:r>
    </w:p>
    <w:p>
      <w:pPr>
        <w:spacing w:after="0" w:line="147" w:lineRule="exact"/>
        <w:rPr>
          <w:sz w:val="20"/>
          <w:szCs w:val="20"/>
          <w:color w:val="auto"/>
        </w:rPr>
      </w:pPr>
    </w:p>
    <w:p>
      <w:pPr>
        <w:jc w:val="both"/>
        <w:ind w:left="2120" w:hanging="5"/>
        <w:spacing w:after="0" w:line="257" w:lineRule="auto"/>
        <w:tabs>
          <w:tab w:leader="none" w:pos="25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noted, the definition of Change in Control as set forth in this Section 12(i) shall be interpreted in accordance with the Treasury Regulations under Section 409A of the Code, it being the intent of the parties that this Section 12(i) shall be in compliance with the requirements of said Code Section and said Regulations. Notwithstanding the definition of Change in Control as set forth in this Section 12(i), no Change in Control shall be deemed to have occurred as a result of the sale of any equity securities by Matador in any registered public offering.</w:t>
      </w:r>
    </w:p>
    <w:p>
      <w:pPr>
        <w:spacing w:after="0" w:line="188" w:lineRule="exact"/>
        <w:rPr>
          <w:rFonts w:ascii="Arial" w:cs="Arial" w:eastAsia="Arial" w:hAnsi="Arial"/>
          <w:sz w:val="18"/>
          <w:szCs w:val="18"/>
          <w:color w:val="auto"/>
        </w:rPr>
      </w:pPr>
    </w:p>
    <w:p>
      <w:pPr>
        <w:jc w:val="both"/>
        <w:ind w:firstLine="656"/>
        <w:spacing w:after="0" w:line="276" w:lineRule="auto"/>
        <w:tabs>
          <w:tab w:leader="none" w:pos="105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Notice of Termination/Date of Termination</w:t>
      </w:r>
      <w:r>
        <w:rPr>
          <w:rFonts w:ascii="Arial" w:cs="Arial" w:eastAsia="Arial" w:hAnsi="Arial"/>
          <w:sz w:val="17"/>
          <w:szCs w:val="17"/>
          <w:color w:val="auto"/>
        </w:rPr>
        <w:t>. Termination of Employee’s employment by the Company for Just Cause or by Employee for Good Reason or other than for Good Reason shall be accompanied by written notice of the reason for such termination. Such notice shall indicate a specific termination provision in this Agreement which is relied upon, describe the basis for such termination, if any, and the Date of Termination. If Employee’s employment is terminated by Employee other than for Good Reason, the Date of Termination shall be not less than thirty (30) days following such written notice. As used in this Agreement,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shall mean a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as defined in Section 16 hereof.</w:t>
      </w:r>
    </w:p>
    <w:p>
      <w:pPr>
        <w:spacing w:after="0" w:line="172" w:lineRule="exact"/>
        <w:rPr>
          <w:rFonts w:ascii="Arial" w:cs="Arial" w:eastAsia="Arial" w:hAnsi="Arial"/>
          <w:sz w:val="17"/>
          <w:szCs w:val="17"/>
          <w:color w:val="auto"/>
        </w:rPr>
      </w:pPr>
    </w:p>
    <w:p>
      <w:pPr>
        <w:ind w:left="1100" w:hanging="444"/>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Payments With Respect to Termination; Vesting of Equity Incentive Awards</w:t>
      </w:r>
      <w:r>
        <w:rPr>
          <w:rFonts w:ascii="Arial" w:cs="Arial" w:eastAsia="Arial" w:hAnsi="Arial"/>
          <w:sz w:val="16"/>
          <w:szCs w:val="16"/>
          <w:color w:val="auto"/>
        </w:rPr>
        <w:t>. Payments to Employee upon termination shall be limited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55" w:name="page56"/>
    <w:bookmarkEnd w:id="55"/>
    <w:p>
      <w:pPr>
        <w:jc w:val="both"/>
        <w:ind w:left="820" w:firstLine="809"/>
        <w:spacing w:after="0" w:line="257" w:lineRule="auto"/>
        <w:tabs>
          <w:tab w:leader="none" w:pos="21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Employee’s employment is terminated by the Company upon death pursuant to Section 12(a), Total Disability pursuant to Section 12(b), mutual agreement pursuant to Section 12(c), dissolution and liquidation pursuant to Section 12(d), for Just Cause pursuant to Section 12(e), at the end of the Term pursuant to Section 12(f), or by Employee other than for Good Reason pursuant to Section 12(h), Employee shall be entitled to all arrearages of Base Salary, accrued but unused vacation and expenses as of the Date of Termination (the “</w:t>
      </w:r>
      <w:r>
        <w:rPr>
          <w:rFonts w:ascii="Arial" w:cs="Arial" w:eastAsia="Arial" w:hAnsi="Arial"/>
          <w:sz w:val="17"/>
          <w:szCs w:val="17"/>
          <w:u w:val="single" w:color="auto"/>
          <w:color w:val="auto"/>
        </w:rPr>
        <w:t>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payable in accordance with the Company’s customary payroll practices, plus (unless Employee’s employment is terminated by the Company for Just Cause or by Employee other than for Good Reason) an amount equal to the average annual amount of all bonuses paid to Employee with respect to the prior two (2) calendar years, pro-rated based on the number of complete or partial months of Employee’s employment during the calendar year in which his employment terminates payable in a lump sum, subject to Section 16(b),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Termination, but shall not be entitled to further compensation.</w:t>
      </w:r>
    </w:p>
    <w:p>
      <w:pPr>
        <w:spacing w:after="0" w:line="190" w:lineRule="exact"/>
        <w:rPr>
          <w:rFonts w:ascii="Arial" w:cs="Arial" w:eastAsia="Arial" w:hAnsi="Arial"/>
          <w:sz w:val="17"/>
          <w:szCs w:val="17"/>
          <w:color w:val="auto"/>
        </w:rPr>
      </w:pPr>
    </w:p>
    <w:p>
      <w:pPr>
        <w:jc w:val="both"/>
        <w:ind w:left="820" w:firstLine="809"/>
        <w:spacing w:after="0" w:line="276" w:lineRule="auto"/>
        <w:tabs>
          <w:tab w:leader="none" w:pos="2113"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for a reason other than as described in Section 14(a) or (c), or is terminated by Employee for Good Reason pursuant to Section 12(g),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one and one half (1.5) times his then-current Base Salary as of the Date of Termination, plus an amount equal to one and one half (1.5) times the average annual amount of all bonuses paid to Employee with respect to the prior two (2) calendar years, in a lump sum, subject to Section 16(b), on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Date of Termination. Employee shall have no obligation to seek other employment, and any income so earned shall not reduce the foregoing amounts.</w:t>
      </w:r>
    </w:p>
    <w:p>
      <w:pPr>
        <w:spacing w:after="0" w:line="168" w:lineRule="exact"/>
        <w:rPr>
          <w:rFonts w:ascii="Arial" w:cs="Arial" w:eastAsia="Arial" w:hAnsi="Arial"/>
          <w:sz w:val="16"/>
          <w:szCs w:val="16"/>
          <w:color w:val="auto"/>
        </w:rPr>
      </w:pPr>
    </w:p>
    <w:p>
      <w:pPr>
        <w:jc w:val="both"/>
        <w:ind w:left="820" w:firstLine="809"/>
        <w:spacing w:after="0" w:line="288" w:lineRule="auto"/>
        <w:tabs>
          <w:tab w:leader="none" w:pos="20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in contemplation of or following a Change in Control pursuant to Section 12(i), Employee’s employment is terminated by the Company without Just Cause or is terminated by Employee with Good Reason,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three (3) times the then-current Base Salary as of the Date of Termination, plus an amount equal to three (3) times the average annual amount of all bonuses paid to Employee with respect to the prior two (2) calendar years, in a lump sum, (A) on the date which immediately follows six (6) months from the Date of Termination or, if earlier, (B) within thirty (30) days of Employee’s death, with the exact date of payment after Employee’s death to be determined by the Company. Immediately prior to such termination of employment, as contemplated in the prior sentence, all unvested equity incentive awards held by Employee shall vest, and the forfeiture provisions with respect to any such awards that are subject to forfeiture will terminate. Employee shall have no obligation to seek other employment and any income so earned shall not reduce the foregoing amounts.</w:t>
      </w:r>
    </w:p>
    <w:p>
      <w:pPr>
        <w:spacing w:after="0" w:line="169" w:lineRule="exact"/>
        <w:rPr>
          <w:rFonts w:ascii="Arial" w:cs="Arial" w:eastAsia="Arial" w:hAnsi="Arial"/>
          <w:sz w:val="16"/>
          <w:szCs w:val="16"/>
          <w:color w:val="auto"/>
        </w:rPr>
      </w:pPr>
    </w:p>
    <w:p>
      <w:pPr>
        <w:jc w:val="both"/>
        <w:ind w:left="820" w:firstLine="809"/>
        <w:spacing w:after="0" w:line="271" w:lineRule="auto"/>
        <w:tabs>
          <w:tab w:leader="none" w:pos="2063" w:val="left"/>
        </w:tabs>
        <w:numPr>
          <w:ilvl w:val="1"/>
          <w:numId w:val="36"/>
        </w:numPr>
        <w:rPr>
          <w:rFonts w:ascii="Arial" w:cs="Arial" w:eastAsia="Arial" w:hAnsi="Arial"/>
          <w:sz w:val="17"/>
          <w:szCs w:val="17"/>
          <w:color w:val="auto"/>
        </w:rPr>
      </w:pPr>
      <w:r>
        <w:rPr>
          <w:rFonts w:ascii="Arial" w:cs="Arial" w:eastAsia="Arial" w:hAnsi="Arial"/>
          <w:sz w:val="17"/>
          <w:szCs w:val="17"/>
          <w:color w:val="auto"/>
        </w:rPr>
        <w:t>Except with respect to any Accrued Obligations, which shall be paid in accordance with Section 14, as a condition to receiving any other payment under Section 14, and to the extent that Employee is then living and not prevented from executing a release of claims due to any disability, Employee shall execute (and not revoke) a release of claims substantially in the form attached hereto as Exhibit A (which release shall be provided to Employee within five (5) business days following the Date of Termination and must be returned to the Company (and not revoked) within forty-five (45) days following the Date of Termination). If Employee fails or otherwise refuses to execute and not revoke a release of claims within forty-five (45) days following the Date of Termination, and in all events prior to the date on which such other payment is to be first paid to him, Employee shall not be entitled to any such other payment, except as required by applicable wage payment laws, until Employee executes and does not revoke for forty-five (45) days, a release of claims.</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6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Timing of Payments with Respect to Termination</w:t>
      </w:r>
      <w:r>
        <w:rPr>
          <w:rFonts w:ascii="Arial" w:cs="Arial" w:eastAsia="Arial" w:hAnsi="Arial"/>
          <w:sz w:val="18"/>
          <w:szCs w:val="18"/>
          <w:color w:val="auto"/>
        </w:rPr>
        <w:t>. In the event that, without the express or implied consent of Employee, the Company fails to make, either intentionally or unintentionally, any payment required pursuant to Section 14 at the time such payment is so required, and in addition to any other remedies that might be available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Employee under this Agreement or applicable law, including compliance with the requirements of Section 409A of the Code regarding disputed payments and refusals to pay, the Company and Employee agree that the unpaid amount of any such required payment shall increase by five percent (5%) per month for each month, or portion thereof, during which such payment is not made. The Company and Employee agree that any such increase is not interest, but is for purposes of compensating Employee for certain costs and expenses anticipated to be incurred by Employee in the event that any such payment is not made when required, the actual amounts of which are difficult to estimate. Notwithstanding the foregoing, in the event that any such amount is held to be interest, Employee shall not be entitled to charge, receive or collect, nor shall amounts received hereunder be credited so that Employee shall be paid, as interest a sum greater than interest at the Maximum Rate (as defined below). It is the intention of the Company and Employee that this Agreement shall comply with applicable law. If Employee is deemed to have charged or received anything of value which is deemed to be interest under applicable law, and if such interest is deemed to exceed the maximum lawful amount, any amount which exceeds interest at the Maximum Rate shall be applied to other amounts that might be owed to Employee by the Company or its affiliates, whether under this Agreement or otherwise, and if there are no such other amounts owed to Employee by the Company or its affiliates, any remaining excess shall be paid to the Company. In determining whether any such deemed interest exceeds interest at the Maximum Rate, the total amount of interest shall be spread, prorated and amortized throughout the entire time during which such payment is due, until payment in full. The term “</w:t>
      </w:r>
      <w:r>
        <w:rPr>
          <w:rFonts w:ascii="Arial" w:cs="Arial" w:eastAsia="Arial" w:hAnsi="Arial"/>
          <w:sz w:val="16"/>
          <w:szCs w:val="16"/>
          <w:u w:val="single" w:color="auto"/>
          <w:color w:val="auto"/>
        </w:rPr>
        <w:t>Maximum Rate</w:t>
      </w:r>
      <w:r>
        <w:rPr>
          <w:rFonts w:ascii="Arial" w:cs="Arial" w:eastAsia="Arial" w:hAnsi="Arial"/>
          <w:sz w:val="16"/>
          <w:szCs w:val="16"/>
          <w:color w:val="auto"/>
        </w:rPr>
        <w:t>” means the maximum nonusurious rate of interest per annum permitted by whichever of applicable United States federal law or Texas law permits the higher interest rate, including to the extent permitted by applicable law, any amendments thereof hereafter or any new law hereafter coming into effect to the extent a higher Maximum Rate is permitted thereby.</w:t>
      </w:r>
    </w:p>
    <w:p>
      <w:pPr>
        <w:spacing w:after="0" w:line="169" w:lineRule="exact"/>
        <w:rPr>
          <w:sz w:val="20"/>
          <w:szCs w:val="20"/>
          <w:color w:val="auto"/>
        </w:rPr>
      </w:pPr>
    </w:p>
    <w:p>
      <w:pPr>
        <w:ind w:left="1060" w:hanging="40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Termination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20" w:firstLine="809"/>
        <w:spacing w:after="0" w:line="276" w:lineRule="auto"/>
        <w:tabs>
          <w:tab w:leader="none" w:pos="2077"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Separation from Service</w:t>
      </w:r>
      <w:r>
        <w:rPr>
          <w:rFonts w:ascii="Arial" w:cs="Arial" w:eastAsia="Arial" w:hAnsi="Arial"/>
          <w:sz w:val="17"/>
          <w:szCs w:val="17"/>
          <w:color w:val="auto"/>
        </w:rPr>
        <w:t>. Notwithstanding anything to the contrary in this Agreement, with respect to any amounts payable to Employee under this Agreement that are treated as “</w:t>
      </w:r>
      <w:r>
        <w:rPr>
          <w:rFonts w:ascii="Arial" w:cs="Arial" w:eastAsia="Arial" w:hAnsi="Arial"/>
          <w:sz w:val="17"/>
          <w:szCs w:val="17"/>
          <w:u w:val="single" w:color="auto"/>
          <w:color w:val="auto"/>
        </w:rPr>
        <w:t>non-qualified deferred compensation</w:t>
      </w:r>
      <w:r>
        <w:rPr>
          <w:rFonts w:ascii="Arial" w:cs="Arial" w:eastAsia="Arial" w:hAnsi="Arial"/>
          <w:sz w:val="17"/>
          <w:szCs w:val="17"/>
          <w:color w:val="auto"/>
        </w:rPr>
        <w:t>” subject to Section 409A of the Code in connection with a termination of Employee’s employment, in no event shall a termination of employment occur under this Agreement unless such termination constitutes a Separation from Service.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shall mean Employee’s “separation from service” with the Company as such term is defined in Treasury Regulation Section 1.409A-1(h) and any successor provision thereto.</w:t>
      </w:r>
    </w:p>
    <w:p>
      <w:pPr>
        <w:spacing w:after="0" w:line="172" w:lineRule="exact"/>
        <w:rPr>
          <w:rFonts w:ascii="Arial" w:cs="Arial" w:eastAsia="Arial" w:hAnsi="Arial"/>
          <w:sz w:val="17"/>
          <w:szCs w:val="17"/>
          <w:color w:val="auto"/>
        </w:rPr>
      </w:pPr>
    </w:p>
    <w:p>
      <w:pPr>
        <w:jc w:val="both"/>
        <w:ind w:left="820" w:firstLine="809"/>
        <w:spacing w:after="0" w:line="287" w:lineRule="auto"/>
        <w:tabs>
          <w:tab w:leader="none" w:pos="214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Section 409A Compliance</w:t>
      </w:r>
      <w:r>
        <w:rPr>
          <w:rFonts w:ascii="Arial" w:cs="Arial" w:eastAsia="Arial" w:hAnsi="Arial"/>
          <w:sz w:val="16"/>
          <w:szCs w:val="16"/>
          <w:color w:val="auto"/>
        </w:rPr>
        <w:t>. Notwithstanding anything contained in this Agreement to the contrary, to the maximum extent permitted by applicable law, amounts payable to Employee pursuant to Section 14 shall be made in reliance upon Treasury Regulation Section 1.409A-1(b)(9) (Separation Pay Plans) or Treasury Regulation Section 1.409A-1(b)(4) (Short-Term Deferrals). However, to the extent any such payments are treated as non-qualified deferred compensation subject to Section 409A of the Code, then if Employee is deemed at the time of his Separation from Service to be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for purposes of Section 409A(a)(2)(B)(i) of the Code, then to the extent delayed commencement of any portion of the benefits to which Employee is entitled under this Agreement is required in order to avoid a prohibited distribution under Section 409A(a)(2)(B)(i) of the Code, such portion of Employee’s termination benefits shall not be provided to Employee prior to the earlier of (i) the expiration of the six-month period measured from the date of Employee’s Separation from Service or (ii) the date of Employee’s death. Upon the earlier of such dates, all payments deferred pursuant to this Section 16(b) shall be paid in a lump sum to Employee. The determination of whether Employee is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for purposes of Section 409A(a)(2)(B)(i) of the Code as of the time of his Separation from Service shall made by the Company in accordance with the terms of Section 409A of the Code and applicable guidance thereunder (including without limitation Treasury Regulation Section 1.409A-1(i) and any successor provision thereto).</w:t>
      </w:r>
    </w:p>
    <w:p>
      <w:pPr>
        <w:spacing w:after="0" w:line="168" w:lineRule="exact"/>
        <w:rPr>
          <w:rFonts w:ascii="Arial" w:cs="Arial" w:eastAsia="Arial" w:hAnsi="Arial"/>
          <w:sz w:val="16"/>
          <w:szCs w:val="16"/>
          <w:color w:val="auto"/>
        </w:rPr>
      </w:pPr>
    </w:p>
    <w:p>
      <w:pPr>
        <w:ind w:left="2000" w:hanging="371"/>
        <w:spacing w:after="0"/>
        <w:tabs>
          <w:tab w:leader="none" w:pos="20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Section 280G Treatment</w:t>
      </w:r>
      <w:r>
        <w:rPr>
          <w:rFonts w:ascii="Arial" w:cs="Arial" w:eastAsia="Arial" w:hAnsi="Arial"/>
          <w:sz w:val="18"/>
          <w:szCs w:val="18"/>
          <w:color w:val="auto"/>
        </w:rPr>
        <w:t>.</w:t>
      </w:r>
    </w:p>
    <w:p>
      <w:pPr>
        <w:spacing w:after="0" w:line="306" w:lineRule="exact"/>
        <w:rPr>
          <w:rFonts w:ascii="Arial" w:cs="Arial" w:eastAsia="Arial" w:hAnsi="Arial"/>
          <w:sz w:val="18"/>
          <w:szCs w:val="18"/>
          <w:color w:val="auto"/>
        </w:rPr>
      </w:pPr>
    </w:p>
    <w:p>
      <w:pPr>
        <w:jc w:val="both"/>
        <w:ind w:left="1620" w:firstLine="2115"/>
        <w:spacing w:after="0" w:line="312" w:lineRule="auto"/>
        <w:tabs>
          <w:tab w:leader="none" w:pos="4165" w:val="left"/>
        </w:tabs>
        <w:numPr>
          <w:ilvl w:val="2"/>
          <w:numId w:val="38"/>
        </w:numPr>
        <w:rPr>
          <w:rFonts w:ascii="Arial" w:cs="Arial" w:eastAsia="Arial" w:hAnsi="Arial"/>
          <w:sz w:val="16"/>
          <w:szCs w:val="16"/>
          <w:color w:val="auto"/>
        </w:rPr>
      </w:pPr>
      <w:r>
        <w:rPr>
          <w:rFonts w:ascii="Arial" w:cs="Arial" w:eastAsia="Arial" w:hAnsi="Arial"/>
          <w:sz w:val="16"/>
          <w:szCs w:val="16"/>
          <w:color w:val="auto"/>
        </w:rPr>
        <w:t>(A) In the event it is determined that any payment, distribution or benefits of any type by the Company to or for the benefit of Employee, whether paid or payable or distributed or distributable pursuant to the terms of this Agreement or otherwise (the “</w:t>
      </w:r>
      <w:r>
        <w:rPr>
          <w:rFonts w:ascii="Arial" w:cs="Arial" w:eastAsia="Arial" w:hAnsi="Arial"/>
          <w:sz w:val="16"/>
          <w:szCs w:val="16"/>
          <w:u w:val="single" w:color="auto"/>
          <w:color w:val="auto"/>
        </w:rPr>
        <w:t>Change in Control Payments</w:t>
      </w:r>
      <w:r>
        <w:rPr>
          <w:rFonts w:ascii="Arial" w:cs="Arial" w:eastAsia="Arial" w:hAnsi="Arial"/>
          <w:sz w:val="16"/>
          <w:szCs w:val="16"/>
          <w:color w:val="auto"/>
        </w:rPr>
        <w:t>”), constitute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within the meaning of Section 280G(b)</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57" w:name="page58"/>
    <w:bookmarkEnd w:id="57"/>
    <w:p>
      <w:pPr>
        <w:jc w:val="both"/>
        <w:ind w:left="420" w:firstLine="9"/>
        <w:spacing w:after="0" w:line="270" w:lineRule="auto"/>
        <w:tabs>
          <w:tab w:leader="none" w:pos="703" w:val="left"/>
        </w:tabs>
        <w:numPr>
          <w:ilvl w:val="0"/>
          <w:numId w:val="39"/>
        </w:numPr>
        <w:rPr>
          <w:rFonts w:ascii="Arial" w:cs="Arial" w:eastAsia="Arial" w:hAnsi="Arial"/>
          <w:sz w:val="17"/>
          <w:szCs w:val="17"/>
          <w:color w:val="auto"/>
        </w:rPr>
      </w:pPr>
      <w:r>
        <w:rPr>
          <w:rFonts w:ascii="Arial" w:cs="Arial" w:eastAsia="Arial" w:hAnsi="Arial"/>
          <w:sz w:val="17"/>
          <w:szCs w:val="17"/>
          <w:color w:val="auto"/>
        </w:rPr>
        <w:t>of the Code, the Company will provide Employee with a computation of (1) the maximum amount of the Change in Control Payments that could be made, without the imposition of the excise tax imposed by Section 4999 of the Code (said maximum amount being referred to as the “</w:t>
      </w:r>
      <w:r>
        <w:rPr>
          <w:rFonts w:ascii="Arial" w:cs="Arial" w:eastAsia="Arial" w:hAnsi="Arial"/>
          <w:sz w:val="17"/>
          <w:szCs w:val="17"/>
          <w:u w:val="single" w:color="auto"/>
          <w:color w:val="auto"/>
        </w:rPr>
        <w:t>Capped Amount</w:t>
      </w:r>
      <w:r>
        <w:rPr>
          <w:rFonts w:ascii="Arial" w:cs="Arial" w:eastAsia="Arial" w:hAnsi="Arial"/>
          <w:sz w:val="17"/>
          <w:szCs w:val="17"/>
          <w:color w:val="auto"/>
        </w:rPr>
        <w:t>”); (2) the value of the Change in Control Payments that could be made pursuant to the terms of this Agreement (all said payments, distributions and benefits being referred to as the “</w:t>
      </w:r>
      <w:r>
        <w:rPr>
          <w:rFonts w:ascii="Arial" w:cs="Arial" w:eastAsia="Arial" w:hAnsi="Arial"/>
          <w:sz w:val="17"/>
          <w:szCs w:val="17"/>
          <w:u w:val="single" w:color="auto"/>
          <w:color w:val="auto"/>
        </w:rPr>
        <w:t>Uncapped Amount</w:t>
      </w:r>
      <w:r>
        <w:rPr>
          <w:rFonts w:ascii="Arial" w:cs="Arial" w:eastAsia="Arial" w:hAnsi="Arial"/>
          <w:sz w:val="17"/>
          <w:szCs w:val="17"/>
          <w:color w:val="auto"/>
        </w:rPr>
        <w:t>”); (iii) the dollar amount of the excise tax (if any) including any interest or penalties with respect to such excise tax which Employee would become obligated to pay pursuant to Section 4999 of the Code as a result of receipt of the Uncapped Amount (the “</w:t>
      </w:r>
      <w:r>
        <w:rPr>
          <w:rFonts w:ascii="Arial" w:cs="Arial" w:eastAsia="Arial" w:hAnsi="Arial"/>
          <w:sz w:val="17"/>
          <w:szCs w:val="17"/>
          <w:u w:val="single" w:color="auto"/>
          <w:color w:val="auto"/>
        </w:rPr>
        <w:t>Excise Tax Amount</w:t>
      </w:r>
      <w:r>
        <w:rPr>
          <w:rFonts w:ascii="Arial" w:cs="Arial" w:eastAsia="Arial" w:hAnsi="Arial"/>
          <w:sz w:val="17"/>
          <w:szCs w:val="17"/>
          <w:color w:val="auto"/>
        </w:rPr>
        <w:t>”); and (iv) the net value of the Uncapped Amount after reduction by the Excise Tax Amount and the estimated income taxes payable by Employee on the difference between the Uncapped Amount and the Capped Amount, assuming that Employee is paying the highest marginal tax rate for state, local and federal income taxes (the “</w:t>
      </w:r>
      <w:r>
        <w:rPr>
          <w:rFonts w:ascii="Arial" w:cs="Arial" w:eastAsia="Arial" w:hAnsi="Arial"/>
          <w:sz w:val="17"/>
          <w:szCs w:val="17"/>
          <w:u w:val="single" w:color="auto"/>
          <w:color w:val="auto"/>
        </w:rPr>
        <w:t>Net Uncapped Amount</w:t>
      </w:r>
      <w:r>
        <w:rPr>
          <w:rFonts w:ascii="Arial" w:cs="Arial" w:eastAsia="Arial" w:hAnsi="Arial"/>
          <w:sz w:val="17"/>
          <w:szCs w:val="17"/>
          <w:color w:val="auto"/>
        </w:rPr>
        <w:t>”).</w:t>
      </w:r>
    </w:p>
    <w:p>
      <w:pPr>
        <w:spacing w:after="0" w:line="46" w:lineRule="exact"/>
        <w:rPr>
          <w:rFonts w:ascii="Arial" w:cs="Arial" w:eastAsia="Arial" w:hAnsi="Arial"/>
          <w:sz w:val="17"/>
          <w:szCs w:val="17"/>
          <w:color w:val="auto"/>
        </w:rPr>
      </w:pPr>
    </w:p>
    <w:p>
      <w:pPr>
        <w:jc w:val="both"/>
        <w:ind w:left="420" w:firstLine="2764"/>
        <w:spacing w:after="0" w:line="255" w:lineRule="auto"/>
        <w:tabs>
          <w:tab w:leader="none" w:pos="3719" w:val="left"/>
        </w:tabs>
        <w:numPr>
          <w:ilvl w:val="2"/>
          <w:numId w:val="39"/>
        </w:numPr>
        <w:rPr>
          <w:rFonts w:ascii="Arial" w:cs="Arial" w:eastAsia="Arial" w:hAnsi="Arial"/>
          <w:sz w:val="18"/>
          <w:szCs w:val="18"/>
          <w:color w:val="auto"/>
        </w:rPr>
      </w:pPr>
      <w:r>
        <w:rPr>
          <w:rFonts w:ascii="Arial" w:cs="Arial" w:eastAsia="Arial" w:hAnsi="Arial"/>
          <w:sz w:val="18"/>
          <w:szCs w:val="18"/>
          <w:color w:val="auto"/>
        </w:rPr>
        <w:t>If the Capped Amount is greater than the Net Uncapped Amount, Employee shall be entitled to receive or commence to receive payments equal to the Capped Amount; or if the Net Uncapped Amount is greater than the Capped Amount, Employee shall be entitled to receive or commence to receive payments equal to the Uncapped Amount. If Employee receives the Uncapped Amount, then Employee shall be solely responsible for the payment of all income and excise taxes due from Employee and attributable to such Uncapped Amount, with no right of additional payment from the Company as reimbursement for any taxes.</w:t>
      </w:r>
    </w:p>
    <w:p>
      <w:pPr>
        <w:spacing w:after="0" w:line="193" w:lineRule="exact"/>
        <w:rPr>
          <w:rFonts w:ascii="Arial" w:cs="Arial" w:eastAsia="Arial" w:hAnsi="Arial"/>
          <w:sz w:val="18"/>
          <w:szCs w:val="18"/>
          <w:color w:val="auto"/>
        </w:rPr>
      </w:pPr>
    </w:p>
    <w:p>
      <w:pPr>
        <w:jc w:val="both"/>
        <w:ind w:left="420" w:firstLine="2115"/>
        <w:spacing w:after="0" w:line="270" w:lineRule="auto"/>
        <w:tabs>
          <w:tab w:leader="none" w:pos="298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determinations required to be made under Section 16(c)(i)(A) shall be made in writing by the independent accounting firm agreed to by the Company and Employee on the date of the Change in Control (the “</w:t>
      </w:r>
      <w:r>
        <w:rPr>
          <w:rFonts w:ascii="Arial" w:cs="Arial" w:eastAsia="Arial" w:hAnsi="Arial"/>
          <w:sz w:val="17"/>
          <w:szCs w:val="17"/>
          <w:u w:val="single" w:color="auto"/>
          <w:color w:val="auto"/>
        </w:rPr>
        <w:t>Accounting Firm</w:t>
      </w:r>
      <w:r>
        <w:rPr>
          <w:rFonts w:ascii="Arial" w:cs="Arial" w:eastAsia="Arial" w:hAnsi="Arial"/>
          <w:sz w:val="17"/>
          <w:szCs w:val="17"/>
          <w:color w:val="auto"/>
        </w:rPr>
        <w:t>”), whose determination shall be conclusive and binding upon Employee and the Company for all purposes. For purposes of making the calculations required by Section 16(c)(i)(A), the Accounting Firm may make reasonable assumptions and approximations concerning applicable taxes and may rely on reasonable, good faith interpretations concerning the application of Sections 280G and 4999 of the Code. The Company and Employee shall furnish to the Accounting Firm such information and documents as it reasonably may request in order to make determinations under Section 16(c)(i)(A). If the Accounting Firm determines that no Excise Tax Amount is payable by Employee, it shall furnish Employee with an opinion that he has substantial authority not to report any excise tax pursuant to Section 4999 of the Code on his federal income tax return. The Company shall bear all costs the Accounting Firm may reasonably incur in connection with any calculations contemplated by Section 16(c)(i)(A).</w:t>
      </w:r>
    </w:p>
    <w:p>
      <w:pPr>
        <w:spacing w:after="0" w:line="177" w:lineRule="exact"/>
        <w:rPr>
          <w:rFonts w:ascii="Arial" w:cs="Arial" w:eastAsia="Arial" w:hAnsi="Arial"/>
          <w:sz w:val="17"/>
          <w:szCs w:val="17"/>
          <w:color w:val="auto"/>
        </w:rPr>
      </w:pPr>
    </w:p>
    <w:p>
      <w:pPr>
        <w:jc w:val="both"/>
        <w:ind w:left="420" w:firstLine="2115"/>
        <w:spacing w:after="0" w:line="268" w:lineRule="auto"/>
        <w:tabs>
          <w:tab w:leader="none" w:pos="304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If the computations and valuations required to be provided by the Company to Employee pursuant to Section 16(c)(i)(A) are on audit challenged by the Internal Revenue Service as having been performed in a manner inconsistent with the requirements of Sections 280G and 4999 of the Code or if Section 409A of the Code is determined to apply to all or any part of the payments to which Employee or his survivors may be entitled under this Agreement and as a result of such audit or determination, (1) the amount of cash and the benefits provided for in Section 16(c)(i) remaining to Employee after completion of such audit or determination is less than (2) the amount of cash and the benefits which were paid or provided to Employee on the basis of the calculations provided for in Section 16(c)(i)(A) (the difference between (1) and (2) being referred to as the “</w:t>
      </w:r>
      <w:r>
        <w:rPr>
          <w:rFonts w:ascii="Arial" w:cs="Arial" w:eastAsia="Arial" w:hAnsi="Arial"/>
          <w:sz w:val="17"/>
          <w:szCs w:val="17"/>
          <w:u w:val="single" w:color="auto"/>
          <w:color w:val="auto"/>
        </w:rPr>
        <w:t>Shortfall Amount</w:t>
      </w:r>
      <w:r>
        <w:rPr>
          <w:rFonts w:ascii="Arial" w:cs="Arial" w:eastAsia="Arial" w:hAnsi="Arial"/>
          <w:sz w:val="17"/>
          <w:szCs w:val="17"/>
          <w:color w:val="auto"/>
        </w:rPr>
        <w:t>”), then Employee shall be entitled to receive an additional payment (an “</w:t>
      </w:r>
      <w:r>
        <w:rPr>
          <w:rFonts w:ascii="Arial" w:cs="Arial" w:eastAsia="Arial" w:hAnsi="Arial"/>
          <w:sz w:val="17"/>
          <w:szCs w:val="17"/>
          <w:u w:val="single" w:color="auto"/>
          <w:color w:val="auto"/>
        </w:rPr>
        <w:t>Indemnification Payment</w:t>
      </w:r>
      <w:r>
        <w:rPr>
          <w:rFonts w:ascii="Arial" w:cs="Arial" w:eastAsia="Arial" w:hAnsi="Arial"/>
          <w:sz w:val="17"/>
          <w:szCs w:val="17"/>
          <w:color w:val="auto"/>
        </w:rPr>
        <w:t>”) in an amount such that, after payment by Employee of all taxes (including additional excise taxes under said Section 4999 of the Code and any interest and penalties imposed with respect to any taxes) imposed upon the Indemnification Payment and all reasonable attorneys’ and accountants’ fees incurred by Employee in connection with such audit or determination, Employee retains an amount of the Indemnification Payment equal to the Shortfall Amount. The Company shall pay the Indemnification Payment to Employee in a lump sum cash payment within thirty (30) days of the completion of such audit or determination.</w:t>
      </w: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665" w:right="239" w:bottom="1440" w:gutter="0" w:footer="0" w:header="0"/>
        </w:sectPr>
      </w:pPr>
    </w:p>
    <w:bookmarkStart w:id="58" w:name="page59"/>
    <w:bookmarkEnd w:id="58"/>
    <w:p>
      <w:pPr>
        <w:jc w:val="both"/>
        <w:ind w:left="1620" w:firstLine="2764"/>
        <w:spacing w:after="0" w:line="254" w:lineRule="auto"/>
        <w:tabs>
          <w:tab w:leader="none" w:pos="4881"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the computations and valuations required to be provided by the Company to Employee pursuant to Section 16(c)(i)(A) are on audit challenged by the Internal Revenue Service as having been performed in a manner inconsistent with the requirements of Sections 280G and 4999 of the Code and as a result of such audit or determination, (1) the amount of cash and the benefits which were paid or provided to Employee on the basis of the calculations provided for in Section 16(c) (i)(A) is greater than (2) the amount of cash and the benefits provided for in Section 16(c)(i) payable to Employee after completion of such audit or determination (the difference between (1) and (2) being referred to as the “</w:t>
      </w:r>
      <w:r>
        <w:rPr>
          <w:rFonts w:ascii="Arial" w:cs="Arial" w:eastAsia="Arial" w:hAnsi="Arial"/>
          <w:sz w:val="18"/>
          <w:szCs w:val="18"/>
          <w:u w:val="single" w:color="auto"/>
          <w:color w:val="auto"/>
        </w:rPr>
        <w:t>Excess Amount</w:t>
      </w:r>
      <w:r>
        <w:rPr>
          <w:rFonts w:ascii="Arial" w:cs="Arial" w:eastAsia="Arial" w:hAnsi="Arial"/>
          <w:sz w:val="18"/>
          <w:szCs w:val="18"/>
          <w:color w:val="auto"/>
        </w:rPr>
        <w:t>”), then Employee shall repay to the Company the Excess Amount in a lump sum cash payment within thirty (30) days of the completion of such audit or determination.</w:t>
      </w:r>
    </w:p>
    <w:p>
      <w:pPr>
        <w:spacing w:after="0" w:line="192" w:lineRule="exact"/>
        <w:rPr>
          <w:rFonts w:ascii="Arial" w:cs="Arial" w:eastAsia="Arial" w:hAnsi="Arial"/>
          <w:sz w:val="18"/>
          <w:szCs w:val="18"/>
          <w:color w:val="auto"/>
        </w:rPr>
      </w:pPr>
    </w:p>
    <w:p>
      <w:pPr>
        <w:jc w:val="both"/>
        <w:ind w:left="1620" w:firstLine="2764"/>
        <w:spacing w:after="0" w:line="271" w:lineRule="auto"/>
        <w:tabs>
          <w:tab w:leader="none" w:pos="4827" w:val="left"/>
        </w:tabs>
        <w:numPr>
          <w:ilvl w:val="2"/>
          <w:numId w:val="40"/>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16(c)(iii), (1) any payment made to or on behalf of Employee which relates to taxes imposed on Employee shall be made not later than the end of the calendar year next following the calendar year in which such taxes are remitted by or on behalf of Employee, and (2) any payment made to or on behalf of Employee which relates to reimbursement of expenses incurred due to a tax audit or litigation addressing the existence or amount of a tax liability shall be made by the end of the calendar year following the calendar year in which the taxes that are the subject of the audit or litigation are remitted to the taxing authority, or where as a result of such audit or litigation no taxes are remitted, the end of the calendar year following the calendar year in which the audit is completed or there is a final and non-appealable settlement or other resolution of the litigation, whichever is the last event to occur</w:t>
      </w:r>
      <w:r>
        <w:rPr>
          <w:rFonts w:ascii="Arial" w:cs="Arial" w:eastAsia="Arial" w:hAnsi="Arial"/>
          <w:sz w:val="17"/>
          <w:szCs w:val="17"/>
          <w:u w:val="single" w:color="auto"/>
          <w:color w:val="auto"/>
        </w:rPr>
        <w:t>.</w:t>
      </w:r>
    </w:p>
    <w:p>
      <w:pPr>
        <w:spacing w:after="0" w:line="178" w:lineRule="exact"/>
        <w:rPr>
          <w:rFonts w:ascii="Arial" w:cs="Arial" w:eastAsia="Arial" w:hAnsi="Arial"/>
          <w:sz w:val="17"/>
          <w:szCs w:val="17"/>
          <w:color w:val="auto"/>
        </w:rPr>
      </w:pPr>
    </w:p>
    <w:p>
      <w:pPr>
        <w:ind w:left="820" w:right="20" w:firstLine="809"/>
        <w:spacing w:after="0" w:line="342" w:lineRule="auto"/>
        <w:tabs>
          <w:tab w:leader="none" w:pos="203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 by Employee Other than for Good Reason</w:t>
      </w:r>
      <w:r>
        <w:rPr>
          <w:rFonts w:ascii="Arial" w:cs="Arial" w:eastAsia="Arial" w:hAnsi="Arial"/>
          <w:sz w:val="16"/>
          <w:szCs w:val="16"/>
          <w:color w:val="auto"/>
        </w:rPr>
        <w:t>. If at any time Employee terminates his employment other than for Good Reason, Employee shall have no further obligation to the Company other than the provisions of Sections 8, 9, 14(d), 16(c)(iii)(B) and 21.</w:t>
      </w:r>
    </w:p>
    <w:p>
      <w:pPr>
        <w:spacing w:after="0" w:line="123" w:lineRule="exact"/>
        <w:rPr>
          <w:rFonts w:ascii="Arial" w:cs="Arial" w:eastAsia="Arial" w:hAnsi="Arial"/>
          <w:sz w:val="16"/>
          <w:szCs w:val="16"/>
          <w:color w:val="auto"/>
        </w:rPr>
      </w:pPr>
    </w:p>
    <w:p>
      <w:pPr>
        <w:jc w:val="both"/>
        <w:ind w:firstLine="656"/>
        <w:spacing w:after="0" w:line="254" w:lineRule="auto"/>
        <w:tabs>
          <w:tab w:leader="none" w:pos="114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In-Kind Benefits and Reimbursements</w:t>
      </w:r>
      <w:r>
        <w:rPr>
          <w:rFonts w:ascii="Arial" w:cs="Arial" w:eastAsia="Arial" w:hAnsi="Arial"/>
          <w:sz w:val="18"/>
          <w:szCs w:val="18"/>
          <w:color w:val="auto"/>
        </w:rPr>
        <w:t>. Notwithstanding anything to the contrary in this Agreement, in-kind benefits and reimbursements provided under this Agreement during any tax year of Employee shall not affect in-kind benefits or reimbursements to be provided in any other tax year of Employee and are not subject to liquidation or exchange for another benefit. Notwithstanding anything to the contrary in this Agreement, reimbursement requests must be timely submitted by Employee and, if timely submitted, reimbursement payments shall be made to Employee as soon as administratively practicable following such submission, but in no event later than the last day of Employee’s taxable year following the taxable year in which the expense was incurred. In no event shall Employee be entitled to any reimbursement payments after the last day of Employee’s taxable year following the taxable year in which the expense was incurred. This paragraph shall only apply to in-kind benefits and reimbursements that would result in taxable compensation income to Employee.</w:t>
      </w:r>
    </w:p>
    <w:p>
      <w:pPr>
        <w:spacing w:after="0" w:line="192" w:lineRule="exact"/>
        <w:rPr>
          <w:rFonts w:ascii="Arial" w:cs="Arial" w:eastAsia="Arial" w:hAnsi="Arial"/>
          <w:sz w:val="18"/>
          <w:szCs w:val="18"/>
          <w:color w:val="auto"/>
        </w:rPr>
      </w:pPr>
    </w:p>
    <w:p>
      <w:pPr>
        <w:jc w:val="both"/>
        <w:ind w:firstLine="656"/>
        <w:spacing w:after="0" w:line="272" w:lineRule="auto"/>
        <w:tabs>
          <w:tab w:leader="none" w:pos="1067"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Section 409A; Separate Payments</w:t>
      </w:r>
      <w:r>
        <w:rPr>
          <w:rFonts w:ascii="Arial" w:cs="Arial" w:eastAsia="Arial" w:hAnsi="Arial"/>
          <w:sz w:val="17"/>
          <w:szCs w:val="17"/>
          <w:color w:val="auto"/>
        </w:rPr>
        <w:t>. This Agreement is intended to be written, administered, interpreted and construed in a manner such that no payment or benefits provided under the Agreement become subject to (a) the gross income inclusion set forth within Code Section 409A(a)(1)(A) or (b) the interest and additional tax set forth within Code Section 409A(a)(1)(B) (together, referred to herein as the “</w:t>
      </w:r>
      <w:r>
        <w:rPr>
          <w:rFonts w:ascii="Arial" w:cs="Arial" w:eastAsia="Arial" w:hAnsi="Arial"/>
          <w:sz w:val="17"/>
          <w:szCs w:val="17"/>
          <w:u w:val="single" w:color="auto"/>
          <w:color w:val="auto"/>
        </w:rPr>
        <w:t>Section 409A Penalties</w:t>
      </w:r>
      <w:r>
        <w:rPr>
          <w:rFonts w:ascii="Arial" w:cs="Arial" w:eastAsia="Arial" w:hAnsi="Arial"/>
          <w:sz w:val="17"/>
          <w:szCs w:val="17"/>
          <w:color w:val="auto"/>
        </w:rPr>
        <w:t>”), including, where appropriate, the construction of defined terms to have meanings that would not cause the imposition of Section 409A Penalties. In no event shall the Company be required to provide a tax gross-up payment to Employee or otherwise reimburse Employee with respect to Section 409A Penalties. For purposes of Section 409A of the Code (including, without limitation, for purposes of Treasury Regulation Section 1.409A-2(b)(2)(iii)), each payment that Employee may be eligible to receive under this Agreement shall be treated as a separate and distinct payment.</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5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Matador shall indemnify Employee to the extent permitted pursuant to the Certificate of Formation of Matador, the Bylaws of Matador and any indemnification agreement between Matador and Employee that may be in effect from time to time during the Term, the terms of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59" w:name="page60"/>
    <w:bookmarkEnd w:id="59"/>
    <w:p>
      <w:pPr>
        <w:jc w:val="both"/>
        <w:ind w:firstLine="656"/>
        <w:spacing w:after="0" w:line="259" w:lineRule="auto"/>
        <w:tabs>
          <w:tab w:leader="none" w:pos="105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Resignation Upon Termination</w:t>
      </w:r>
      <w:r>
        <w:rPr>
          <w:rFonts w:ascii="Arial" w:cs="Arial" w:eastAsia="Arial" w:hAnsi="Arial"/>
          <w:sz w:val="18"/>
          <w:szCs w:val="18"/>
          <w:color w:val="auto"/>
        </w:rPr>
        <w:t>. In the event of termination of Employee’s employment for any reason, Employee hereby shall be deemed upon such termination to have immediately resigned from all positions held in the Company, including without limitations any position as a director, officer, agent, trustee or consultant of the Company or any affiliate of the Company and shall execute all documents reasonably necessary to further effectuate or document such resignation from such positions.</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05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During and after Employee’s employment with the Company, Employee shall cooperate fully with the Company in the defense or prosecution of all claims or actions now in existence or which may be brought in the future against or on behalf of the Company or its affiliates. Employee’s full cooperation in connection with such claims or actions shall include, but shall not be limited to, being available to meet with counsel to the Company and/or its affiliates to prepare for discovery, trial or alternative dispute resolution proceedings, and to act as a witness on behalf of the Company and its affiliates. During and after Employee’s employment, Employee shall cooperate with the Company and its affiliates in connection with any investigation or review by any federal, state or local regulatory authority. In addition, during and after Employee’s employment with the Company, Employee shall assist the Company in all reasonably requested transition efforts in connection with Employee’s separation from the Company or the transfer of duties or responsibilities from Employee, including but not limited to execution and delivery of all documents that the Company reasonably requests to be signed by Employee. The Company shall (a) pay Employee an amount equal to his Base Salary in effect immediately prior to his termination of employment, but in any case not to exceed $1,500 per day, pro rated based on the number of days (and further pro rated for any partial day) that Employee is required to perform the foregoing obligations, and (b) reimburse Employee for any reasonable out-of-pocket expenses incurred by Employee in connection therewith.</w:t>
      </w:r>
    </w:p>
    <w:p>
      <w:pPr>
        <w:spacing w:after="0" w:line="172" w:lineRule="exact"/>
        <w:rPr>
          <w:rFonts w:ascii="Arial" w:cs="Arial" w:eastAsia="Arial" w:hAnsi="Arial"/>
          <w:sz w:val="16"/>
          <w:szCs w:val="16"/>
          <w:color w:val="auto"/>
        </w:rPr>
      </w:pPr>
    </w:p>
    <w:p>
      <w:pPr>
        <w:ind w:right="20" w:firstLine="656"/>
        <w:spacing w:after="0" w:line="308" w:lineRule="auto"/>
        <w:tabs>
          <w:tab w:leader="none" w:pos="120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 party’s failure to insist on compliance or enforcement of any provision of this Agreement, shall not affect the validity or enforceability or constitute a waiver of future enforcement of that provision or of any other provision of this Agreement by that party or any other party.</w:t>
      </w:r>
    </w:p>
    <w:p>
      <w:pPr>
        <w:spacing w:after="0" w:line="146" w:lineRule="exact"/>
        <w:rPr>
          <w:rFonts w:ascii="Arial" w:cs="Arial" w:eastAsia="Arial" w:hAnsi="Arial"/>
          <w:sz w:val="17"/>
          <w:szCs w:val="17"/>
          <w:color w:val="auto"/>
        </w:rPr>
      </w:pPr>
    </w:p>
    <w:p>
      <w:pPr>
        <w:ind w:left="1060" w:hanging="40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Governing Law; Venue; Arbitration</w:t>
      </w:r>
      <w:r>
        <w:rPr>
          <w:rFonts w:ascii="Arial" w:cs="Arial" w:eastAsia="Arial" w:hAnsi="Arial"/>
          <w:sz w:val="17"/>
          <w:szCs w:val="17"/>
          <w:color w:val="auto"/>
        </w:rPr>
        <w:t>. This Agreement shall in all respects be subject to, and governed by, the laws of the State of Texas.</w:t>
      </w:r>
    </w:p>
    <w:p>
      <w:pPr>
        <w:spacing w:after="0" w:line="236" w:lineRule="exact"/>
        <w:rPr>
          <w:rFonts w:ascii="Arial" w:cs="Arial" w:eastAsia="Arial" w:hAnsi="Arial"/>
          <w:sz w:val="17"/>
          <w:szCs w:val="17"/>
          <w:color w:val="auto"/>
        </w:rPr>
      </w:pPr>
    </w:p>
    <w:p>
      <w:pPr>
        <w:jc w:val="both"/>
        <w:ind w:left="820" w:firstLine="809"/>
        <w:spacing w:after="0" w:line="293" w:lineRule="auto"/>
        <w:tabs>
          <w:tab w:leader="none" w:pos="20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Injunctive Relief. The Company and Employee agree and consent to the personal jurisdiction of the state and local courts of Dallas County, Texas and/or the United States District Court for the Northern District of Texas in the event that the Company or Employee seeks injunctive relief with respect to any provision hereof, and that those courts, and only those courts, shall have jurisdiction with respect thereto. The Company and Employee also agree that those courts are convenient forums for the parties and for any potential witnesses and that process issued out of any such court or in accordance with the rules of practice of that court may be served by mail or other forms of substituted service to the Company at the address of its principal executive offices and to Employee at his last known address as reflected in the Company’s records.</w:t>
      </w:r>
    </w:p>
    <w:p>
      <w:pPr>
        <w:spacing w:after="0" w:line="56" w:lineRule="exact"/>
        <w:rPr>
          <w:rFonts w:ascii="Arial" w:cs="Arial" w:eastAsia="Arial" w:hAnsi="Arial"/>
          <w:sz w:val="16"/>
          <w:szCs w:val="16"/>
          <w:color w:val="auto"/>
        </w:rPr>
      </w:pPr>
    </w:p>
    <w:p>
      <w:pPr>
        <w:jc w:val="both"/>
        <w:ind w:left="820" w:firstLine="809"/>
        <w:spacing w:after="0" w:line="287" w:lineRule="auto"/>
        <w:tabs>
          <w:tab w:leader="none" w:pos="20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Other Disputes. In the event of any dispute, claim, question or disagreement relating to this Agreement, other than one for which the Company or Employee seeks injunctive relief, the parties shall use their best efforts to settle the dispute, claim, question or disagreement. To this effect, they shall consult and negotiate with each other in good faith and, recognizing their mutual interests, attempt to reach a just and equitable solution satisfactory to both parties. If such a dispute cannot be settled through negotiation, the parties agree first to try in good faith to settle the dispute by mediation administered by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under its Commercial Mediation Rules before resorting to arbitration or some other dispute resolution procedure. If the parties do not reach such solution through negotiation or mediation within a period of sixty (60) days after a claim is first made by a party, then, upon notice by either party to the other, all disputes, claims, questions or disagreements shall be finally settled by arbitration administered by the AAA in accordance with the provisions of its Commercial Arbitration Rules. The arbitrator shall be selected by agreement of the parties or, if they do not agree on an arbitrator within thirty (30) days after either party has notified the other of his or its desire to have the question settled by arbitration, then the arbitrator shall be selected pursuant to the procedures of the AAA, with such arbitration taking place in Dallas, Texas. The determination reached in such arbitration shall be final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60" w:name="page61"/>
    <w:bookmarkEnd w:id="60"/>
    <w:p>
      <w:pPr>
        <w:ind w:left="820"/>
        <w:spacing w:after="0"/>
        <w:rPr>
          <w:sz w:val="20"/>
          <w:szCs w:val="20"/>
          <w:color w:val="auto"/>
        </w:rPr>
      </w:pPr>
      <w:r>
        <w:rPr>
          <w:rFonts w:ascii="Arial" w:cs="Arial" w:eastAsia="Arial" w:hAnsi="Arial"/>
          <w:sz w:val="18"/>
          <w:szCs w:val="18"/>
          <w:color w:val="auto"/>
        </w:rPr>
        <w:t>binding on all parties. Enforcement of the determination by such arbitrator may be sought in any court of competent jurisdiction.</w:t>
      </w:r>
    </w:p>
    <w:p>
      <w:pPr>
        <w:spacing w:after="0" w:line="117" w:lineRule="exact"/>
        <w:rPr>
          <w:sz w:val="20"/>
          <w:szCs w:val="20"/>
          <w:color w:val="auto"/>
        </w:rPr>
      </w:pPr>
    </w:p>
    <w:p>
      <w:pPr>
        <w:jc w:val="both"/>
        <w:ind w:firstLine="656"/>
        <w:spacing w:after="0" w:line="312" w:lineRule="auto"/>
        <w:tabs>
          <w:tab w:leader="none" w:pos="106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Substantially Prevailing Party</w:t>
      </w:r>
      <w:r>
        <w:rPr>
          <w:rFonts w:ascii="Arial" w:cs="Arial" w:eastAsia="Arial" w:hAnsi="Arial"/>
          <w:sz w:val="16"/>
          <w:szCs w:val="16"/>
          <w:color w:val="auto"/>
        </w:rPr>
        <w:t xml:space="preserve">. The substantially prevailing party in any legal proceeding, including mediation and arbitration, based upon this Agreement shall be entitled to reasonable attorneys’ fees and costs, in addition to any other damages and relief allowed by law, from the substantially non-prevailing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maximum amount of fees and costs of all parties for which Employee shall be liable shall be $100,000.</w:t>
      </w:r>
    </w:p>
    <w:p>
      <w:pPr>
        <w:spacing w:after="0" w:line="146" w:lineRule="exact"/>
        <w:rPr>
          <w:rFonts w:ascii="Arial" w:cs="Arial" w:eastAsia="Arial" w:hAnsi="Arial"/>
          <w:sz w:val="16"/>
          <w:szCs w:val="16"/>
          <w:color w:val="auto"/>
        </w:rPr>
      </w:pPr>
    </w:p>
    <w:p>
      <w:pPr>
        <w:ind w:firstLine="656"/>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in the Agreement shall not in any way affect the validity or enforceability of any other provision and this Agreement shall be construed in all respects as if such invalid or unenforceable provision had never been in the Agreement.</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0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and all notices required or permitted herein shall be deemed delivered if delivered personally or if mailed by registered or certified mail to the Company at its principal place of business and to Employee at the address hereinafter set forth following Employee’s signature, or at such other address or addresses as either party may hereafter designate in writing to the other.</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together with any amendments hereto, shall be binding upon and shall inure to the benefit of the parties hereto and their respective successors, assigns, heirs and personal representatives, except that the rights and benefits of either of the parties under this Agreement may not be assigned without the prior written consent of the other party.</w:t>
      </w:r>
    </w:p>
    <w:p>
      <w:pPr>
        <w:spacing w:after="0" w:line="181" w:lineRule="exact"/>
        <w:rPr>
          <w:rFonts w:ascii="Arial" w:cs="Arial" w:eastAsia="Arial" w:hAnsi="Arial"/>
          <w:sz w:val="18"/>
          <w:szCs w:val="18"/>
          <w:color w:val="auto"/>
        </w:rPr>
      </w:pPr>
    </w:p>
    <w:p>
      <w:pPr>
        <w:ind w:firstLine="656"/>
        <w:spacing w:after="0" w:line="277"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at any time by mutual consent of the parties hereto, with any such amendment to be invalid unless in writing, signed by Matador and Employee.</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along with the Company’s employee handbook, as it may be amended from time to time, to the extent it does not specifically conflict with any provision of this Agreement, contains the entire agreement and understanding by and between Employee and the Company with respect to the employment of Employee, and no representations, promises, agreements, or understandings, written or oral, relating to the employment of Employee by the Company not contained herein, including without limitation the Prior Agreement, shall be of any force or effect .</w:t>
      </w:r>
    </w:p>
    <w:p>
      <w:pPr>
        <w:spacing w:after="0" w:line="154" w:lineRule="exact"/>
        <w:rPr>
          <w:rFonts w:ascii="Arial" w:cs="Arial" w:eastAsia="Arial" w:hAnsi="Arial"/>
          <w:sz w:val="16"/>
          <w:szCs w:val="16"/>
          <w:color w:val="auto"/>
        </w:rPr>
      </w:pPr>
    </w:p>
    <w:p>
      <w:pPr>
        <w:ind w:firstLine="656"/>
        <w:spacing w:after="0" w:line="277" w:lineRule="auto"/>
        <w:tabs>
          <w:tab w:leader="none" w:pos="106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Burden and Benefit</w:t>
      </w:r>
      <w:r>
        <w:rPr>
          <w:rFonts w:ascii="Arial" w:cs="Arial" w:eastAsia="Arial" w:hAnsi="Arial"/>
          <w:sz w:val="18"/>
          <w:szCs w:val="18"/>
          <w:color w:val="auto"/>
        </w:rPr>
        <w:t>. This Agreement shall be binding upon, and shall inure to the benefit of, the Company and Employee, and their respective heirs, personal and legal representatives, successors, and assigns.</w:t>
      </w:r>
    </w:p>
    <w:p>
      <w:pPr>
        <w:spacing w:after="0" w:line="170" w:lineRule="exact"/>
        <w:rPr>
          <w:rFonts w:ascii="Arial" w:cs="Arial" w:eastAsia="Arial" w:hAnsi="Arial"/>
          <w:sz w:val="18"/>
          <w:szCs w:val="18"/>
          <w:color w:val="auto"/>
        </w:rPr>
      </w:pPr>
    </w:p>
    <w:p>
      <w:pPr>
        <w:ind w:firstLine="656"/>
        <w:spacing w:after="0" w:line="308" w:lineRule="auto"/>
        <w:tabs>
          <w:tab w:leader="none" w:pos="105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References to Gender and Number Terms</w:t>
      </w:r>
      <w:r>
        <w:rPr>
          <w:rFonts w:ascii="Arial" w:cs="Arial" w:eastAsia="Arial" w:hAnsi="Arial"/>
          <w:sz w:val="17"/>
          <w:szCs w:val="17"/>
          <w:color w:val="auto"/>
        </w:rPr>
        <w:t>. In construing this Agreement, feminine or number pronouns shall be substituted for those masculine in form and vice versa, and plural terms shall be substituted for singular and singular for plural in any place where the context so requires.</w:t>
      </w:r>
    </w:p>
    <w:p>
      <w:pPr>
        <w:spacing w:after="0" w:line="146" w:lineRule="exact"/>
        <w:rPr>
          <w:rFonts w:ascii="Arial" w:cs="Arial" w:eastAsia="Arial" w:hAnsi="Arial"/>
          <w:sz w:val="17"/>
          <w:szCs w:val="17"/>
          <w:color w:val="auto"/>
        </w:rPr>
      </w:pPr>
    </w:p>
    <w:p>
      <w:pPr>
        <w:ind w:left="1060" w:hanging="404"/>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various headings in this Agreement are inserted for convenience only and are not part of the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IN WITNESS WHEREOF, the Company and Employee have duly executed this Agreement to be effective as of the Effective Date.</w:t>
      </w:r>
    </w:p>
    <w:p>
      <w:pPr>
        <w:sectPr>
          <w:pgSz w:w="11900" w:h="16838" w:orient="portrait"/>
          <w:cols w:equalWidth="0" w:num="1">
            <w:col w:w="9559"/>
          </w:cols>
          <w:pgMar w:left="900" w:top="692" w:right="1440" w:bottom="1440" w:gutter="0" w:footer="0" w:header="0"/>
        </w:sectPr>
      </w:pPr>
    </w:p>
    <w:p>
      <w:pPr>
        <w:spacing w:after="0" w:line="298"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MATADOR RESOURCES COMPANY</w:t>
      </w:r>
    </w:p>
    <w:p>
      <w:pPr>
        <w:spacing w:after="0" w:line="376"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By:</w:t>
        <w:tab/>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31750</wp:posOffset>
            </wp:positionV>
            <wp:extent cx="23069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Chairman of the Board and Chief</w:t>
      </w:r>
    </w:p>
    <w:p>
      <w:pPr>
        <w:spacing w:after="0" w:line="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5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One Lincoln Centre</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5400 LBJ Freeway, Suite 1500</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Dallas, TX 75240</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Attention: Board of Directors</w:t>
      </w: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EMPLOYEE:</w:t>
      </w:r>
    </w:p>
    <w:p>
      <w:pPr>
        <w:spacing w:after="0" w:line="39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Bradley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31750</wp:posOffset>
            </wp:positionV>
            <wp:extent cx="26498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Bradley M. Robinson, individually</w:t>
      </w: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417830</wp:posOffset>
            </wp:positionV>
            <wp:extent cx="26498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220980</wp:posOffset>
            </wp:positionV>
            <wp:extent cx="26498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59"/>
          </w:cols>
          <w:pgMar w:left="900" w:top="692" w:right="1440"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SEPARATION AGREEMENT AND RELEASE</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Separation Agreement and Release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Matador Resources Company, a Texas corporation (“</w:t>
      </w:r>
      <w:r>
        <w:rPr>
          <w:rFonts w:ascii="Arial" w:cs="Arial" w:eastAsia="Arial" w:hAnsi="Arial"/>
          <w:sz w:val="17"/>
          <w:szCs w:val="17"/>
          <w:u w:val="single" w:color="auto"/>
          <w:color w:val="auto"/>
        </w:rPr>
        <w:t>Matador</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 ]</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w:t>
      </w:r>
      <w:r>
        <w:rPr>
          <w:rFonts w:ascii="Arial" w:cs="Arial" w:eastAsia="Arial" w:hAnsi="Arial"/>
          <w:sz w:val="17"/>
          <w:szCs w:val="17"/>
          <w:color w:val="auto"/>
        </w:rPr>
        <w:t>”) as of (the “</w:t>
      </w:r>
      <w:r>
        <w:rPr>
          <w:rFonts w:ascii="Arial" w:cs="Arial" w:eastAsia="Arial" w:hAnsi="Arial"/>
          <w:sz w:val="17"/>
          <w:szCs w:val="17"/>
          <w:u w:val="single" w:color="auto"/>
          <w:color w:val="auto"/>
        </w:rPr>
        <w:t>Agreement Date</w:t>
      </w:r>
      <w:r>
        <w:rPr>
          <w:rFonts w:ascii="Arial" w:cs="Arial" w:eastAsia="Arial" w:hAnsi="Arial"/>
          <w:sz w:val="17"/>
          <w:szCs w:val="17"/>
          <w:color w:val="auto"/>
        </w:rPr>
        <w:t>”). Matador and Employee are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cancels and supersedes all prior agreements relating to Employee’s employment with Matador except as provided in this Agreement.</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Matador and Employee entered into an Amended and Restated Employment Agreement as of August 1, 2018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This Agreement is entered into by and between Employee and Matador pursuant to the Employment Agreement;</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because of Employee’s employment as an employee of Matador, Employee has obtained intimate and unique knowledge of all aspects of Matador’s business operations, current and future plans, financial plans and other confidential and proprietary information;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Employee’s employment with Matador and all other positions, if any, held by Employee in Matador or any of its subsidiaries or affiliates, including officer positions, terminated effective as of [</w:t>
      </w:r>
      <w:r>
        <w:rPr>
          <w:rFonts w:ascii="Arial" w:cs="Arial" w:eastAsia="Arial" w:hAnsi="Arial"/>
          <w:sz w:val="18"/>
          <w:szCs w:val="18"/>
          <w:b w:val="1"/>
          <w:bCs w:val="1"/>
          <w:color w:val="auto"/>
        </w:rPr>
        <w:t>DATE</w:t>
      </w:r>
      <w:r>
        <w:rPr>
          <w:rFonts w:ascii="Arial" w:cs="Arial" w:eastAsia="Arial" w:hAnsi="Arial"/>
          <w:sz w:val="18"/>
          <w:szCs w:val="18"/>
          <w:color w:val="auto"/>
        </w:rPr>
        <w:t>]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and</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except as otherwise provided herein, the Parties desire to finally, fully and completely resolve all disputes that now or may exist between them, including, but not limited to those concerning the Employment Agreement (except for the post-termination obligations contained in the Employment Agreement), Employee’s job performance and activities while employed by Matador and Employee’s hiring, employment and separation from Matador, and all disputes over benefits and compensation connected with such employment;</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and agreements hereinafter set forth, and for other good and valuable consideration, the receipt and sufficiency of which are hereby acknowledged, the Parties hereto agree as follows:</w:t>
      </w:r>
    </w:p>
    <w:p>
      <w:pPr>
        <w:spacing w:after="0" w:line="116"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End of Employee’s Employment</w:t>
      </w:r>
      <w:r>
        <w:rPr>
          <w:rFonts w:ascii="Arial" w:cs="Arial" w:eastAsia="Arial" w:hAnsi="Arial"/>
          <w:sz w:val="18"/>
          <w:szCs w:val="18"/>
          <w:color w:val="auto"/>
        </w:rPr>
        <w:t>. Employee’s employment with Matador terminated on the Separation Date.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Certain Payments and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firstLine="645"/>
        <w:spacing w:after="0" w:line="308" w:lineRule="auto"/>
        <w:tabs>
          <w:tab w:leader="none" w:pos="174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In accordance with Matador’s customary payroll practices, Matador shall pay Employee for all unpaid salary, unreimbursed business expenses, and any accrued but unused vacation through the Separation Date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660" w:firstLine="645"/>
        <w:spacing w:after="0" w:line="297" w:lineRule="auto"/>
        <w:tabs>
          <w:tab w:leader="none" w:pos="1698"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Separation Payments</w:t>
      </w:r>
      <w:r>
        <w:rPr>
          <w:rFonts w:ascii="Arial" w:cs="Arial" w:eastAsia="Arial" w:hAnsi="Arial"/>
          <w:sz w:val="16"/>
          <w:szCs w:val="16"/>
          <w:color w:val="auto"/>
        </w:rPr>
        <w:t>. Subject to Employee’s consent to and fulfillment of Employee’s obligations in this Agreement and, if applicable pursuant to the Section 14(b) or (c) of the Employment Agreement, Employee’s post-termination obligations in Sections 8 and 9 of the Employment Agreement, and provided that Employee does not revoke this Agreement pursuant to Section 12 hereof, Matador shall pay Employee the amount of $[</w:t>
      </w:r>
      <w:r>
        <w:rPr>
          <w:rFonts w:ascii="Arial" w:cs="Arial" w:eastAsia="Arial" w:hAnsi="Arial"/>
          <w:sz w:val="16"/>
          <w:szCs w:val="16"/>
          <w:b w:val="1"/>
          <w:bCs w:val="1"/>
          <w:color w:val="auto"/>
        </w:rPr>
        <w:t>AMOUNT</w:t>
      </w:r>
      <w:r>
        <w:rPr>
          <w:rFonts w:ascii="Arial" w:cs="Arial" w:eastAsia="Arial" w:hAnsi="Arial"/>
          <w:sz w:val="16"/>
          <w:szCs w:val="16"/>
          <w:color w:val="auto"/>
        </w:rPr>
        <w:t>], minus normal payroll withholdings and taxes (“</w:t>
      </w:r>
      <w:r>
        <w:rPr>
          <w:rFonts w:ascii="Arial" w:cs="Arial" w:eastAsia="Arial" w:hAnsi="Arial"/>
          <w:sz w:val="16"/>
          <w:szCs w:val="16"/>
          <w:u w:val="single" w:color="auto"/>
          <w:color w:val="auto"/>
        </w:rPr>
        <w:t>Separation Payment</w:t>
      </w:r>
      <w:r>
        <w:rPr>
          <w:rFonts w:ascii="Arial" w:cs="Arial" w:eastAsia="Arial" w:hAnsi="Arial"/>
          <w:sz w:val="16"/>
          <w:szCs w:val="16"/>
          <w:color w:val="auto"/>
        </w:rPr>
        <w:t>”), payable as provided in the Employment Agreement. The Separation Payment will not be treated as compensation under Matador’s 401(k) Plan or any other retirement plan.</w:t>
      </w:r>
    </w:p>
    <w:p>
      <w:pPr>
        <w:spacing w:after="0" w:line="158" w:lineRule="exact"/>
        <w:rPr>
          <w:rFonts w:ascii="Arial" w:cs="Arial" w:eastAsia="Arial" w:hAnsi="Arial"/>
          <w:sz w:val="16"/>
          <w:szCs w:val="16"/>
          <w:color w:val="auto"/>
        </w:rPr>
      </w:pPr>
    </w:p>
    <w:p>
      <w:pPr>
        <w:jc w:val="both"/>
        <w:ind w:left="660" w:firstLine="645"/>
        <w:spacing w:after="0" w:line="255" w:lineRule="auto"/>
        <w:tabs>
          <w:tab w:leader="none" w:pos="172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Waiver of Additional Compensation or Benefits</w:t>
      </w:r>
      <w:r>
        <w:rPr>
          <w:rFonts w:ascii="Arial" w:cs="Arial" w:eastAsia="Arial" w:hAnsi="Arial"/>
          <w:sz w:val="18"/>
          <w:szCs w:val="18"/>
          <w:color w:val="auto"/>
        </w:rPr>
        <w:t xml:space="preserve">. Other than the compensation and payments provided for in this Agreement and the post-termination benefits provided for in the Employment Agreement, Employee shall not be entitled to any additional compensation, benefits, payments or grants under any agreement, benefit plan, severance plan or bonus or incentive program established by Matador or any of Matador’s affiliates, other than any vested retirement plan benefits, any vested equity grants or COBRA continuation coverage benefits. </w:t>
      </w:r>
      <w:r>
        <w:rPr>
          <w:rFonts w:ascii="Arial" w:cs="Arial" w:eastAsia="Arial" w:hAnsi="Arial"/>
          <w:sz w:val="18"/>
          <w:szCs w:val="18"/>
          <w:b w:val="1"/>
          <w:bCs w:val="1"/>
          <w:color w:val="auto"/>
        </w:rPr>
        <w:t>[TO BE MODIFIED,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IF APPLICABLE, FOR OTHER BENEFITS.] </w:t>
      </w:r>
      <w:r>
        <w:rPr>
          <w:rFonts w:ascii="Arial" w:cs="Arial" w:eastAsia="Arial" w:hAnsi="Arial"/>
          <w:sz w:val="18"/>
          <w:szCs w:val="18"/>
          <w:color w:val="auto"/>
        </w:rPr>
        <w:t>Employee agrees that the release in Section 3 covers any claims Employee might have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compensation, bonuses, stock options or grants and any other benefits Employee may or may not have received during Employee’s employment with Matador.</w:t>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656"/>
        <w:spacing w:after="0" w:line="284" w:lineRule="auto"/>
        <w:tabs>
          <w:tab w:leader="none" w:pos="103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General Release and Waiver</w:t>
      </w:r>
      <w:r>
        <w:rPr>
          <w:rFonts w:ascii="Arial" w:cs="Arial" w:eastAsia="Arial" w:hAnsi="Arial"/>
          <w:sz w:val="16"/>
          <w:szCs w:val="16"/>
          <w:color w:val="auto"/>
        </w:rPr>
        <w:t>. In consideration of the payments and other consideration provided for in this Agreement, that being good and valuable consideration, the receipt, adequacy and sufficiency of which are acknowledged by Employee, Employee, on Employee’s own behalf and on behalf of Employee’s agents, administrators, representatives, executors, successors, heirs, devisees and assigns (collectively, the “</w:t>
      </w:r>
      <w:r>
        <w:rPr>
          <w:rFonts w:ascii="Arial" w:cs="Arial" w:eastAsia="Arial" w:hAnsi="Arial"/>
          <w:sz w:val="16"/>
          <w:szCs w:val="16"/>
          <w:u w:val="single" w:color="auto"/>
          <w:color w:val="auto"/>
        </w:rPr>
        <w:t>Releasing Parties</w:t>
      </w:r>
      <w:r>
        <w:rPr>
          <w:rFonts w:ascii="Arial" w:cs="Arial" w:eastAsia="Arial" w:hAnsi="Arial"/>
          <w:sz w:val="16"/>
          <w:szCs w:val="16"/>
          <w:color w:val="auto"/>
        </w:rPr>
        <w:t>”) hereby fully releases, remises, acquits and forever discharges Matador and all of its affiliates, and each of their respective past, present and future officers, directors, shareholders, equity holders, members, partners, agents, employees, consultants, independent contractors, attorneys, advisers,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jointly and severally, from any and all claims, rights, demands, debts, obligations, losses, causes of action, suits, controversies, setoffs, affirmative defenses, counterclaims, third party actions, damages, penalties, costs, expenses, attorneys’ fees, liabilities and indemnities of any kind or nature whatsoever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whether known or unknown, suspected or unsuspected, accrued or unaccrued, whether at law, equity, administrative, statutory or otherwise, and whether for injunctive relief, back pay, fringe benefits, reinstatement, reemployment, or compensatory, punitive or any other kind of damages, which any of the Releasing Parties ever have had in the past or presently have against the Released Parties, and each of them, arising from or relating to Employee’s employment with Matador or its affiliates or the termination of that employment or any circumstances related thereto, or (except as otherwise provided below) any other matter, cause or thing whatsoever, including without limitation all claims arising under or relating to employment, employment contracts, employee benefits or purported employment discrimination or violations of civil rights of whatever kind or nature, including without limitation all claims arising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the Americans with Disabilities Act, as amended, the Family and Medical Leave Act of 1993, the Equal Pay Act of 1963, the Rehabilitation Act of 1973, Title VII of the United States Civil Rights Act of 1964, 42 U.S.C. § 1981, the Fair Labor Standards Act, the Employee Retirement Income Security Act, the Civil Rights Act of 1991, the Civil Rights Acts of 1866 and/or 1871, the Sarbanes-Oxley Act, the Genetic Information Nondiscrimination Act, the Lily Ledbetter Act, the Texas Commission on Human Rights Act, the Texas Payday Law, the Texas Labor Code or any other applicable federal, state or local employment statute, law or ordinance, including, without limitation, any disability claims under any such laws, claims for wrongful discharge, claims arising under state law, contract claims including breach of express or implied contract, alleged tortious conduct, claims relating to alleged fraud, breach of fiduciary duty or reliance, breach of implied covenant of good faith and fair dealing, and any other claims arising under state or federal law, as well as any expenses, costs or attorneys’ fees. Employee further agrees that Employee will not file or permit to be filed on Employee’s behalf any such claim. Notwithstanding the preceding sentence or any other provision of this Agreement, this release is not intended to interfere with Employee’s right to file a charge with the Equal Employment Opportunity Commission (the “</w:t>
      </w:r>
      <w:r>
        <w:rPr>
          <w:rFonts w:ascii="Arial" w:cs="Arial" w:eastAsia="Arial" w:hAnsi="Arial"/>
          <w:sz w:val="16"/>
          <w:szCs w:val="16"/>
          <w:u w:val="single" w:color="auto"/>
          <w:color w:val="auto"/>
        </w:rPr>
        <w:t>EEOC</w:t>
      </w:r>
      <w:r>
        <w:rPr>
          <w:rFonts w:ascii="Arial" w:cs="Arial" w:eastAsia="Arial" w:hAnsi="Arial"/>
          <w:sz w:val="16"/>
          <w:szCs w:val="16"/>
          <w:color w:val="auto"/>
        </w:rPr>
        <w:t xml:space="preserve">”), or other comparable agency, in connection with any claim Employee believes Employee may have against Matador or its affiliates. However, by executing this Agreement, Employee hereby waives the right to recover in any proceeding Employee may bring before the EEOC or any state human rights commission or in any proceeding brought by the EEOC or any state human rights commission on Employee’s behalf. This release shall not apply to any of Matador’s obligations under this Agreement or post-termination obligations under the Employment Agreement, any vested retirement plan benefits, any vested equity grants or COBRA continuation coverage benefits. </w:t>
      </w:r>
      <w:r>
        <w:rPr>
          <w:rFonts w:ascii="Arial" w:cs="Arial" w:eastAsia="Arial" w:hAnsi="Arial"/>
          <w:sz w:val="16"/>
          <w:szCs w:val="16"/>
          <w:b w:val="1"/>
          <w:bCs w:val="1"/>
          <w:color w:val="auto"/>
        </w:rPr>
        <w:t>[TO BE MODIFIED, IF APPLICABLE, FOR OTHER SURVIVING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ARRANGEMENTS.] </w:t>
      </w:r>
      <w:r>
        <w:rPr>
          <w:rFonts w:ascii="Arial" w:cs="Arial" w:eastAsia="Arial" w:hAnsi="Arial"/>
          <w:sz w:val="16"/>
          <w:szCs w:val="16"/>
          <w:color w:val="auto"/>
        </w:rPr>
        <w:t>Employee acknowledges that certain of the payments and benefits provided for in Section 2 of this Agreement constitute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for the release contained in this Section 3.</w:t>
      </w:r>
    </w:p>
    <w:p>
      <w:pPr>
        <w:spacing w:after="0" w:line="384" w:lineRule="exact"/>
        <w:rPr>
          <w:rFonts w:ascii="Arial" w:cs="Arial" w:eastAsia="Arial" w:hAnsi="Arial"/>
          <w:sz w:val="16"/>
          <w:szCs w:val="16"/>
          <w:color w:val="auto"/>
        </w:rPr>
      </w:pPr>
    </w:p>
    <w:p>
      <w:pPr>
        <w:jc w:val="both"/>
        <w:ind w:firstLine="656"/>
        <w:spacing w:after="0" w:line="290" w:lineRule="auto"/>
        <w:tabs>
          <w:tab w:leader="none" w:pos="96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Return of Matador Property</w:t>
      </w:r>
      <w:r>
        <w:rPr>
          <w:rFonts w:ascii="Arial" w:cs="Arial" w:eastAsia="Arial" w:hAnsi="Arial"/>
          <w:sz w:val="16"/>
          <w:szCs w:val="16"/>
          <w:color w:val="auto"/>
        </w:rPr>
        <w:t>. Within 7 days of the Agreement Date, Employee shall, to the extent not previously returned or delivered: (a) return all equipment, records, files, programs or other materials and property in Employee’s possession which belongs to Matador or any of its affiliates, including, without limitation, all computers, printers, laptops, personal data assistants, cell phones, credit cards, keys and access cards; and (b) deliver all original and copies of Confidential Information (as defined in the Employment Agreement) in Employee’s possession and notes, materials, records, plans, technical data or other documents, files or programs (whether stored in paper form, computer form, digital form, electronically or otherwise) in Employee’s possession that contain Confidential Information. By signing this Agreement, Employee represents and warrants that Employee has not retained and has or will timely return and deliver all the items described or referenced in subsections (a) or (b) above; and, that should Employee later discover additional items described or referenced in subsections (a) or (b) above, Employee will promptly notify Matador and return/deliver such items to Matador.</w:t>
      </w:r>
    </w:p>
    <w:p>
      <w:pPr>
        <w:spacing w:after="0" w:line="166" w:lineRule="exact"/>
        <w:rPr>
          <w:rFonts w:ascii="Arial" w:cs="Arial" w:eastAsia="Arial" w:hAnsi="Arial"/>
          <w:sz w:val="16"/>
          <w:szCs w:val="16"/>
          <w:color w:val="auto"/>
        </w:rPr>
      </w:pPr>
    </w:p>
    <w:p>
      <w:pPr>
        <w:ind w:firstLine="656"/>
        <w:spacing w:after="0" w:line="277" w:lineRule="auto"/>
        <w:tabs>
          <w:tab w:leader="none" w:pos="10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Employee will not, directly or indirectly, disclose, communicate, or publish any disparaging information concerning Matador or the Released Parties, or cause others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disclose, communicate, or publish any disparaging information concerning the same. Matador, on its own behalf and on behalf of its officers and directors, agrees that they will not, directly or indirectly, disclose, communicate or publish any disparaging information concerning Employee, or cause others to disclose, communicate, or publish any disparaging information concerning Employee. Notwithstanding the foregoing, the provisions of this Section shall not apply with respect to any charge filed by Employee with the EEOC or other comparable agency or in connection with any proceeding with respect to any claim not released by this Agreement.</w:t>
      </w:r>
    </w:p>
    <w:p>
      <w:pPr>
        <w:spacing w:after="0" w:line="200" w:lineRule="exact"/>
        <w:rPr>
          <w:sz w:val="20"/>
          <w:szCs w:val="20"/>
          <w:color w:val="auto"/>
        </w:rPr>
      </w:pPr>
    </w:p>
    <w:p>
      <w:pPr>
        <w:spacing w:after="0" w:line="204" w:lineRule="exact"/>
        <w:rPr>
          <w:sz w:val="20"/>
          <w:szCs w:val="20"/>
          <w:color w:val="auto"/>
        </w:rPr>
      </w:pPr>
    </w:p>
    <w:p>
      <w:pPr>
        <w:ind w:firstLine="656"/>
        <w:spacing w:after="0" w:line="277" w:lineRule="auto"/>
        <w:tabs>
          <w:tab w:leader="none" w:pos="109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 An Admission of Wrongdoing</w:t>
      </w:r>
      <w:r>
        <w:rPr>
          <w:rFonts w:ascii="Arial" w:cs="Arial" w:eastAsia="Arial" w:hAnsi="Arial"/>
          <w:sz w:val="18"/>
          <w:szCs w:val="18"/>
          <w:color w:val="auto"/>
        </w:rPr>
        <w:t>. This Agreement shall not in any way be construed as an admission by either Party of any acts of wrongdoing, violation of any statute, law or legal or contractual right.</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0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Voluntary Execution of the Agreement</w:t>
      </w:r>
      <w:r>
        <w:rPr>
          <w:rFonts w:ascii="Arial" w:cs="Arial" w:eastAsia="Arial" w:hAnsi="Arial"/>
          <w:sz w:val="16"/>
          <w:szCs w:val="16"/>
          <w:color w:val="auto"/>
        </w:rPr>
        <w:t>. Employee and Matador represent and agree that they have had an opportunity to review all aspects of this Agreement, and that they fully understand all the provisions of the Agreement and are voluntarily entering into this Agreement. Employee further represents that Employee has not transferred or assigned to any person or entity any claim involving Matador or any portion thereof or interest therein.</w:t>
      </w:r>
    </w:p>
    <w:p>
      <w:pPr>
        <w:spacing w:after="0" w:line="146" w:lineRule="exact"/>
        <w:rPr>
          <w:rFonts w:ascii="Arial" w:cs="Arial" w:eastAsia="Arial" w:hAnsi="Arial"/>
          <w:sz w:val="16"/>
          <w:szCs w:val="16"/>
          <w:color w:val="auto"/>
        </w:rPr>
      </w:pPr>
    </w:p>
    <w:p>
      <w:pPr>
        <w:ind w:right="20" w:firstLine="656"/>
        <w:spacing w:after="0" w:line="277" w:lineRule="auto"/>
        <w:tabs>
          <w:tab w:leader="none" w:pos="9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Ongoing Obligations</w:t>
      </w:r>
      <w:r>
        <w:rPr>
          <w:rFonts w:ascii="Arial" w:cs="Arial" w:eastAsia="Arial" w:hAnsi="Arial"/>
          <w:sz w:val="18"/>
          <w:szCs w:val="18"/>
          <w:color w:val="auto"/>
        </w:rPr>
        <w:t>. Employee reaffirms and understands Employee’s ongoing obligations in the Employment Agreement, including Sections 8, 9, 10, 11 and 21.</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4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Matador and upon Employee and Employee’s heirs, administrators, representatives, executors, successors and assigns and Matador’s representatives, successors and assigns. In the event of Employee’s death, this Agreement shall operate in favor of Employee’s estate and all payments, obligations and consideration will continue to be performed in favor of Employee’s estate.</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06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declared or determined to be illegal or invalid by any government agency or court of competent jurisdiction, the validity of the remaining parts, terms or provisions of this Agreement shall not be affected and such provisions shall remain in full force and effect.</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07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Except for the post-termination obligations in the Employment Agreement, any vested retirement plan benefits, any equity grant agreements and COBRA continuation coverage benefits </w:t>
      </w:r>
      <w:r>
        <w:rPr>
          <w:rFonts w:ascii="Arial" w:cs="Arial" w:eastAsia="Arial" w:hAnsi="Arial"/>
          <w:sz w:val="17"/>
          <w:szCs w:val="17"/>
          <w:b w:val="1"/>
          <w:bCs w:val="1"/>
          <w:color w:val="auto"/>
        </w:rPr>
        <w:t>[TO BE MODIFIED, IF APPLICABLE, FOR OTHER SURVIVING</w:t>
      </w:r>
      <w:r>
        <w:rPr>
          <w:rFonts w:ascii="Arial" w:cs="Arial" w:eastAsia="Arial" w:hAnsi="Arial"/>
          <w:sz w:val="17"/>
          <w:szCs w:val="17"/>
          <w:color w:val="auto"/>
        </w:rPr>
        <w:t xml:space="preserve"> </w:t>
      </w:r>
      <w:r>
        <w:rPr>
          <w:rFonts w:ascii="Arial" w:cs="Arial" w:eastAsia="Arial" w:hAnsi="Arial"/>
          <w:sz w:val="17"/>
          <w:szCs w:val="17"/>
          <w:b w:val="1"/>
          <w:bCs w:val="1"/>
          <w:color w:val="auto"/>
        </w:rPr>
        <w:t>ARRANGEMENTS.]</w:t>
      </w:r>
      <w:r>
        <w:rPr>
          <w:rFonts w:ascii="Arial" w:cs="Arial" w:eastAsia="Arial" w:hAnsi="Arial"/>
          <w:sz w:val="17"/>
          <w:szCs w:val="17"/>
          <w:color w:val="auto"/>
        </w:rPr>
        <w:t>, this Agreement sets forth the entire agreement between the Parties, and fully supersedes any and all prior agreements, understandings,</w:t>
      </w:r>
      <w:r>
        <w:rPr>
          <w:rFonts w:ascii="Arial" w:cs="Arial" w:eastAsia="Arial" w:hAnsi="Arial"/>
          <w:sz w:val="17"/>
          <w:szCs w:val="17"/>
          <w:b w:val="1"/>
          <w:bCs w:val="1"/>
          <w:color w:val="auto"/>
        </w:rPr>
        <w:t xml:space="preserve"> </w:t>
      </w:r>
      <w:r>
        <w:rPr>
          <w:rFonts w:ascii="Arial" w:cs="Arial" w:eastAsia="Arial" w:hAnsi="Arial"/>
          <w:sz w:val="17"/>
          <w:szCs w:val="17"/>
          <w:color w:val="auto"/>
        </w:rPr>
        <w:t>or representations between the Parties pertaining to Employee’s employment with Matador, the subject matter of this Agreement or any other term or condition of the employment relationship between Matador and Employee. Employee represents and acknowledges that in executing this Agreement, Employee does not rely, and has not relied, upon any representation(s) by Matador or its agents except as expressly contained in this Agreement or the Employment Agreement. Employee and Matador agree that they have each used their own judgment in entering into this Agreement.</w:t>
      </w:r>
    </w:p>
    <w:p>
      <w:pPr>
        <w:spacing w:after="0" w:line="177" w:lineRule="exact"/>
        <w:rPr>
          <w:rFonts w:ascii="Arial" w:cs="Arial" w:eastAsia="Arial" w:hAnsi="Arial"/>
          <w:sz w:val="17"/>
          <w:szCs w:val="17"/>
          <w:color w:val="auto"/>
        </w:rPr>
      </w:pPr>
    </w:p>
    <w:p>
      <w:pPr>
        <w:jc w:val="both"/>
        <w:ind w:firstLine="656"/>
        <w:spacing w:after="0" w:line="253" w:lineRule="auto"/>
        <w:tabs>
          <w:tab w:leader="none" w:pos="106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Employee, by Employee’s free and voluntary act of signing below, (i) acknowledges that Employee has been given a period of twenty-one (21) days to consider whether to agree to the terms contained herein, (ii) acknowledges that Employee has been advised to consult with an attorney prior to executing this Agreement, (iii) acknowledges that Employee understands that this Agreement specifically releases and waives all rights and claims Employee may have under the ADEA, prior to the date on which Employee signs this Agreement, and (iv) agrees to all of the terms of this Agreement and intends to be legally bound thereby. The Parties acknowledge and agree that each Party has reviewed and negotiated the terms and provisions of this Agreement and has contributed to its preparation (with advice of counsel). Accordingly, the rule of construction to the effect that ambiguities are resolved against the drafting party shall not be employed in the interpretation of this Agreement. Rather, the terms of this Agreement shall be construed fairly as to both Parties and not in favor of or against either Party, regardless of which Party generally was responsible for the preparation of this Agreement.</w:t>
      </w:r>
    </w:p>
    <w:p>
      <w:pPr>
        <w:spacing w:after="0" w:line="3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Agreement will become effective, enforceable and irrevocable on the eighth day after the date on which it is executed by Employee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During the seven-day period prior to the Effective Date, Employee may revoke Employee’s agreement to accept the terms hereof by giving notice to Matador of Employee’s intention to revoke. If Employee exercises Employee’s right to revoke hereunder, Employee shall not be entitled, except as required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by applicable wage payment laws, including but not limited to the Accrued Obligations, to any payment hereunder until Employee executes and does not revoke a comparable release of claims, and to the extent such payments or benefits have already been made, Employee agrees that Employee will immediately reimburse Matador for the amounts of such payments and benefits to which he is not entitled.</w:t>
      </w:r>
    </w:p>
    <w:p>
      <w:pPr>
        <w:spacing w:after="0" w:line="397" w:lineRule="exact"/>
        <w:rPr>
          <w:sz w:val="20"/>
          <w:szCs w:val="20"/>
          <w:color w:val="auto"/>
        </w:rPr>
      </w:pPr>
    </w:p>
    <w:p>
      <w:pPr>
        <w:jc w:val="both"/>
        <w:ind w:right="20" w:firstLine="656"/>
        <w:spacing w:after="0" w:line="264" w:lineRule="auto"/>
        <w:tabs>
          <w:tab w:leader="none" w:pos="109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will be in writing. Any notice or other communication hereunder shall be deemed duly given if it is delivered personally or sent by registered or certified mail, return receipt requested, postage prepaid, and addressed to the intended recipient as set forth:</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Employee:</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 ADDRESS]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Matador:</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Matador Resources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the address to which notices and other communications are to be delivered by giving the other Party notice.</w:t>
      </w:r>
    </w:p>
    <w:p>
      <w:pPr>
        <w:spacing w:after="0" w:line="171" w:lineRule="exact"/>
        <w:rPr>
          <w:sz w:val="20"/>
          <w:szCs w:val="20"/>
          <w:color w:val="auto"/>
        </w:rPr>
      </w:pPr>
    </w:p>
    <w:p>
      <w:pPr>
        <w:ind w:left="1060" w:hanging="404"/>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Governing Law; Venue; Arbitration</w:t>
      </w:r>
      <w:r>
        <w:rPr>
          <w:rFonts w:ascii="Arial" w:cs="Arial" w:eastAsia="Arial" w:hAnsi="Arial"/>
          <w:sz w:val="17"/>
          <w:szCs w:val="17"/>
          <w:color w:val="auto"/>
        </w:rPr>
        <w:t>. This section of the Agreement shall be governed by Section 23 of the Employment Agreement.</w:t>
      </w:r>
    </w:p>
    <w:p>
      <w:pPr>
        <w:spacing w:after="0" w:line="182" w:lineRule="exact"/>
        <w:rPr>
          <w:rFonts w:ascii="Arial" w:cs="Arial" w:eastAsia="Arial" w:hAnsi="Arial"/>
          <w:sz w:val="17"/>
          <w:szCs w:val="17"/>
          <w:color w:val="auto"/>
        </w:rPr>
      </w:pPr>
    </w:p>
    <w:p>
      <w:pPr>
        <w:ind w:firstLine="656"/>
        <w:spacing w:after="0" w:line="308" w:lineRule="auto"/>
        <w:tabs>
          <w:tab w:leader="none" w:pos="113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when executed and delivered (which deliveries may be by facsimile or other electronic method of delivery) shall be deemed an original and all of which together shall constitute one and the same instrument.</w:t>
      </w:r>
    </w:p>
    <w:p>
      <w:pPr>
        <w:spacing w:after="0" w:line="92" w:lineRule="exact"/>
        <w:rPr>
          <w:rFonts w:ascii="Arial" w:cs="Arial" w:eastAsia="Arial" w:hAnsi="Arial"/>
          <w:sz w:val="17"/>
          <w:szCs w:val="17"/>
          <w:color w:val="auto"/>
        </w:rPr>
      </w:pPr>
    </w:p>
    <w:p>
      <w:pPr>
        <w:ind w:right="20" w:firstLine="656"/>
        <w:spacing w:after="0" w:line="277" w:lineRule="auto"/>
        <w:tabs>
          <w:tab w:leader="none" w:pos="109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Assignment of Claims</w:t>
      </w:r>
      <w:r>
        <w:rPr>
          <w:rFonts w:ascii="Arial" w:cs="Arial" w:eastAsia="Arial" w:hAnsi="Arial"/>
          <w:sz w:val="18"/>
          <w:szCs w:val="18"/>
          <w:color w:val="auto"/>
        </w:rPr>
        <w:t>. Employee represents and agrees that Employee has not transferred or assigned, to any person or entity, any claim involving Matador, or any portion thereof or interest therein.</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This Agreement may not be waived, modified, amended, supplemented, canceled or discharged, except by written agreement of the Parties. Failure to exercise and/or delay in exercising any right, power or privilege in this Agreement shall not operate as a waiver. No waiver of any breach of any provision shall be deemed to be a waiver of any preceding or succeeding breach of the same or any other provision, nor shall any waiver be implied from any course of dealing between or among the Parties.</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 ACKNOWLEDGE THAT I HAVE CAREFULLY READ THE FOREGOING AGREEMENT, THAT I UNDERSTAND ALL OF ITS TERMS AND THAT I AM RELEASING CLAIMS AND THAT I AM ENTERING INTO IT VOLUNTARILY.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AGREED TO BY:</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620" w:type="dxa"/>
            <w:vAlign w:val="bottom"/>
          </w:tcPr>
          <w:p>
            <w:pPr>
              <w:spacing w:after="0"/>
              <w:rPr>
                <w:sz w:val="24"/>
                <w:szCs w:val="24"/>
                <w:color w:val="auto"/>
              </w:rPr>
            </w:pPr>
          </w:p>
        </w:tc>
        <w:tc>
          <w:tcPr>
            <w:tcW w:w="3660" w:type="dxa"/>
            <w:vAlign w:val="bottom"/>
          </w:tcPr>
          <w:p>
            <w:pPr>
              <w:ind w:left="600"/>
              <w:spacing w:after="0"/>
              <w:rPr>
                <w:sz w:val="20"/>
                <w:szCs w:val="20"/>
                <w:color w:val="auto"/>
              </w:rPr>
            </w:pPr>
            <w:r>
              <w:rPr>
                <w:rFonts w:ascii="Arial" w:cs="Arial" w:eastAsia="Arial" w:hAnsi="Arial"/>
                <w:sz w:val="18"/>
                <w:szCs w:val="18"/>
                <w:color w:val="auto"/>
                <w:w w:val="89"/>
              </w:rPr>
              <w:t>__________________________________</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660" w:type="dxa"/>
            <w:vAlign w:val="bottom"/>
            <w:vMerge w:val="restart"/>
          </w:tcPr>
          <w:p>
            <w:pPr>
              <w:ind w:left="6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3"/>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[EMPLOYEE]</w:t>
            </w:r>
          </w:p>
        </w:tc>
        <w:tc>
          <w:tcPr>
            <w:tcW w:w="3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620" w:type="dxa"/>
            <w:vAlign w:val="bottom"/>
            <w:vMerge w:val="continue"/>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6" w:name="page67"/>
    <w:bookmarkEnd w:id="66"/>
    <w:p>
      <w:pPr>
        <w:ind w:left="40"/>
        <w:spacing w:after="0"/>
        <w:rPr>
          <w:sz w:val="20"/>
          <w:szCs w:val="20"/>
          <w:color w:val="auto"/>
        </w:rPr>
      </w:pPr>
      <w:r>
        <w:rPr>
          <w:rFonts w:ascii="Arial" w:cs="Arial" w:eastAsia="Arial" w:hAnsi="Arial"/>
          <w:sz w:val="18"/>
          <w:szCs w:val="18"/>
          <w:color w:val="auto"/>
        </w:rPr>
        <w:t>STATE OF TEXAS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COUNTY OF ____________</w:t>
      </w:r>
    </w:p>
    <w:p>
      <w:pPr>
        <w:spacing w:after="0" w:line="19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Before me, a Notary Public, on this day personally appeared, known to me to be the person whose name is subscribed to the foregoing instrument, and acknowledges to me that he has executed this Agreement on behalf of himself and his heirs, for the purposes and consideration therein expressed.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seal of office this day of 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478155</wp:posOffset>
            </wp:positionV>
            <wp:extent cx="32759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Notary Public in and for the State of Texas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(PERSONALIZED SEAL)</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MATADOR RESOURCES COMPANY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769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769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769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OF TEXAS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COUNTY OF ____________</w:t>
      </w:r>
    </w:p>
    <w:p>
      <w:pPr>
        <w:spacing w:after="0" w:line="198" w:lineRule="exact"/>
        <w:rPr>
          <w:sz w:val="20"/>
          <w:szCs w:val="20"/>
          <w:color w:val="auto"/>
        </w:rPr>
      </w:pPr>
    </w:p>
    <w:p>
      <w:pPr>
        <w:ind w:firstLine="729"/>
        <w:spacing w:after="0" w:line="264" w:lineRule="auto"/>
        <w:rPr>
          <w:sz w:val="20"/>
          <w:szCs w:val="20"/>
          <w:color w:val="auto"/>
        </w:rPr>
      </w:pPr>
      <w:r>
        <w:rPr>
          <w:rFonts w:ascii="Arial" w:cs="Arial" w:eastAsia="Arial" w:hAnsi="Arial"/>
          <w:sz w:val="18"/>
          <w:szCs w:val="18"/>
          <w:color w:val="auto"/>
        </w:rPr>
        <w:t>Before me, a Notary Public, on this day personally appeared, known to me to be the person and officer whose name is subscribed to the foregoing instrument and acknowledged to me that the same was the act of , and that he has executed the same on behalf of said corporation for the purposes and consideration therein expressed, and in the capacity therein stated.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seal of office this day of 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666750</wp:posOffset>
            </wp:positionV>
            <wp:extent cx="32759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Notary Public in and for the State of Texas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(PERSONALIZED SEAL)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746" w:right="419" w:bottom="1440" w:gutter="0" w:footer="0" w:header="0"/>
        </w:sectPr>
      </w:pPr>
    </w:p>
    <w:bookmarkStart w:id="67" w:name="page68"/>
    <w:bookmarkEnd w:id="67"/>
    <w:p>
      <w:pPr>
        <w:ind w:left="10460"/>
        <w:spacing w:after="0"/>
        <w:rPr>
          <w:sz w:val="20"/>
          <w:szCs w:val="20"/>
          <w:color w:val="auto"/>
        </w:rPr>
      </w:pPr>
      <w:r>
        <w:rPr>
          <w:rFonts w:ascii="Arial" w:cs="Arial" w:eastAsia="Arial" w:hAnsi="Arial"/>
          <w:sz w:val="17"/>
          <w:szCs w:val="17"/>
          <w:b w:val="1"/>
          <w:bCs w:val="1"/>
          <w:color w:val="auto"/>
        </w:rPr>
        <w:t>Exhibit 23.1</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hereby consent to the use of the name Netherland, Sewell &amp; Associates, Inc.; the references to our audit of Matador Resources Company’s proved oil and natural gas reserves estimates and future net revenue at June 30, 2018; and the inclusion of our corresponding audit letter, dated July 20, 2018, in this Quarterly Report on Form 10-Q of Matador Resources Company for the fiscal quarter ended June 30, 2018, as well as in the notes to the financial statements included therein. In addition, we hereby consent to the incorporation by reference of our audit letter, dated July 20, 2018, in Matador Resources Company’s Forms S-8 (File No. 333-180641 and File No. 333-204868) and Form S-3 (File No. 333-219932).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91" w:lineRule="exact"/>
        <w:rPr>
          <w:sz w:val="20"/>
          <w:szCs w:val="20"/>
          <w:color w:val="auto"/>
        </w:rPr>
      </w:pPr>
    </w:p>
    <w:p>
      <w:pPr>
        <w:ind w:left="7440"/>
        <w:spacing w:after="0"/>
        <w:tabs>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 (Scott) Rees III</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 (Scott) Rees III, P.E.</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ectPr>
          <w:pgSz w:w="11900" w:h="16838" w:orient="portrait"/>
          <w:cols w:equalWidth="0" w:num="1">
            <w:col w:w="11420"/>
          </w:cols>
          <w:pgMar w:left="240" w:top="74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4900" w:val="left"/>
        </w:tabs>
        <w:rPr>
          <w:sz w:val="20"/>
          <w:szCs w:val="20"/>
          <w:color w:val="auto"/>
        </w:rPr>
      </w:pPr>
      <w:r>
        <w:rPr>
          <w:rFonts w:ascii="Arial" w:cs="Arial" w:eastAsia="Arial" w:hAnsi="Arial"/>
          <w:sz w:val="18"/>
          <w:szCs w:val="18"/>
          <w:color w:val="auto"/>
        </w:rPr>
        <w:t>August 3, 2018</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24009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3,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5730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2018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8"/>
          <w:szCs w:val="18"/>
          <w:color w:val="auto"/>
        </w:rPr>
        <w:t>August 3, 2018</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23837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2018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August 3, 2018</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4701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Brad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Robinson:</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June 30, 2018,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MRC's estimates of the net reserves and future net revenue, as of June 30, 2018, for the audited properties: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3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Net Reserves</w:t>
            </w:r>
          </w:p>
        </w:tc>
        <w:tc>
          <w:tcPr>
            <w:tcW w:w="320" w:type="dxa"/>
            <w:vAlign w:val="bottom"/>
          </w:tcPr>
          <w:p>
            <w:pPr>
              <w:spacing w:after="0"/>
              <w:rPr>
                <w:sz w:val="19"/>
                <w:szCs w:val="19"/>
                <w:color w:val="auto"/>
              </w:rPr>
            </w:pPr>
          </w:p>
        </w:tc>
        <w:tc>
          <w:tcPr>
            <w:tcW w:w="34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Future Net Revenue (M$)</w:t>
            </w:r>
          </w:p>
        </w:tc>
      </w:tr>
      <w:tr>
        <w:trPr>
          <w:trHeight w:val="257"/>
        </w:trPr>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Oil</w:t>
            </w:r>
          </w:p>
        </w:tc>
        <w:tc>
          <w:tcPr>
            <w:tcW w:w="1720" w:type="dxa"/>
            <w:vAlign w:val="bottom"/>
            <w:gridSpan w:val="2"/>
          </w:tcPr>
          <w:p>
            <w:pPr>
              <w:ind w:left="520"/>
              <w:spacing w:after="0"/>
              <w:rPr>
                <w:sz w:val="20"/>
                <w:szCs w:val="20"/>
                <w:color w:val="auto"/>
              </w:rPr>
            </w:pPr>
            <w:r>
              <w:rPr>
                <w:rFonts w:ascii="Arial" w:cs="Arial" w:eastAsia="Arial" w:hAnsi="Arial"/>
                <w:sz w:val="18"/>
                <w:szCs w:val="18"/>
                <w:color w:val="auto"/>
              </w:rPr>
              <w:t>Gas</w:t>
            </w: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77"/>
        </w:trPr>
        <w:tc>
          <w:tcPr>
            <w:tcW w:w="35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Category</w:t>
            </w:r>
          </w:p>
        </w:tc>
        <w:tc>
          <w:tcPr>
            <w:tcW w:w="320" w:type="dxa"/>
            <w:vAlign w:val="bottom"/>
          </w:tcPr>
          <w:p>
            <w:pPr>
              <w:spacing w:after="0"/>
              <w:rPr>
                <w:sz w:val="24"/>
                <w:szCs w:val="24"/>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(MBBL)</w:t>
            </w:r>
          </w:p>
        </w:tc>
        <w:tc>
          <w:tcPr>
            <w:tcW w:w="340" w:type="dxa"/>
            <w:vAlign w:val="bottom"/>
          </w:tcPr>
          <w:p>
            <w:pPr>
              <w:spacing w:after="0"/>
              <w:rPr>
                <w:sz w:val="24"/>
                <w:szCs w:val="24"/>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(MMCF)</w:t>
            </w:r>
          </w:p>
        </w:tc>
        <w:tc>
          <w:tcPr>
            <w:tcW w:w="320" w:type="dxa"/>
            <w:vAlign w:val="bottom"/>
          </w:tcPr>
          <w:p>
            <w:pPr>
              <w:spacing w:after="0"/>
              <w:rPr>
                <w:sz w:val="24"/>
                <w:szCs w:val="24"/>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at 10%</w:t>
            </w:r>
          </w:p>
        </w:tc>
      </w:tr>
      <w:tr>
        <w:trPr>
          <w:trHeight w:val="55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420" w:type="dxa"/>
            <w:vAlign w:val="bottom"/>
          </w:tcPr>
          <w:p>
            <w:pPr>
              <w:jc w:val="right"/>
              <w:spacing w:after="0"/>
              <w:rPr>
                <w:sz w:val="20"/>
                <w:szCs w:val="20"/>
                <w:color w:val="auto"/>
              </w:rPr>
            </w:pPr>
            <w:r>
              <w:rPr>
                <w:rFonts w:ascii="Arial" w:cs="Arial" w:eastAsia="Arial" w:hAnsi="Arial"/>
                <w:sz w:val="18"/>
                <w:szCs w:val="18"/>
                <w:color w:val="auto"/>
              </w:rPr>
              <w:t>44,451.0</w:t>
            </w:r>
          </w:p>
        </w:tc>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221,348.2</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1,845,692.4</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1,233,851.1</w:t>
            </w:r>
          </w:p>
        </w:tc>
      </w:tr>
      <w:tr>
        <w:trPr>
          <w:trHeight w:val="25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420" w:type="dxa"/>
            <w:vAlign w:val="bottom"/>
          </w:tcPr>
          <w:p>
            <w:pPr>
              <w:jc w:val="right"/>
              <w:spacing w:after="0"/>
              <w:rPr>
                <w:sz w:val="20"/>
                <w:szCs w:val="20"/>
                <w:color w:val="auto"/>
              </w:rPr>
            </w:pPr>
            <w:r>
              <w:rPr>
                <w:rFonts w:ascii="Arial" w:cs="Arial" w:eastAsia="Arial" w:hAnsi="Arial"/>
                <w:sz w:val="18"/>
                <w:szCs w:val="18"/>
                <w:color w:val="auto"/>
              </w:rPr>
              <w:t>579.1</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2,963.9</w:t>
            </w:r>
          </w:p>
        </w:tc>
        <w:tc>
          <w:tcPr>
            <w:tcW w:w="3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28,107.7</w:t>
            </w:r>
          </w:p>
        </w:tc>
        <w:tc>
          <w:tcPr>
            <w:tcW w:w="3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20,060.8</w:t>
            </w:r>
          </w:p>
        </w:tc>
      </w:tr>
      <w:tr>
        <w:trPr>
          <w:trHeight w:val="291"/>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50,417.6</w:t>
            </w:r>
          </w:p>
        </w:tc>
        <w:tc>
          <w:tcPr>
            <w:tcW w:w="34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223,932.6</w:t>
            </w:r>
          </w:p>
        </w:tc>
        <w:tc>
          <w:tcPr>
            <w:tcW w:w="32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1,294,931.6</w:t>
            </w:r>
          </w:p>
        </w:tc>
        <w:tc>
          <w:tcPr>
            <w:tcW w:w="32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511,950.5</w:t>
            </w:r>
          </w:p>
        </w:tc>
      </w:tr>
      <w:tr>
        <w:trPr>
          <w:trHeight w:val="554"/>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Total Proved</w:t>
            </w:r>
          </w:p>
        </w:tc>
        <w:tc>
          <w:tcPr>
            <w:tcW w:w="1420" w:type="dxa"/>
            <w:vAlign w:val="bottom"/>
          </w:tcPr>
          <w:p>
            <w:pPr>
              <w:jc w:val="right"/>
              <w:spacing w:after="0"/>
              <w:rPr>
                <w:sz w:val="20"/>
                <w:szCs w:val="20"/>
                <w:color w:val="auto"/>
              </w:rPr>
            </w:pPr>
            <w:r>
              <w:rPr>
                <w:rFonts w:ascii="Arial" w:cs="Arial" w:eastAsia="Arial" w:hAnsi="Arial"/>
                <w:sz w:val="18"/>
                <w:szCs w:val="18"/>
                <w:color w:val="auto"/>
              </w:rPr>
              <w:t>95,447.7</w:t>
            </w:r>
          </w:p>
        </w:tc>
        <w:tc>
          <w:tcPr>
            <w:tcW w:w="3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448,244.7</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3,168,730.9</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1,765,862.8</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MRC in preparing the June 30, 2018, estimates of reserves and future revenue, and we saw nothing of an unusual nature that would cause us to take exception with the estimates, in the aggregate, as prepared by MRC.</w:t>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estimates of reserves and future revenue included herein have not been adjusted for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MRC's estimates do not include probable or possible reserves that may exist for these properties, nor do they include any value for undeveloped acreage beyond those tracts for which undeveloped reserves have been estimated. MRC has included estimates of proved undeveloped reserves for certain MRC-operated locations that generate positive future net revenue but have negative present worth discounted at 10 percent based on the constant prices and costs discussed in subsequent paragraphs of this letter. These MRC-operated locations have been included based on MRC's declared intent to drill these wells, as evidenced by MRC's internal budget, reserves estimates, and price forecast.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July 2017 through June 2018. For oil volumes, the average West Texas Intermediate posted price of $54.15 per barrel is adjusted by lease for quality, transportation fees, and market differentials. For gas volumes, the average Henry Hub spot price of $2.917 per MMBTU is adjusted by lease for energy content, transportation fees, and market differentials. All prices are held constant throughout the lives of the properties. The average adjusted product prices weighted by production over the remaining lives of the properties are $55.95 per barrel of oil and $2.457 per MCF of gas.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Operating costs and capital costs are not escalated for inflation. Estimates do not include any salvage value for the lease and well equipment or the cost of abandoning the properties.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MRC's overall reserves management processes and practices.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ectPr>
          <w:pgSz w:w="11900" w:h="16838" w:orient="portrait"/>
          <w:cols w:equalWidth="0" w:num="1">
            <w:col w:w="11420"/>
          </w:cols>
          <w:pgMar w:left="240" w:top="382"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G. Lance Binder, a Licensed Professional Engineer in the State of Texas, has been practicing consulting petroleum engineering at NSAI since 1983 and has over 5 years of prior industry experience. We are independent petroleum engineers, geologists, geophysicists, and petrophysicists; we do not own an interest in these properties nor are we employed on a contingent basis.</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u w:val="single" w:color="auto"/>
          <w:color w:val="auto"/>
        </w:rPr>
        <w:t>/s/ C.H. (Scott) Rees III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 Lance Binder, P.E. 61794</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Date Signed: July 20,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GLB:SDB</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420"/>
          </w:cols>
          <w:pgMar w:left="240" w:top="382"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G. Lance Binder, Licensed Professional Engineer, 2100 Ross Avenue, Suite 2200, Dallas, Texas,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Executive Vice President.</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That I attended Purdue University and graduated in 1978 with a Bachelor of Science Degree in Chemical Engineering; that I am a Licensed Professional Engineer in the State of Texas, United States of America; and that I have in excess of 35 years of experience in petroleum engineering studies and evaluations.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Lance Binder, 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Texas Registration No. 61794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893"/>
    </w:lvl>
  </w:abstractNum>
  <w:abstractNum w:abstractNumId="3">
    <w:nsid w:val="836C40E"/>
    <w:multiLevelType w:val="hybridMultilevel"/>
    <w:lvl w:ilvl="0">
      <w:lvlJc w:val="left"/>
      <w:lvlText w:val="(%1)"/>
      <w:numFmt w:val="decimal"/>
      <w:start w:val="149"/>
    </w:lvl>
  </w:abstractNum>
  <w:abstractNum w:abstractNumId="4">
    <w:nsid w:val="2901D82"/>
    <w:multiLevelType w:val="hybridMultilevel"/>
    <w:lvl w:ilvl="0">
      <w:lvlJc w:val="left"/>
      <w:lvlText w:val="(%1)"/>
      <w:numFmt w:val="decimal"/>
      <w:start w:val="883"/>
    </w:lvl>
  </w:abstractNum>
  <w:abstractNum w:abstractNumId="5">
    <w:nsid w:val="3A95F874"/>
    <w:multiLevelType w:val="hybridMultilevel"/>
    <w:lvl w:ilvl="0">
      <w:lvlJc w:val="left"/>
      <w:lvlText w:val="(%1)"/>
      <w:numFmt w:val="decimal"/>
      <w:start w:val="97"/>
    </w:lvl>
  </w:abstractNum>
  <w:abstractNum w:abstractNumId="6">
    <w:nsid w:val="8138641"/>
    <w:multiLevelType w:val="hybridMultilevel"/>
    <w:lvl w:ilvl="0">
      <w:lvlJc w:val="left"/>
      <w:lvlText w:val="\emdash "/>
      <w:numFmt w:val="bullet"/>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6"/>
    </w:lvl>
  </w:abstractNum>
  <w:abstractNum w:abstractNumId="20">
    <w:nsid w:val="77465F01"/>
    <w:multiLevelType w:val="hybridMultilevel"/>
    <w:lvl w:ilvl="0">
      <w:lvlJc w:val="left"/>
      <w:lvlText w:val="%1"/>
      <w:numFmt w:val="decimal"/>
      <w:start w:val="101"/>
    </w:lvl>
  </w:abstractNum>
  <w:abstractNum w:abstractNumId="21">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2">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3">
    <w:nsid w:val="2463B9EA"/>
    <w:multiLevelType w:val="hybridMultilevel"/>
    <w:lvl w:ilvl="0">
      <w:lvlJc w:val="left"/>
      <w:lvlText w:val="%1"/>
      <w:numFmt w:val="decimal"/>
      <w:start w:val="1"/>
    </w:lvl>
    <w:lvl w:ilvl="1">
      <w:lvlJc w:val="left"/>
      <w:lvlText w:val="(%2)"/>
      <w:numFmt w:val="decimal"/>
      <w:start w:val="30"/>
    </w:lvl>
    <w:lvl w:ilvl="2">
      <w:lvlJc w:val="left"/>
      <w:lvlText w:val="%3"/>
      <w:numFmt w:val="lowerLetter"/>
      <w:start w:val="1"/>
    </w:lvl>
  </w:abstractNum>
  <w:abstractNum w:abstractNumId="24">
    <w:nsid w:val="5E884ADC"/>
    <w:multiLevelType w:val="hybridMultilevel"/>
    <w:lvl w:ilvl="0">
      <w:lvlJc w:val="left"/>
      <w:lvlText w:val="%1."/>
      <w:numFmt w:val="decimal"/>
      <w:start w:val="1"/>
    </w:lvl>
    <w:lvl w:ilvl="1">
      <w:lvlJc w:val="left"/>
      <w:lvlText w:val="(%2)"/>
      <w:numFmt w:val="lowerLetter"/>
      <w:start w:val="1"/>
    </w:lvl>
  </w:abstractNum>
  <w:abstractNum w:abstractNumId="25">
    <w:nsid w:val="51EAD36B"/>
    <w:multiLevelType w:val="hybridMultilevel"/>
    <w:lvl w:ilvl="0">
      <w:lvlJc w:val="left"/>
      <w:lvlText w:val="%1"/>
      <w:numFmt w:val="decimal"/>
      <w:start w:val="1"/>
    </w:lvl>
    <w:lvl w:ilvl="1">
      <w:lvlJc w:val="left"/>
      <w:lvlText w:val="(%2)"/>
      <w:numFmt w:val="lowerLetter"/>
      <w:start w:val="2"/>
    </w:lvl>
  </w:abstractNum>
  <w:abstractNum w:abstractNumId="26">
    <w:nsid w:val="2D517796"/>
    <w:multiLevelType w:val="hybridMultilevel"/>
    <w:lvl w:ilvl="0">
      <w:lvlJc w:val="left"/>
      <w:lvlText w:val="%1."/>
      <w:numFmt w:val="decimal"/>
      <w:start w:val="5"/>
    </w:lvl>
    <w:lvl w:ilvl="1">
      <w:lvlJc w:val="left"/>
      <w:lvlText w:val="%2"/>
      <w:numFmt w:val="lowerLetter"/>
      <w:start w:val="1"/>
    </w:lvl>
  </w:abstractNum>
  <w:abstractNum w:abstractNumId="27">
    <w:nsid w:val="580BD78F"/>
    <w:multiLevelType w:val="hybridMultilevel"/>
    <w:lvl w:ilvl="0">
      <w:lvlJc w:val="left"/>
      <w:lvlText w:val="%1"/>
      <w:numFmt w:val="decimal"/>
      <w:start w:val="1"/>
    </w:lvl>
    <w:lvl w:ilvl="1">
      <w:lvlJc w:val="left"/>
      <w:lvlText w:val="(%2)"/>
      <w:numFmt w:val="lowerLetter"/>
      <w:start w:val="1"/>
    </w:lvl>
  </w:abstractNum>
  <w:abstractNum w:abstractNumId="28">
    <w:nsid w:val="153EA438"/>
    <w:multiLevelType w:val="hybridMultilevel"/>
    <w:lvl w:ilvl="0">
      <w:lvlJc w:val="left"/>
      <w:lvlText w:val="%1."/>
      <w:numFmt w:val="decimal"/>
      <w:start w:val="10"/>
    </w:lvl>
    <w:lvl w:ilvl="1">
      <w:lvlJc w:val="left"/>
      <w:lvlText w:val="(%2)"/>
      <w:numFmt w:val="lowerLetter"/>
      <w:start w:val="1"/>
    </w:lvl>
  </w:abstractNum>
  <w:abstractNum w:abstractNumId="29">
    <w:nsid w:val="3855585C"/>
    <w:multiLevelType w:val="hybridMultilevel"/>
    <w:lvl w:ilvl="0">
      <w:lvlJc w:val="left"/>
      <w:lvlText w:val="%1."/>
      <w:numFmt w:val="decimal"/>
      <w:start w:val="11"/>
    </w:lvl>
    <w:lvl w:ilvl="1">
      <w:lvlJc w:val="left"/>
      <w:lvlText w:val="(%2)"/>
      <w:numFmt w:val="lowerLetter"/>
      <w:start w:val="1"/>
    </w:lvl>
  </w:abstractNum>
  <w:abstractNum w:abstractNumId="30">
    <w:nsid w:val="70A64E2A"/>
    <w:multiLevelType w:val="hybridMultilevel"/>
    <w:lvl w:ilvl="0">
      <w:lvlJc w:val="left"/>
      <w:lvlText w:val="(%1)"/>
      <w:numFmt w:val="lowerLetter"/>
      <w:start w:val="8"/>
    </w:lvl>
    <w:lvl w:ilvl="1">
      <w:lvlJc w:val="left"/>
      <w:lvlText w:val="(%2)"/>
      <w:numFmt w:val="lowerRoman"/>
      <w:start w:val="1"/>
    </w:lvl>
  </w:abstractNum>
  <w:abstractNum w:abstractNumId="31">
    <w:nsid w:val="6A2342EC"/>
    <w:multiLevelType w:val="hybridMultilevel"/>
    <w:lvl w:ilvl="0">
      <w:lvlJc w:val="left"/>
      <w:lvlText w:val="%1"/>
      <w:numFmt w:val="lowerRoman"/>
      <w:start w:val="1"/>
    </w:lvl>
    <w:lvl w:ilvl="1">
      <w:lvlJc w:val="left"/>
      <w:lvlText w:val="%2)"/>
      <w:numFmt w:val="lowerLetter"/>
      <w:start w:val="1"/>
    </w:lvl>
  </w:abstractNum>
  <w:abstractNum w:abstractNumId="32">
    <w:nsid w:val="2A487CB0"/>
    <w:multiLevelType w:val="hybridMultilevel"/>
    <w:lvl w:ilvl="0">
      <w:lvlJc w:val="left"/>
      <w:lvlText w:val="(%1)"/>
      <w:numFmt w:val="lowerRoman"/>
      <w:start w:val="3"/>
    </w:lvl>
    <w:lvl w:ilvl="1">
      <w:lvlJc w:val="left"/>
      <w:lvlText w:val="%2"/>
      <w:numFmt w:val="lowerLetter"/>
      <w:start w:val="1"/>
    </w:lvl>
  </w:abstractNum>
  <w:abstractNum w:abstractNumId="33">
    <w:nsid w:val="1D4ED43B"/>
    <w:multiLevelType w:val="hybridMultilevel"/>
    <w:lvl w:ilvl="0">
      <w:lvlJc w:val="left"/>
      <w:lvlText w:val="%1"/>
      <w:numFmt w:val="decimal"/>
      <w:start w:val="1"/>
    </w:lvl>
    <w:lvl w:ilvl="1">
      <w:lvlJc w:val="left"/>
      <w:lvlText w:val="(%2)"/>
      <w:numFmt w:val="lowerRoman"/>
      <w:start w:val="5"/>
    </w:lvl>
  </w:abstractNum>
  <w:abstractNum w:abstractNumId="34">
    <w:nsid w:val="725A06FB"/>
    <w:multiLevelType w:val="hybridMultilevel"/>
    <w:lvl w:ilvl="0">
      <w:lvlJc w:val="left"/>
      <w:lvlText w:val="%1."/>
      <w:numFmt w:val="decimal"/>
      <w:start w:val="13"/>
    </w:lvl>
    <w:lvl w:ilvl="1">
      <w:lvlJc w:val="left"/>
      <w:lvlText w:val="%2"/>
      <w:numFmt w:val="lowerRoman"/>
      <w:start w:val="1"/>
    </w:lvl>
  </w:abstractNum>
  <w:abstractNum w:abstractNumId="35">
    <w:nsid w:val="2CD89A32"/>
    <w:multiLevelType w:val="hybridMultilevel"/>
    <w:lvl w:ilvl="0">
      <w:lvlJc w:val="left"/>
      <w:lvlText w:val="%1"/>
      <w:numFmt w:val="decimal"/>
      <w:start w:val="1"/>
    </w:lvl>
    <w:lvl w:ilvl="1">
      <w:lvlJc w:val="left"/>
      <w:lvlText w:val="(%2)"/>
      <w:numFmt w:val="lowerLetter"/>
      <w:start w:val="1"/>
    </w:lvl>
  </w:abstractNum>
  <w:abstractNum w:abstractNumId="36">
    <w:nsid w:val="57E4CCAF"/>
    <w:multiLevelType w:val="hybridMultilevel"/>
    <w:lvl w:ilvl="0">
      <w:lvlJc w:val="left"/>
      <w:lvlText w:val="%1."/>
      <w:numFmt w:val="decimal"/>
      <w:start w:val="15"/>
    </w:lvl>
    <w:lvl w:ilvl="1">
      <w:lvlJc w:val="left"/>
      <w:lvlText w:val="%2"/>
      <w:numFmt w:val="lowerLetter"/>
      <w:start w:val="1"/>
    </w:lvl>
  </w:abstractNum>
  <w:abstractNum w:abstractNumId="37">
    <w:nsid w:val="7A6D8D3C"/>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38">
    <w:nsid w:val="4B588F54"/>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2"/>
    </w:lvl>
  </w:abstractNum>
  <w:abstractNum w:abstractNumId="39">
    <w:nsid w:val="542289E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40">
    <w:nsid w:val="6DE91B18"/>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41">
    <w:nsid w:val="38437FDB"/>
    <w:multiLevelType w:val="hybridMultilevel"/>
    <w:lvl w:ilvl="0">
      <w:lvlJc w:val="left"/>
      <w:lvlText w:val="%1."/>
      <w:numFmt w:val="decimal"/>
      <w:start w:val="17"/>
    </w:lvl>
    <w:lvl w:ilvl="1">
      <w:lvlJc w:val="left"/>
      <w:lvlText w:val="%2"/>
      <w:numFmt w:val="lowerLetter"/>
      <w:start w:val="1"/>
    </w:lvl>
    <w:lvl w:ilvl="2">
      <w:lvlJc w:val="left"/>
      <w:lvlText w:val="%3"/>
      <w:numFmt w:val="upperLetter"/>
      <w:start w:val="1"/>
    </w:lvl>
  </w:abstractNum>
  <w:abstractNum w:abstractNumId="42">
    <w:nsid w:val="7644A45C"/>
    <w:multiLevelType w:val="hybridMultilevel"/>
    <w:lvl w:ilvl="0">
      <w:lvlJc w:val="left"/>
      <w:lvlText w:val="%1."/>
      <w:numFmt w:val="decimal"/>
      <w:start w:val="20"/>
    </w:lvl>
    <w:lvl w:ilvl="1">
      <w:lvlJc w:val="left"/>
      <w:lvlText w:val="(%2)"/>
      <w:numFmt w:val="lowerLetter"/>
      <w:start w:val="1"/>
    </w:lvl>
  </w:abstractNum>
  <w:abstractNum w:abstractNumId="43">
    <w:nsid w:val="32FFF902"/>
    <w:multiLevelType w:val="hybridMultilevel"/>
    <w:lvl w:ilvl="0">
      <w:lvlJc w:val="left"/>
      <w:lvlText w:val="%1."/>
      <w:numFmt w:val="decimal"/>
      <w:start w:val="24"/>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1."/>
      <w:numFmt w:val="decimal"/>
      <w:start w:val="6"/>
    </w:lvl>
  </w:abstractNum>
  <w:abstractNum w:abstractNumId="47">
    <w:nsid w:val="3DC240FB"/>
    <w:multiLevelType w:val="hybridMultilevel"/>
    <w:lvl w:ilvl="0">
      <w:lvlJc w:val="left"/>
      <w:lvlText w:val="%1."/>
      <w:numFmt w:val="decimal"/>
      <w:start w:val="13"/>
    </w:lvl>
  </w:abstractNum>
  <w:abstractNum w:abstractNumId="48">
    <w:nsid w:val="1BA026FA"/>
    <w:multiLevelType w:val="hybridMultilevel"/>
    <w:lvl w:ilvl="0">
      <w:lvlJc w:val="left"/>
      <w:lvlText w:val="%1."/>
      <w:numFmt w:val="decimal"/>
      <w:start w:val="1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89" Type="http://schemas.openxmlformats.org/officeDocument/2006/relationships/hyperlink" Target="http://www.sec.gov/Archives/edgar/data/1520006/000119312511221108/dex34.htm" TargetMode="External"/><Relationship Id="rId90" Type="http://schemas.openxmlformats.org/officeDocument/2006/relationships/hyperlink" Target="http://www.sec.gov/Archives/edgar/data/1520006/000152000617000188/a20170630mtdr10q-exhibit32.htm" TargetMode="External"/><Relationship Id="rId91" Type="http://schemas.openxmlformats.org/officeDocument/2006/relationships/hyperlink" Target="http://www.sec.gov/Archives/edgar/data/1520006/000152000617000188/a20170630mtdr10q-exhibit33.htm" TargetMode="External"/><Relationship Id="rId92" Type="http://schemas.openxmlformats.org/officeDocument/2006/relationships/hyperlink" Target="http://www.sec.gov/Archives/edgar/data/1520006/000152000617000188/a20170630mtdr10q-exhibit34.htm" TargetMode="External"/><Relationship Id="rId93"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2019-12-28T20:40:11Z</dcterms:created>
  <dcterms:modified xsi:type="dcterms:W3CDTF">2019-12-28T20:40:11Z</dcterms:modified>
</cp:coreProperties>
</file>