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360680</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274955</wp:posOffset>
            </wp:positionV>
            <wp:extent cx="58572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4" w:lineRule="exact"/>
        <w:rPr>
          <w:sz w:val="24"/>
          <w:szCs w:val="24"/>
          <w:color w:val="auto"/>
        </w:rPr>
      </w:pPr>
    </w:p>
    <w:p>
      <w:pPr>
        <w:ind w:left="4240" w:right="1840" w:hanging="4205"/>
        <w:spacing w:after="0" w:line="297"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6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9" w:lineRule="exact"/>
        <w:rPr>
          <w:sz w:val="24"/>
          <w:szCs w:val="24"/>
          <w:color w:val="auto"/>
        </w:rPr>
      </w:pPr>
    </w:p>
    <w:p>
      <w:pPr>
        <w:ind w:left="410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001-35410</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Matador Resources Company</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Texas</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5920" w:type="dxa"/>
            <w:vAlign w:val="bottom"/>
          </w:tcPr>
          <w:p>
            <w:pPr>
              <w:jc w:val="center"/>
              <w:ind w:right="3479"/>
              <w:spacing w:after="0"/>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920" w:type="dxa"/>
            <w:vAlign w:val="bottom"/>
          </w:tcPr>
          <w:p>
            <w:pPr>
              <w:jc w:val="center"/>
              <w:ind w:right="3479"/>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5920" w:type="dxa"/>
            <w:vAlign w:val="bottom"/>
          </w:tcPr>
          <w:p>
            <w:pPr>
              <w:ind w:left="120"/>
              <w:spacing w:after="0"/>
              <w:rPr>
                <w:sz w:val="20"/>
                <w:szCs w:val="20"/>
                <w:color w:val="auto"/>
              </w:rPr>
            </w:pPr>
            <w:r>
              <w:rPr>
                <w:rFonts w:ascii="Arial" w:cs="Arial" w:eastAsia="Arial" w:hAnsi="Arial"/>
                <w:sz w:val="18"/>
                <w:szCs w:val="18"/>
                <w:b w:val="1"/>
                <w:bCs w:val="1"/>
                <w:color w:val="auto"/>
              </w:rPr>
              <w:t>5400 LBJ Freeway, Suite 1500</w:t>
            </w:r>
          </w:p>
        </w:tc>
        <w:tc>
          <w:tcPr>
            <w:tcW w:w="1420" w:type="dxa"/>
            <w:vAlign w:val="bottom"/>
          </w:tcPr>
          <w:p>
            <w:pPr>
              <w:spacing w:after="0"/>
              <w:rPr>
                <w:sz w:val="24"/>
                <w:szCs w:val="24"/>
                <w:color w:val="auto"/>
              </w:rPr>
            </w:pPr>
          </w:p>
        </w:tc>
      </w:tr>
      <w:tr>
        <w:trPr>
          <w:trHeight w:val="270"/>
        </w:trPr>
        <w:tc>
          <w:tcPr>
            <w:tcW w:w="5920" w:type="dxa"/>
            <w:vAlign w:val="bottom"/>
          </w:tcPr>
          <w:p>
            <w:pPr>
              <w:jc w:val="center"/>
              <w:ind w:right="3459"/>
              <w:spacing w:after="0"/>
              <w:rPr>
                <w:sz w:val="20"/>
                <w:szCs w:val="20"/>
                <w:color w:val="auto"/>
              </w:rPr>
            </w:pPr>
            <w:r>
              <w:rPr>
                <w:rFonts w:ascii="Arial" w:cs="Arial" w:eastAsia="Arial" w:hAnsi="Arial"/>
                <w:sz w:val="18"/>
                <w:szCs w:val="18"/>
                <w:b w:val="1"/>
                <w:bCs w:val="1"/>
                <w:color w:val="auto"/>
                <w:w w:val="89"/>
              </w:rPr>
              <w:t>Dallas, Texas</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18"/>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5"/>
              </w:rPr>
              <w:t>(Zip Code)</w:t>
            </w:r>
          </w:p>
        </w:tc>
      </w:tr>
      <w:tr>
        <w:trPr>
          <w:trHeight w:val="867"/>
        </w:trPr>
        <w:tc>
          <w:tcPr>
            <w:tcW w:w="5920" w:type="dxa"/>
            <w:vAlign w:val="bottom"/>
          </w:tcPr>
          <w:p>
            <w:pPr>
              <w:jc w:val="right"/>
              <w:ind w:right="1259"/>
              <w:spacing w:after="0"/>
              <w:rPr>
                <w:sz w:val="20"/>
                <w:szCs w:val="20"/>
                <w:color w:val="auto"/>
              </w:rPr>
            </w:pPr>
            <w:r>
              <w:rPr>
                <w:rFonts w:ascii="Arial" w:cs="Arial" w:eastAsia="Arial" w:hAnsi="Arial"/>
                <w:sz w:val="18"/>
                <w:szCs w:val="18"/>
                <w:b w:val="1"/>
                <w:bCs w:val="1"/>
                <w:color w:val="auto"/>
              </w:rPr>
              <w:t>(972) 371-5200</w:t>
            </w:r>
          </w:p>
        </w:tc>
        <w:tc>
          <w:tcPr>
            <w:tcW w:w="1420" w:type="dxa"/>
            <w:vAlign w:val="bottom"/>
          </w:tcPr>
          <w:p>
            <w:pPr>
              <w:spacing w:after="0"/>
              <w:rPr>
                <w:sz w:val="24"/>
                <w:szCs w:val="24"/>
                <w:color w:val="auto"/>
              </w:rPr>
            </w:pPr>
          </w:p>
        </w:tc>
      </w:tr>
      <w:tr>
        <w:trPr>
          <w:trHeight w:val="186"/>
        </w:trPr>
        <w:tc>
          <w:tcPr>
            <w:tcW w:w="5920" w:type="dxa"/>
            <w:vAlign w:val="bottom"/>
          </w:tcPr>
          <w:p>
            <w:pPr>
              <w:jc w:val="center"/>
              <w:ind w:left="20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r>
    </w:tbl>
    <w:p>
      <w:pPr>
        <w:spacing w:after="0" w:line="2" w:lineRule="exact"/>
        <w:rPr>
          <w:sz w:val="24"/>
          <w:szCs w:val="24"/>
          <w:color w:val="auto"/>
        </w:rPr>
      </w:pPr>
    </w:p>
    <w:p>
      <w:pPr>
        <w:ind w:left="336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1000" w:type="dxa"/>
        <w:tblCellMar>
          <w:top w:w="0" w:type="dxa"/>
          <w:left w:w="0" w:type="dxa"/>
          <w:bottom w:w="0" w:type="dxa"/>
          <w:right w:w="0" w:type="dxa"/>
        </w:tblCellMar>
      </w:tblPr>
      <w:tr>
        <w:trPr>
          <w:trHeight w:val="19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60" w:type="dxa"/>
            <w:vAlign w:val="bottom"/>
          </w:tcPr>
          <w:p>
            <w:pPr>
              <w:spacing w:after="0"/>
              <w:rPr>
                <w:sz w:val="16"/>
                <w:szCs w:val="16"/>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41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Common Stock, par value $0.01 per share</w:t>
            </w: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MTDR</w:t>
            </w: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6"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9" w:lineRule="exact"/>
        <w:rPr>
          <w:sz w:val="24"/>
          <w:szCs w:val="24"/>
          <w:color w:val="auto"/>
        </w:rPr>
      </w:pPr>
    </w:p>
    <w:p>
      <w:pPr>
        <w:ind w:right="4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46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98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340"/>
          </w:cols>
          <w:pgMar w:left="240" w:top="229" w:right="319" w:bottom="0" w:gutter="0" w:footer="0" w:header="0"/>
        </w:sectPr>
      </w:pPr>
    </w:p>
    <w:bookmarkStart w:id="1" w:name="page2"/>
    <w:bookmarkEnd w:id="1"/>
    <w:p>
      <w:pPr>
        <w:ind w:right="120"/>
        <w:spacing w:after="0" w:line="342" w:lineRule="auto"/>
        <w:rPr>
          <w:sz w:val="20"/>
          <w:szCs w:val="20"/>
          <w:color w:val="auto"/>
        </w:rPr>
      </w:pPr>
      <w:r>
        <w:rPr>
          <w:rFonts w:ascii="Arial" w:cs="Arial" w:eastAsia="Arial" w:hAnsi="Arial"/>
          <w:sz w:val="16"/>
          <w:szCs w:val="16"/>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$2,187,634,344.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2020, there were 116,569,389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118110</wp:posOffset>
            </wp:positionV>
            <wp:extent cx="2701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Part III of this Annual Report on Form 10-K, to the extent not set forth herein, is incorporated by reference to the registrant’s definitive proxy statement relating to the 2020 Annual Meeting of Shareholders, which will be filed with the Securities and Exchange Commission within 120 days after the end of the fiscal year to which this Annual Report on Form 10-K relates.</w:t>
      </w:r>
    </w:p>
    <w:p>
      <w:pPr>
        <w:sectPr>
          <w:pgSz w:w="11900" w:h="16838" w:orient="portrait"/>
          <w:cols w:equalWidth="0" w:num="1">
            <w:col w:w="11420"/>
          </w:cols>
          <w:pgMar w:left="240" w:top="39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MATADOR RESOURCES COMPANY</w:t>
      </w:r>
    </w:p>
    <w:p>
      <w:pPr>
        <w:spacing w:after="0" w:line="90"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0"/>
          <w:szCs w:val="20"/>
          <w:color w:val="auto"/>
        </w:rPr>
      </w:pPr>
    </w:p>
    <w:p>
      <w:pPr>
        <w:jc w:val="center"/>
        <w:ind w:left="1440"/>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102" w:lineRule="exact"/>
        <w:rPr>
          <w:sz w:val="20"/>
          <w:szCs w:val="20"/>
          <w:color w:val="auto"/>
        </w:rPr>
      </w:pPr>
    </w:p>
    <w:p>
      <w:pPr>
        <w:jc w:val="center"/>
        <w:ind w:left="14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520" w:type="dxa"/>
            <w:vAlign w:val="bottom"/>
            <w:tcBorders>
              <w:bottom w:val="single" w:sz="8" w:color="0000EE"/>
            </w:tcBorders>
          </w:tcPr>
          <w:p>
            <w:pPr>
              <w:spacing w:after="0"/>
              <w:rPr>
                <w:rFonts w:ascii="Arial" w:cs="Arial" w:eastAsia="Arial" w:hAnsi="Arial"/>
                <w:sz w:val="14"/>
                <w:szCs w:val="14"/>
                <w:color w:val="0000EE"/>
                <w:w w:val="87"/>
              </w:rPr>
            </w:pPr>
            <w:hyperlink w:anchor="page5">
              <w:r>
                <w:rPr>
                  <w:rFonts w:ascii="Arial" w:cs="Arial" w:eastAsia="Arial" w:hAnsi="Arial"/>
                  <w:sz w:val="14"/>
                  <w:szCs w:val="14"/>
                  <w:color w:val="0000EE"/>
                  <w:w w:val="87"/>
                </w:rPr>
                <w:t>Business</w:t>
              </w:r>
            </w:hyperlink>
          </w:p>
        </w:tc>
        <w:tc>
          <w:tcPr>
            <w:tcW w:w="594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6460" w:type="dxa"/>
            <w:vAlign w:val="bottom"/>
            <w:gridSpan w:val="20"/>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Risk Factors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1640" w:type="dxa"/>
            <w:vAlign w:val="bottom"/>
            <w:tcBorders>
              <w:bottom w:val="single" w:sz="8" w:color="0000EE"/>
            </w:tcBorders>
            <w:gridSpan w:val="10"/>
          </w:tcPr>
          <w:p>
            <w:pPr>
              <w:spacing w:after="0"/>
              <w:rPr>
                <w:rFonts w:ascii="Arial" w:cs="Arial" w:eastAsia="Arial" w:hAnsi="Arial"/>
                <w:sz w:val="14"/>
                <w:szCs w:val="14"/>
                <w:color w:val="0000EE"/>
                <w:w w:val="92"/>
              </w:rPr>
            </w:pPr>
            <w:hyperlink w:anchor="page63">
              <w:r>
                <w:rPr>
                  <w:rFonts w:ascii="Arial" w:cs="Arial" w:eastAsia="Arial" w:hAnsi="Arial"/>
                  <w:sz w:val="14"/>
                  <w:szCs w:val="14"/>
                  <w:color w:val="0000EE"/>
                  <w:w w:val="92"/>
                </w:rPr>
                <w:t>Unresolved Staff Comments</w:t>
              </w:r>
            </w:hyperlink>
          </w:p>
        </w:tc>
        <w:tc>
          <w:tcPr>
            <w:tcW w:w="48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6460" w:type="dxa"/>
            <w:vAlign w:val="bottom"/>
            <w:gridSpan w:val="20"/>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Properties</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1080" w:type="dxa"/>
            <w:vAlign w:val="bottom"/>
            <w:tcBorders>
              <w:bottom w:val="single" w:sz="8" w:color="0000EE"/>
            </w:tcBorders>
            <w:gridSpan w:val="5"/>
          </w:tcPr>
          <w:p>
            <w:pPr>
              <w:spacing w:after="0"/>
              <w:rPr>
                <w:rFonts w:ascii="Arial" w:cs="Arial" w:eastAsia="Arial" w:hAnsi="Arial"/>
                <w:sz w:val="14"/>
                <w:szCs w:val="14"/>
                <w:color w:val="0000EE"/>
                <w:w w:val="91"/>
              </w:rPr>
            </w:pPr>
            <w:hyperlink w:anchor="page63">
              <w:r>
                <w:rPr>
                  <w:rFonts w:ascii="Arial" w:cs="Arial" w:eastAsia="Arial" w:hAnsi="Arial"/>
                  <w:sz w:val="14"/>
                  <w:szCs w:val="14"/>
                  <w:color w:val="0000EE"/>
                  <w:w w:val="91"/>
                </w:rPr>
                <w:t>Legal Proceedings</w:t>
              </w:r>
            </w:hyperlink>
          </w:p>
        </w:tc>
        <w:tc>
          <w:tcPr>
            <w:tcW w:w="53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6460" w:type="dxa"/>
            <w:vAlign w:val="bottom"/>
            <w:gridSpan w:val="20"/>
          </w:tcPr>
          <w:p>
            <w:pPr>
              <w:spacing w:after="0"/>
              <w:rPr>
                <w:rFonts w:ascii="Arial" w:cs="Arial" w:eastAsia="Arial" w:hAnsi="Arial"/>
                <w:sz w:val="14"/>
                <w:szCs w:val="14"/>
                <w:color w:val="0000EE"/>
              </w:rPr>
            </w:pPr>
            <w:hyperlink w:anchor="page63">
              <w:r>
                <w:rPr>
                  <w:rFonts w:ascii="Arial" w:cs="Arial" w:eastAsia="Arial" w:hAnsi="Arial"/>
                  <w:sz w:val="14"/>
                  <w:szCs w:val="14"/>
                  <w:color w:val="0000EE"/>
                </w:rPr>
                <w:t>Mine Safety Disclosures</w:t>
              </w:r>
            </w:hyperlink>
          </w:p>
        </w:tc>
        <w:tc>
          <w:tcPr>
            <w:tcW w:w="0" w:type="dxa"/>
            <w:vAlign w:val="bottom"/>
          </w:tcPr>
          <w:p>
            <w:pPr>
              <w:spacing w:after="0"/>
              <w:rPr>
                <w:sz w:val="1"/>
                <w:szCs w:val="1"/>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6460" w:type="dxa"/>
            <w:vAlign w:val="bottom"/>
            <w:tcBorders>
              <w:bottom w:val="single" w:sz="8" w:color="0000EE"/>
            </w:tcBorders>
            <w:gridSpan w:val="20"/>
          </w:tcPr>
          <w:p>
            <w:pPr>
              <w:spacing w:after="0"/>
              <w:rPr>
                <w:rFonts w:ascii="Arial" w:cs="Arial" w:eastAsia="Arial" w:hAnsi="Arial"/>
                <w:sz w:val="14"/>
                <w:szCs w:val="14"/>
                <w:color w:val="0000EE"/>
                <w:w w:val="93"/>
              </w:rPr>
            </w:pPr>
            <w:hyperlink w:anchor="page64">
              <w:r>
                <w:rPr>
                  <w:rFonts w:ascii="Arial" w:cs="Arial" w:eastAsia="Arial" w:hAnsi="Arial"/>
                  <w:sz w:val="14"/>
                  <w:szCs w:val="14"/>
                  <w:color w:val="0000EE"/>
                  <w:w w:val="93"/>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6460" w:type="dxa"/>
            <w:vAlign w:val="bottom"/>
            <w:gridSpan w:val="20"/>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Selected Financial Data</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10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6460" w:type="dxa"/>
            <w:vAlign w:val="bottom"/>
            <w:gridSpan w:val="20"/>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5160" w:type="dxa"/>
            <w:vAlign w:val="bottom"/>
            <w:tcBorders>
              <w:top w:val="single" w:sz="8" w:color="0000EE"/>
            </w:tcBorders>
            <w:gridSpan w:val="17"/>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Quantitative and Qualitative Disclosures about Market Risk</w:t>
              </w:r>
            </w:hyperlink>
          </w:p>
        </w:tc>
        <w:tc>
          <w:tcPr>
            <w:tcW w:w="13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3440" w:type="dxa"/>
            <w:vAlign w:val="bottom"/>
            <w:tcBorders>
              <w:top w:val="single" w:sz="8" w:color="0000EE"/>
            </w:tcBorders>
            <w:gridSpan w:val="15"/>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Financial Statements and Supplementary Data</w:t>
              </w:r>
            </w:hyperlink>
          </w:p>
        </w:tc>
        <w:tc>
          <w:tcPr>
            <w:tcW w:w="30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10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6460" w:type="dxa"/>
            <w:vAlign w:val="bottom"/>
            <w:gridSpan w:val="20"/>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1420" w:type="dxa"/>
            <w:vAlign w:val="bottom"/>
            <w:tcBorders>
              <w:top w:val="single" w:sz="8" w:color="0000EE"/>
              <w:bottom w:val="single" w:sz="8" w:color="0000EE"/>
            </w:tcBorders>
            <w:gridSpan w:val="8"/>
          </w:tcPr>
          <w:p>
            <w:pPr>
              <w:spacing w:after="0"/>
              <w:rPr>
                <w:rFonts w:ascii="Arial" w:cs="Arial" w:eastAsia="Arial" w:hAnsi="Arial"/>
                <w:sz w:val="14"/>
                <w:szCs w:val="14"/>
                <w:color w:val="0000EE"/>
                <w:w w:val="90"/>
              </w:rPr>
            </w:pPr>
            <w:hyperlink w:anchor="page89">
              <w:r>
                <w:rPr>
                  <w:rFonts w:ascii="Arial" w:cs="Arial" w:eastAsia="Arial" w:hAnsi="Arial"/>
                  <w:sz w:val="14"/>
                  <w:szCs w:val="14"/>
                  <w:color w:val="0000EE"/>
                  <w:w w:val="90"/>
                </w:rPr>
                <w:t>Controls and Procedures</w:t>
              </w:r>
            </w:hyperlink>
          </w:p>
        </w:tc>
        <w:tc>
          <w:tcPr>
            <w:tcW w:w="3760" w:type="dxa"/>
            <w:vAlign w:val="bottom"/>
            <w:tcBorders>
              <w:top w:val="single" w:sz="8" w:color="0000EE"/>
            </w:tcBorders>
            <w:gridSpan w:val="10"/>
          </w:tcPr>
          <w:p>
            <w:pPr>
              <w:spacing w:after="0"/>
              <w:rPr>
                <w:sz w:val="21"/>
                <w:szCs w:val="21"/>
                <w:color w:val="auto"/>
              </w:rPr>
            </w:pPr>
          </w:p>
        </w:tc>
        <w:tc>
          <w:tcPr>
            <w:tcW w:w="12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6460" w:type="dxa"/>
            <w:vAlign w:val="bottom"/>
            <w:gridSpan w:val="20"/>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Other Information</w:t>
              </w:r>
            </w:hyperlink>
          </w:p>
        </w:tc>
        <w:tc>
          <w:tcPr>
            <w:tcW w:w="0" w:type="dxa"/>
            <w:vAlign w:val="bottom"/>
          </w:tcPr>
          <w:p>
            <w:pPr>
              <w:spacing w:after="0"/>
              <w:rPr>
                <w:sz w:val="1"/>
                <w:szCs w:val="1"/>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3280" w:type="dxa"/>
            <w:vAlign w:val="bottom"/>
            <w:tcBorders>
              <w:bottom w:val="single" w:sz="8" w:color="0000EE"/>
            </w:tcBorders>
            <w:gridSpan w:val="14"/>
          </w:tcPr>
          <w:p>
            <w:pPr>
              <w:spacing w:after="0"/>
              <w:rPr>
                <w:rFonts w:ascii="Arial" w:cs="Arial" w:eastAsia="Arial" w:hAnsi="Arial"/>
                <w:sz w:val="14"/>
                <w:szCs w:val="14"/>
                <w:color w:val="0000EE"/>
                <w:w w:val="93"/>
              </w:rPr>
            </w:pPr>
            <w:hyperlink w:anchor="page92">
              <w:r>
                <w:rPr>
                  <w:rFonts w:ascii="Arial" w:cs="Arial" w:eastAsia="Arial" w:hAnsi="Arial"/>
                  <w:sz w:val="14"/>
                  <w:szCs w:val="14"/>
                  <w:color w:val="0000EE"/>
                  <w:w w:val="93"/>
                </w:rPr>
                <w:t>Directors, Executive Officers and Corporate Governance</w:t>
              </w:r>
            </w:hyperlink>
          </w:p>
        </w:tc>
        <w:tc>
          <w:tcPr>
            <w:tcW w:w="31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6460" w:type="dxa"/>
            <w:vAlign w:val="bottom"/>
            <w:gridSpan w:val="20"/>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Executive Compensation</w:t>
              </w:r>
            </w:hyperlink>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12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vMerge w:val="continue"/>
          </w:tcPr>
          <w:p>
            <w:pPr>
              <w:spacing w:after="0"/>
              <w:rPr>
                <w:sz w:val="21"/>
                <w:szCs w:val="21"/>
                <w:color w:val="auto"/>
              </w:rPr>
            </w:pPr>
          </w:p>
        </w:tc>
        <w:tc>
          <w:tcPr>
            <w:tcW w:w="5840" w:type="dxa"/>
            <w:vAlign w:val="bottom"/>
            <w:tcBorders>
              <w:bottom w:val="single" w:sz="8" w:color="0000EE"/>
            </w:tcBorders>
            <w:gridSpan w:val="19"/>
          </w:tcPr>
          <w:p>
            <w:pPr>
              <w:spacing w:after="0"/>
              <w:rPr>
                <w:rFonts w:ascii="Arial" w:cs="Arial" w:eastAsia="Arial" w:hAnsi="Arial"/>
                <w:sz w:val="14"/>
                <w:szCs w:val="14"/>
                <w:color w:val="0000EE"/>
                <w:w w:val="93"/>
              </w:rPr>
            </w:pPr>
            <w:hyperlink w:anchor="page92">
              <w:r>
                <w:rPr>
                  <w:rFonts w:ascii="Arial" w:cs="Arial" w:eastAsia="Arial" w:hAnsi="Arial"/>
                  <w:sz w:val="14"/>
                  <w:szCs w:val="14"/>
                  <w:color w:val="0000EE"/>
                  <w:w w:val="93"/>
                </w:rPr>
                <w:t>Security Ownership of Certain Beneficial Owners and Management and Related Stockholder Matters</w:t>
              </w:r>
            </w:hyperlink>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6460" w:type="dxa"/>
            <w:vAlign w:val="bottom"/>
            <w:gridSpan w:val="20"/>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4360" w:type="dxa"/>
            <w:vAlign w:val="bottom"/>
            <w:tcBorders>
              <w:top w:val="single" w:sz="8" w:color="0000EE"/>
            </w:tcBorders>
            <w:gridSpan w:val="16"/>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Principal Accounting Fees and Services</w:t>
              </w:r>
            </w:hyperlink>
          </w:p>
        </w:tc>
        <w:tc>
          <w:tcPr>
            <w:tcW w:w="2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6460" w:type="dxa"/>
            <w:vAlign w:val="bottom"/>
            <w:gridSpan w:val="20"/>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Exhibits and Financial Statement Schedules</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6"/>
                <w:szCs w:val="16"/>
                <w:color w:val="auto"/>
              </w:rPr>
              <w:t>ITEM 16.</w:t>
            </w:r>
          </w:p>
        </w:tc>
        <w:tc>
          <w:tcPr>
            <w:tcW w:w="2520" w:type="dxa"/>
            <w:vAlign w:val="bottom"/>
            <w:tcBorders>
              <w:top w:val="single" w:sz="8" w:color="0000EE"/>
            </w:tcBorders>
            <w:gridSpan w:val="12"/>
          </w:tcPr>
          <w:p>
            <w:pPr>
              <w:spacing w:after="0"/>
              <w:rPr>
                <w:rFonts w:ascii="Arial" w:cs="Arial" w:eastAsia="Arial" w:hAnsi="Arial"/>
                <w:sz w:val="14"/>
                <w:szCs w:val="14"/>
                <w:color w:val="0000EE"/>
              </w:rPr>
            </w:pPr>
            <w:hyperlink w:anchor="page93">
              <w:r>
                <w:rPr>
                  <w:rFonts w:ascii="Arial" w:cs="Arial" w:eastAsia="Arial" w:hAnsi="Arial"/>
                  <w:sz w:val="14"/>
                  <w:szCs w:val="14"/>
                  <w:color w:val="0000EE"/>
                </w:rPr>
                <w:t>Form 10-K Summary</w:t>
              </w:r>
            </w:hyperlink>
          </w:p>
        </w:tc>
        <w:tc>
          <w:tcPr>
            <w:tcW w:w="39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14"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60</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90</w:t>
        </w:r>
      </w:hyperlink>
    </w:p>
    <w:p>
      <w:pPr>
        <w:sectPr>
          <w:pgSz w:w="11900" w:h="16838" w:orient="portrait"/>
          <w:cols w:equalWidth="0" w:num="2">
            <w:col w:w="9980" w:space="720"/>
            <w:col w:w="7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1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7"/>
          <w:szCs w:val="17"/>
          <w:color w:val="0A0A0A"/>
        </w:rPr>
        <w:t>general economic conditions; our ability to execute</w:t>
      </w:r>
      <w:r>
        <w:rPr>
          <w:rFonts w:ascii="Arial" w:cs="Arial" w:eastAsia="Arial" w:hAnsi="Arial"/>
          <w:sz w:val="17"/>
          <w:szCs w:val="17"/>
          <w:color w:val="auto"/>
        </w:rPr>
        <w:t xml:space="preserve"> </w:t>
      </w:r>
      <w:r>
        <w:rPr>
          <w:rFonts w:ascii="Arial" w:cs="Arial" w:eastAsia="Arial" w:hAnsi="Arial"/>
          <w:sz w:val="17"/>
          <w:szCs w:val="17"/>
          <w:color w:val="0A0A0A"/>
        </w:rPr>
        <w:t xml:space="preserve">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increases in our borrowing base and otherwise; our ability to make acquisitions on economically acceptable terms; our ability to integrate acquisitions; weather and environmental conditions; the operating results of our midstream joint venture’s expansion of the Black River cryogenic natural gas processing plant, including the timing of the further expansion of such plant; the timing and operating results of the buildout by our midstream joint venture of oil, natural gas and water gathering and transportation systems and the drilling of any additional salt water disposal wells, including in conjunction with the expansion of our midstream joint venture’s services and assets into new areas in </w:t>
      </w:r>
      <w:r>
        <w:rPr>
          <w:rFonts w:ascii="Arial" w:cs="Arial" w:eastAsia="Arial" w:hAnsi="Arial"/>
          <w:sz w:val="17"/>
          <w:szCs w:val="17"/>
          <w:color w:val="000000"/>
        </w:rPr>
        <w:t>Eddy County, New Mexico</w:t>
      </w:r>
      <w:r>
        <w:rPr>
          <w:rFonts w:ascii="Arial" w:cs="Arial" w:eastAsia="Arial" w:hAnsi="Arial"/>
          <w:sz w:val="17"/>
          <w:szCs w:val="17"/>
          <w:color w:val="0A0A0A"/>
        </w:rPr>
        <w:t xml:space="preserve">; </w:t>
      </w:r>
      <w:r>
        <w:rPr>
          <w:rFonts w:ascii="Arial" w:cs="Arial" w:eastAsia="Arial" w:hAnsi="Arial"/>
          <w:sz w:val="17"/>
          <w:szCs w:val="17"/>
          <w:color w:val="000000"/>
        </w:rPr>
        <w:t>and the other factors discussed below and elsewhere in this Annual Report and in other documents that we file with or furnish</w:t>
      </w:r>
      <w:r>
        <w:rPr>
          <w:rFonts w:ascii="Arial" w:cs="Arial" w:eastAsia="Arial" w:hAnsi="Arial"/>
          <w:sz w:val="17"/>
          <w:szCs w:val="17"/>
          <w:color w:val="0A0A0A"/>
        </w:rPr>
        <w:t xml:space="preserve"> </w:t>
      </w:r>
      <w:r>
        <w:rPr>
          <w:rFonts w:ascii="Arial" w:cs="Arial" w:eastAsia="Arial" w:hAnsi="Arial"/>
          <w:sz w:val="17"/>
          <w:szCs w:val="17"/>
          <w:color w:val="000000"/>
        </w:rPr>
        <w:t>to the United States Securities and Exchange Commission (the “SEC”), all of which are difficult to predict. Forward-looking statements may include statements about:</w:t>
      </w:r>
    </w:p>
    <w:p>
      <w:pPr>
        <w:spacing w:after="0" w:line="77"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9" w:lineRule="exact"/>
        <w:rPr>
          <w:rFonts w:ascii="Arial" w:cs="Arial" w:eastAsia="Arial" w:hAnsi="Arial"/>
          <w:sz w:val="18"/>
          <w:szCs w:val="18"/>
          <w:color w:val="auto"/>
        </w:rPr>
      </w:pPr>
    </w:p>
    <w:p>
      <w:pPr>
        <w:ind w:left="640" w:right="160" w:hanging="321"/>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our midstream joint venture to construct and operate midstream facilities, including the operation and expansion of our Black River cryogenic natural gas processing plant and the drilling of additional salt water disposal wells;</w:t>
      </w: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midstream joint venture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Annual Report or in our other filings with the SEC that are not historical.</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i w:val="1"/>
          <w:iCs w:val="1"/>
          <w:color w:val="auto"/>
        </w:rPr>
        <w:t>In this Annual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For certain oil and natural gas terms used in this Annual Report, see the “Glossary of Oil and Natural Gas Terms” included in this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our midstream joint venture,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5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 Texas corporation founded in July 2003 by Joseph Wm. Foran, Chairman and CEO. Mr. Foran began his career as an oil and natural gas independent in 1983 when he founded Foran Oil Company with $270,000 in contributed capital from 17 friends and family members. Foran Oil Company was later contributed to Matador Petroleum Corporation upon its formation by Mr. Foran in 1988. Mr. Foran served as Chairman and Chief Executive Officer of that company from its inception until it was sold in June 2003 to Tom Brown, Inc., in an all cash transaction for an enterprise value of approximately $388.5 million.</w:t>
      </w:r>
    </w:p>
    <w:p>
      <w:pPr>
        <w:spacing w:after="0" w:line="8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 February 2, 2012, our common stock began trading on the New York Stock Exchange (the “NYSE”) under the symbol “MTDR.” Prior to trading on the NYSE, there was no established public trading market for our common stock.</w:t>
      </w:r>
    </w:p>
    <w:p>
      <w:pPr>
        <w:spacing w:after="0" w:line="62"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16" w:lineRule="exact"/>
        <w:rPr>
          <w:sz w:val="20"/>
          <w:szCs w:val="20"/>
          <w:color w:val="auto"/>
        </w:rPr>
      </w:pPr>
    </w:p>
    <w:p>
      <w:pPr>
        <w:ind w:left="1300" w:right="40" w:hanging="887"/>
        <w:spacing w:after="0" w:line="258"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our exploration and development activities primarily on unconventional plays, including the Wolfcamp and Bone Spring plays in the Delaware Basin;</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evaluate and develop additional oil and natural gas plays as necessary to maintain a balanced portfolio of oil and natural gas properties;</w:t>
      </w:r>
    </w:p>
    <w:p>
      <w:pPr>
        <w:spacing w:after="0" w:line="32" w:lineRule="exact"/>
        <w:rPr>
          <w:rFonts w:ascii="Arial" w:cs="Arial" w:eastAsia="Arial" w:hAnsi="Arial"/>
          <w:sz w:val="16"/>
          <w:szCs w:val="16"/>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improve operational and cost efficiencies;</w:t>
      </w:r>
    </w:p>
    <w:p>
      <w:pPr>
        <w:spacing w:after="0" w:line="9" w:lineRule="exact"/>
        <w:rPr>
          <w:rFonts w:ascii="Arial" w:cs="Arial" w:eastAsia="Arial" w:hAnsi="Arial"/>
          <w:sz w:val="18"/>
          <w:szCs w:val="18"/>
          <w:color w:val="auto"/>
        </w:rPr>
      </w:pPr>
    </w:p>
    <w:p>
      <w:pPr>
        <w:ind w:left="1300" w:right="240" w:hanging="887"/>
        <w:spacing w:after="0" w:line="250"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and develop midstream opportunities that support and enhance our exploration and development activities and that generate value for San Mateo;</w:t>
      </w: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financial discipline;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pursue opportunistic acquisitions, divestitures and joint ventures.</w:t>
      </w:r>
    </w:p>
    <w:p>
      <w:pPr>
        <w:spacing w:after="0" w:line="10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Despite a challenging commodity price environment since 2014, the successful execution of our business strategies in 2019 led to significant increases in our oil and natural gas production and proved oil and natural gas reserves. We also improved the capital efficiency of our drilling and completion operations and continued to improve our leasehold and minerals position in the Delaware Basin. In addition, we concluded several important financing transactions in 2019, including 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increase in the borrowing base under our Credit Agreement (as defined below), two increases in the lender commitments under the San Mateo Credit Facility (as defined below) and the conversion of approximately $21.9 million of non-core assets to cash. San Mateo also achieved several important milestones in 2019, including the formation of San Mateo II, an increased natural gas gathering and processing commitment from an existing natural gas customer, significant additional acreage dedications from existing salt water disposal customers, an acreage dedication from a new oil customer and an increase in designed salt water disposal capacity. These achievements and transactions increased our operational flexibility and opportunities while preserving the strength of our balance sheet and our liquidity position.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Oil, Natural Gas and Oil Equivalent Production</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For the year ended December 31, 2019, we achieved record oil, natural gas and average daily oil equivalent production. In 2019, we produced 14.0 million Bbl of oil, an increase of 26%, as compared to 11.1 million Bbl of oil produced in 2018. We also produced 61.1 Bcf of natural gas, an increase of 29% from 47.3 Bcf of natural gas produced in 2018. Our average daily oil equivalent production for the year ended December 31, 2019 was 66,203 BOE per day, including 38,312 Bbl of oil per day and 167.4 MMcf of natural gas per day, an increase of 27%, as compared to 52,128 BOE per day, including 30,524 Bbl of oil per day and 129.6 MMcf of natural gas per day, for the year ended December 31, 2018. The increase in oil and natural gas production was primarily attributable to our ongoing delineation and development drilling activities in the Delaware Basin throughout 2019 as well as from our nine-well program in South Texas concluded in the first half of 2019 and non-operated Haynesville shale wells completed and placed on production during the third quarter of 2019. Oil production comprised 58% of our total production (using a conversion ratio of one Bbl of oil per six Mcf of natural gas) for the year ended December 31, 2019, as compared to 59% for the year ended December 31,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Oil, Natural Gas and Oil Equivalent Reserves</w:t>
      </w:r>
    </w:p>
    <w:p>
      <w:pPr>
        <w:spacing w:after="0" w:line="117"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At December 31, 2019, our estimated total proved oil and natural gas reserves were 252.5 million BOE, including 148.0 million Bbl of oil and 627.2 Bcf of natural gas, an increase of 17% from 215.3 million BOE, including 123.4 million Bbl of oil and 551.5 Bcf of natural gas, at December 31, 2018. The Standardized Measure of our total proved oil and natural gas reserves decreased 10% from $2.25 billion at December 31, 2018 to $2.03 billion at December 31, 2019. The PV-10 of our total proved oil and natural gas reserves decreased 13% from $2.58 billion at December 31, 2018 to $2.25 billion at December 31, 2019. The decreases in our Standardized Measure and PV-10 were primarily a result of lower weighted average oil and natural gas prices used to estimate proved reserves at December 31, 2019, as compared to December 31, 2018. PV-10 is a non-GAAP financial measure. For a reconciliation of PV-10 to Standardized Measure, see “—Estimated Proved Reserves.”</w:t>
      </w:r>
    </w:p>
    <w:p>
      <w:pPr>
        <w:spacing w:after="0" w:line="7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Our proved oil reserves grew 20% to 148.0 million Bbl at December 31, 2019 from 123.4 million Bbl at December 31, 2018. Our proved natural gas reserves increased 14% to 627.2 Bcf at December 31, 2019 from 551.5 Bcf at December 31, 2018. This growth in oil and natural gas reserves was primarily attributable to our ongoing delineation and development drilling activities in the Delaware Basin during 2019.</w:t>
      </w:r>
    </w:p>
    <w:p>
      <w:pPr>
        <w:spacing w:after="0" w:line="7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December 31, 2019, proved developed reserves included 59.7 million Bbl of oil and 276.3 Bcf of natural gas, and proved undeveloped reserves included 88.3 million Bbl of oil and 351.0 Bcf of natural gas. Proved developed reserves and proved oil reserves comprised 42% and 59%, respectively, of our total proved oil and natural gas reserves at December 31, 2019. Proved developed reserves and proved oil reserves comprised 44% and 57%, respectively, of our total proved oil and natural gas reserves at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Highlights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particularly over the past six years. We expect the Delaware Basin will continue to be our primary area of focus in 2020.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completed and began producing oil and natural gas from 138 gross (65.7 net) wells in the Delaware Basin in 2019, including 76 gross (61.4 net) operated and 62 gross (4.3 net) non-operated wells. At December 31, 2019, our total acreage position in the Delaware Basin was approximately 231,300 gross (128,200 net) acres, primarily in Loving County, Texas and Lea and Eddy Counties, New Mexico. We have focused our Delaware Basin operations thus far on the following asset areas: the Wolf and Jackson Trust asset areas in Loving County, Texas, the Rustler Breaks and Arrowhead asset areas in Eddy County, New Mexico and the Antelope Ridge, Ranger and Twin Lakes asset areas in Lea County, New Mexico. Our Delaware Basin properties have become the most significant component of our asset portfolio. Our average daily oil equivalent production from the Delaware Basin increased approximately 23% to 55,599 BOE per day (84% of total oil equivalent production), including 35,184 Bbl of oil per day (92% of total oil production) and 122.5 MMcf of natural gas per day (73% of total natural gas production), in 2019, as compared to 45,237 BOE per day (87% of total oil equivalent production), including 28,026 Bbl of oil per day (92% of total oil production) and 103.3 MMcf of natural gas per day (80% of total natural gas production), in 2018. We expect our Delaware Basin production to increase in 2020 as we continue the delineation and development of these asset areas, as well as our new Stateline asset area in Eddy County, New Mexico, where we expect to begin production late in the third quarter of 2020.</w:t>
      </w:r>
    </w:p>
    <w:p>
      <w:pPr>
        <w:spacing w:after="0" w:line="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Operational highlights in the Delaware Basin (as further described below in “—Exploration and Production Segment—Southeast New Mexico and West Texas—Delaware Basin” and “—Midstream Segment”) in 2019 included:</w:t>
      </w:r>
    </w:p>
    <w:p>
      <w:pPr>
        <w:spacing w:after="0" w:line="62" w:lineRule="exact"/>
        <w:rPr>
          <w:sz w:val="20"/>
          <w:szCs w:val="20"/>
          <w:color w:val="auto"/>
        </w:rPr>
      </w:pPr>
    </w:p>
    <w:p>
      <w:pPr>
        <w:ind w:left="640" w:right="380" w:hanging="321"/>
        <w:spacing w:after="0" w:line="25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Rustler Breaks asset area, the results from our first two operated First Bone Spring tests, including the Garrett State Com 32-24S-29E RB #111H (Garrett #111H) well and the Paul 25-24S-28E RB #111H (Paul #111H) well, demonstrating the prospectivity of this formation and the continued delineation and development of previously tested horizons;</w:t>
      </w:r>
    </w:p>
    <w:p>
      <w:pPr>
        <w:ind w:left="640" w:right="12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Wolf asset area, the continuing success from several wells with longer laterals (greater than one mile) drilled and completed in the Wolfcamp A-XY interval;</w:t>
      </w: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Jackson Trust asset area, the continued development of the Wolfcamp A-Lower interval;</w:t>
      </w:r>
    </w:p>
    <w:p>
      <w:pPr>
        <w:spacing w:after="0" w:line="9" w:lineRule="exact"/>
        <w:rPr>
          <w:rFonts w:ascii="Arial" w:cs="Arial" w:eastAsia="Arial" w:hAnsi="Arial"/>
          <w:sz w:val="18"/>
          <w:szCs w:val="18"/>
          <w:color w:val="auto"/>
        </w:rPr>
      </w:pPr>
    </w:p>
    <w:p>
      <w:pPr>
        <w:jc w:val="both"/>
        <w:ind w:left="640" w:right="52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Arrowhead and Ranger asset areas, the results from our Wolfcamp A-XY completions, particularly in the Stebbins acreage block in the Arrowhead asset area, whose 24-hour initial potential (“IP”) test results and subsequent well performance demonstrate the prospectivity of the Wolfcamp formation moving north in the Delaware Basin;</w:t>
      </w:r>
    </w:p>
    <w:p>
      <w:pPr>
        <w:spacing w:after="0" w:line="1" w:lineRule="exact"/>
        <w:rPr>
          <w:rFonts w:ascii="Arial" w:cs="Arial" w:eastAsia="Arial" w:hAnsi="Arial"/>
          <w:sz w:val="18"/>
          <w:szCs w:val="18"/>
          <w:color w:val="auto"/>
        </w:rPr>
      </w:pPr>
    </w:p>
    <w:p>
      <w:pPr>
        <w:ind w:left="640" w:right="20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Antelope Ridge asset area, the results from the Jeff Hart State Com #124H and #134H (Jeff Hart #124H and #134H) wells, our first two operated two-mile horizontal wells in the asset area, and the initiation of drilling operations on six wells in the western region of the asset area (the “Rodney Robinson” wells);</w:t>
      </w:r>
    </w:p>
    <w:p>
      <w:pPr>
        <w:spacing w:after="0" w:line="1" w:lineRule="exact"/>
        <w:rPr>
          <w:rFonts w:ascii="Arial" w:cs="Arial" w:eastAsia="Arial" w:hAnsi="Arial"/>
          <w:sz w:val="18"/>
          <w:szCs w:val="18"/>
          <w:color w:val="auto"/>
        </w:rPr>
      </w:pPr>
    </w:p>
    <w:p>
      <w:pPr>
        <w:ind w:left="640" w:right="62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our Stateline asset area, the successful approval and receipt of 14 drilling permits from the Bureau of Land Management (“BLM”) and the initiation of drilling operations there in late December 2019;</w:t>
      </w:r>
    </w:p>
    <w:p>
      <w:pPr>
        <w:ind w:left="640" w:right="18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drilling longer laterals, whereby 29% of the operated horizontal wells we completed and turned to sales in 2019 had lateral lengths greater than one mile, as compared to 9% in 2018;</w:t>
      </w:r>
    </w:p>
    <w:p>
      <w:pPr>
        <w:ind w:left="640" w:right="22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improvement in capital efficiency as demonstrated by our average drilling and completion costs for all operated horizontal wells completed and turned to sales of approximately $1,165 per lateral foot in 2019, a decrease of 24% as compared to average drilling and completion costs of $1,528 per lateral foot in 2018;</w:t>
      </w:r>
    </w:p>
    <w:p>
      <w:pPr>
        <w:spacing w:after="0" w:line="1" w:lineRule="exact"/>
        <w:rPr>
          <w:rFonts w:ascii="Arial" w:cs="Arial" w:eastAsia="Arial" w:hAnsi="Arial"/>
          <w:sz w:val="18"/>
          <w:szCs w:val="18"/>
          <w:color w:val="auto"/>
        </w:rPr>
      </w:pPr>
    </w:p>
    <w:p>
      <w:pPr>
        <w:ind w:left="640" w:right="32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transportation of much of our Delaware Basin residue natural gas production to the Texas Gulf Coast on the newly commissioned Gulf Coast Express Pipeline Project (the “GCX Pipeline”) beginning in late September 2019; and</w:t>
      </w:r>
    </w:p>
    <w:p>
      <w:pPr>
        <w:ind w:left="640" w:hanging="321"/>
        <w:spacing w:after="0" w:line="252"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significant progress made in our midstream operations, including (i) strong operating results in 2019, (ii) the initiation of an expansion of San Mateo’s cryogenic natural gas processing plant in Eddy County, New Mexico (the “Black River Processing Plant”) by an additional 200 MMcf per day of designed natural gas processing inlet capacity, which is anticipated to be placed in service during the summer of 2020, (iii) the initiation of San Mateo’s plans to construct large diameter natural gas gathering lines southward from the Stebbins area and surrounding leaseholds in the southern portion of the Arrowhead asset area (the “Greater Stebbins Area”) and northward from the Stateline asset area to connect these areas with the Black River Processing Plant, (iv) the addition of significant salt water disposal capacity in the Rustler Breaks asset area and the Greater Stebbins Area and (v) the progress made by San Mateo in increasing commitments, throughput volumes and acreage dedications from both new and existing customers.</w:t>
      </w:r>
    </w:p>
    <w:p>
      <w:pPr>
        <w:spacing w:after="0" w:line="84"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We also concluded operations on our nine-well program in South Texas (initiated in late 2018) during the second quarter of 2019, which included turning to sales seven gross (6.9 net) wells in the Eagle Ford formation and one gross (1.0 net) well in the Austin Chalk formation in 2019. We did not conduct any operated drilling and completion activities on our leasehold properties in Northwest Louisiana during 2019, although we did participate in the drilling and completion of 26 gross (1.7 net) non-operated Haynesville shale wells that began producing in 2019, including two highly productive two-mile lateral wells completed and turned to sales by an affiliate of Chesapeake Energy Corporation (“Chesapeake”) during the third quarter of 2019.</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117"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auto"/>
        </w:rPr>
        <w:t>We concluded several important financing transactions in 2019 that increased our operational flexibility and opportunities, while preserving the strength of our balance sheet and improving our liquidity position. These transactions included:</w:t>
      </w:r>
    </w:p>
    <w:p>
      <w:pPr>
        <w:spacing w:after="0" w:line="1" w:lineRule="exact"/>
        <w:rPr>
          <w:sz w:val="20"/>
          <w:szCs w:val="20"/>
          <w:color w:val="auto"/>
        </w:rPr>
      </w:pPr>
    </w:p>
    <w:p>
      <w:pPr>
        <w:ind w:left="640" w:hanging="321"/>
        <w:spacing w:after="0" w:line="265"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amendment of our third amended and restated credit agreement (the “Credit Agreement”) to increase the borrowing base to $900.0 million, which was further amended in February 2020 to increase our elected borrowing commitment from $500.0 million to $700.0 million;</w:t>
      </w:r>
    </w:p>
    <w:p>
      <w:pPr>
        <w:ind w:left="640" w:right="20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of the lender commitments under San Mateo I’s credit facility (the “San Mateo Credit Facility”) to $375.0 million, using the accordion feature; and</w:t>
      </w:r>
    </w:p>
    <w:p>
      <w:pPr>
        <w:ind w:left="640" w:right="240" w:hanging="321"/>
        <w:spacing w:after="0" w:line="290"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conversion of approximately $21.9 million of non-core assets to cash during 2019. These properties were primarily located in South Texas and Northwest Louisiana and East Texas but included a small portion of our leasehold in a non-operated area of the Delaware Basin.</w:t>
      </w:r>
    </w:p>
    <w:p>
      <w:pPr>
        <w:spacing w:after="0" w:line="53" w:lineRule="exact"/>
        <w:rPr>
          <w:sz w:val="20"/>
          <w:szCs w:val="20"/>
          <w:color w:val="auto"/>
        </w:rPr>
      </w:pPr>
    </w:p>
    <w:p>
      <w:pPr>
        <w:ind w:left="60" w:right="380" w:firstLine="432"/>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 — Liquidity and Capital Resources” for additional information regarding these financing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Highlights</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February 25, 2019, we announced the formation of San Mateo II, a strategic joint venture with a subsidiary of Five Point Energy LLC (“Five Point”) designed to expand our midstream operations in the Delaware Basin, specifically in Eddy County, New Mexico. San Mateo II is owned 51% by us and 49% by Five Point. As part of this transaction, we dedicated to San Mateo II acreage in the Greater Stebbins Area and the Stateline asset area pursuant to 15-year, fixed-fee agreements for oil, natural gas and salt water gathering, natural gas processing and salt water disposal. In addition, Five Point has committed to pay $125.0 million of the first $150.0 million of capital expenditures incurred by San Mateo II to develop facilities in the Greater Stebbins Area and the Stateline asset area. Five Point has also provided us the opportunity to earn deferred performance incentives of up to $150.0 million over the next several years as we execute our operational plans in and around the Greater Stebbins Area and the Stateline asset area, plus additional performance incentives for securing volumes from third-party customers.</w:t>
      </w:r>
    </w:p>
    <w:p>
      <w:pPr>
        <w:spacing w:after="0" w:line="21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San Mateo achieved strong operating results in 2019, highlighted by (i) increased third-party midstream services revenues, (ii) increased natural gas gathering and processing volumes, (iii) increased water gathering and water disposal volumes and (iv) increased oil gathering volumes, all as compared to 2018. San Mateo initiated construction on an additional 200 MMcf per day of designed natural gas processing inlet capacity as part of the expansion of the Black River Processing Plant, which is anticipated to be placed in service during the summer of 2020 and would bring the total designed inlet capacity of the Black River Processing Plant to 460 MMcf of natural gas per day. San Mateo also initiated plans to construct large diameter natural gas gathering lines southward from the Greater Stebbins Area and northward from the Stateline asset area to connect these areas with the Black River Processing Plant. During 2019, San Mateo added four commercial salt water disposal wells, two in the Rustler Breaks asset area and two in the Greater Stebbins Area, and expects to place into service one additional commercial salt water disposal well in the Rustler Breaks asset area in the first quarter of 2020, bringing San Mateo’s designed salt water disposal capacity to approximately 335,000 Bbl per day.</w:t>
      </w:r>
    </w:p>
    <w:p>
      <w:pPr>
        <w:spacing w:after="0" w:line="20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2019, San Mateo received an increased natural gas gathering and processing commitment from an existing natural gas customer, plus other interruptible volumes, obtained significant additional acreage dedications from existing salt water customers and added an acreage dedication from a new oil customer. At certain times near the end of the third quarter and early in the fourth quarter of 2019, as a result of increased throughput from existing natural gas processing customers, San Mateo was operating the Black River Processing Plant at greater than 95% of the current designed inlet capacity of 260 MMcf per day.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Social and Governance (“ESG”) Initiatives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maintain an active ESG program and continued working in 2019 to improve upon our various ESG efforts. For instance, we significantly increased the number of our production facilities operating on electrical grid power, lowering emissions by removing on-site generators. We increased the volumes of produced water we recycled in the Delaware Basin as well as the volumes of both produced water and oil transported via pipeline, taking trucks off the roads. We also reduced the number of well pads built in 2019 through our use of batch drilling and longer laterals, reducing our surface footprint. Finally, we continued our commitment to a proactive safety culture, with over 1.4 million employee man-hours and no lost time accidents since 2017.</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Segment</w:t>
      </w:r>
    </w:p>
    <w:p>
      <w:pPr>
        <w:spacing w:after="0" w:line="121"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During 2019, we devoted most of our efforts and most of our capital expenditures to our drilling and completion operations in the Wolfcamp and Bone Spring plays in the Delaware Basin, as well as our midstream operations there. Since our inception, our exploration and development efforts have concentrated primarily on known hydrocarbon-producing basins with well-established production histories offering the potential for multiple-zone completions.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certain summary data for each of our operating areas as of and for the year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Producing</w:t>
            </w:r>
          </w:p>
        </w:tc>
        <w:tc>
          <w:tcPr>
            <w:tcW w:w="1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Total Identified</w:t>
            </w: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Estimated Net Proved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Wells</w:t>
            </w:r>
          </w:p>
        </w:tc>
        <w:tc>
          <w:tcPr>
            <w:tcW w:w="19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Drilling Locations</w:t>
            </w:r>
            <w:r>
              <w:rPr>
                <w:rFonts w:ascii="Arial" w:cs="Arial" w:eastAsia="Arial" w:hAnsi="Arial"/>
                <w:sz w:val="8"/>
                <w:szCs w:val="8"/>
                <w:b w:val="1"/>
                <w:bCs w:val="1"/>
                <w:color w:val="auto"/>
                <w:w w:val="95"/>
              </w:rPr>
              <w:t>(1)</w:t>
            </w: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Reserves</w:t>
            </w:r>
            <w:r>
              <w:rPr>
                <w:rFonts w:ascii="Arial" w:cs="Arial" w:eastAsia="Arial" w:hAnsi="Arial"/>
                <w:sz w:val="8"/>
                <w:szCs w:val="8"/>
                <w:b w:val="1"/>
                <w:bCs w:val="1"/>
                <w:color w:val="auto"/>
                <w:w w:val="88"/>
              </w:rPr>
              <w:t>(2)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Avg. Daily</w:t>
            </w:r>
          </w:p>
        </w:tc>
        <w:tc>
          <w:tcPr>
            <w:tcW w:w="0" w:type="dxa"/>
            <w:vAlign w:val="bottom"/>
          </w:tcPr>
          <w:p>
            <w:pPr>
              <w:spacing w:after="0"/>
              <w:rPr>
                <w:sz w:val="1"/>
                <w:szCs w:val="1"/>
                <w:color w:val="auto"/>
              </w:rPr>
            </w:pPr>
          </w:p>
        </w:tc>
      </w:tr>
      <w:tr>
        <w:trPr>
          <w:trHeight w:val="258"/>
        </w:trPr>
        <w:tc>
          <w:tcPr>
            <w:tcW w:w="2740" w:type="dxa"/>
            <w:vAlign w:val="bottom"/>
          </w:tcPr>
          <w:p>
            <w:pPr>
              <w:spacing w:after="0"/>
              <w:rPr>
                <w:sz w:val="22"/>
                <w:szCs w:val="2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Production</w:t>
            </w:r>
          </w:p>
        </w:tc>
        <w:tc>
          <w:tcPr>
            <w:tcW w:w="0" w:type="dxa"/>
            <w:vAlign w:val="bottom"/>
          </w:tcPr>
          <w:p>
            <w:pPr>
              <w:spacing w:after="0"/>
              <w:rPr>
                <w:sz w:val="1"/>
                <w:szCs w:val="1"/>
                <w:color w:val="auto"/>
              </w:rPr>
            </w:pPr>
          </w:p>
        </w:tc>
      </w:tr>
      <w:tr>
        <w:trPr>
          <w:trHeight w:val="276"/>
        </w:trPr>
        <w:tc>
          <w:tcPr>
            <w:tcW w:w="274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Acreage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Acreage</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Gross</w:t>
            </w:r>
          </w:p>
        </w:tc>
        <w:tc>
          <w:tcPr>
            <w:tcW w:w="98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w:t>
            </w: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8"/>
                <w:szCs w:val="8"/>
                <w:b w:val="1"/>
                <w:bCs w:val="1"/>
                <w:color w:val="auto"/>
              </w:rPr>
              <w:t>(3)</w:t>
            </w:r>
          </w:p>
        </w:tc>
        <w:tc>
          <w:tcPr>
            <w:tcW w:w="10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Developed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(BOE/d)</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70"/>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500"/>
              <w:spacing w:after="0"/>
              <w:rPr>
                <w:sz w:val="20"/>
                <w:szCs w:val="20"/>
                <w:color w:val="auto"/>
              </w:rPr>
            </w:pPr>
            <w:r>
              <w:rPr>
                <w:rFonts w:ascii="Arial" w:cs="Arial" w:eastAsia="Arial" w:hAnsi="Arial"/>
                <w:sz w:val="14"/>
                <w:szCs w:val="14"/>
                <w:color w:val="auto"/>
              </w:rPr>
              <w:t>Delaware Basin</w:t>
            </w:r>
            <w:r>
              <w:rPr>
                <w:rFonts w:ascii="Arial" w:cs="Arial" w:eastAsia="Arial" w:hAnsi="Arial"/>
                <w:sz w:val="8"/>
                <w:szCs w:val="8"/>
                <w:color w:val="auto"/>
              </w:rPr>
              <w:t>(4)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231,300</w:t>
            </w:r>
          </w:p>
        </w:tc>
        <w:tc>
          <w:tcPr>
            <w:tcW w:w="1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128,200</w:t>
            </w: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5,287</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2,332.4</w:t>
            </w:r>
          </w:p>
        </w:tc>
        <w:tc>
          <w:tcPr>
            <w:tcW w:w="1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232,793</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55,599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500"/>
              <w:spacing w:after="0"/>
              <w:rPr>
                <w:sz w:val="20"/>
                <w:szCs w:val="20"/>
                <w:color w:val="auto"/>
              </w:rPr>
            </w:pPr>
            <w:r>
              <w:rPr>
                <w:rFonts w:ascii="Arial" w:cs="Arial" w:eastAsia="Arial" w:hAnsi="Arial"/>
                <w:sz w:val="14"/>
                <w:szCs w:val="14"/>
                <w:color w:val="auto"/>
              </w:rPr>
              <w:t>Eagle Ford</w:t>
            </w:r>
            <w:r>
              <w:rPr>
                <w:rFonts w:ascii="Arial" w:cs="Arial" w:eastAsia="Arial" w:hAnsi="Arial"/>
                <w:sz w:val="8"/>
                <w:szCs w:val="8"/>
                <w:color w:val="auto"/>
              </w:rPr>
              <w:t>(5)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31,200</w:t>
            </w:r>
          </w:p>
        </w:tc>
        <w:tc>
          <w:tcPr>
            <w:tcW w:w="1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28,400</w:t>
            </w: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196.3</w:t>
            </w:r>
          </w:p>
        </w:tc>
        <w:tc>
          <w:tcPr>
            <w:tcW w:w="1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11,219</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4,009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500"/>
              <w:spacing w:after="0"/>
              <w:rPr>
                <w:sz w:val="20"/>
                <w:szCs w:val="20"/>
                <w:color w:val="auto"/>
              </w:rPr>
            </w:pPr>
            <w:r>
              <w:rPr>
                <w:rFonts w:ascii="Arial" w:cs="Arial" w:eastAsia="Arial" w:hAnsi="Arial"/>
                <w:sz w:val="14"/>
                <w:szCs w:val="14"/>
                <w:color w:val="auto"/>
              </w:rPr>
              <w:t>Haynesville</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7,652</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6,345</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Cotton Valley</w:t>
            </w:r>
            <w:r>
              <w:rPr>
                <w:rFonts w:ascii="Arial" w:cs="Arial" w:eastAsia="Arial" w:hAnsi="Arial"/>
                <w:sz w:val="8"/>
                <w:szCs w:val="8"/>
                <w:color w:val="auto"/>
              </w:rPr>
              <w:t>(6)</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16,100</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14,900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w:t>
            </w: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50"/>
        </w:trPr>
        <w:tc>
          <w:tcPr>
            <w:tcW w:w="2740" w:type="dxa"/>
            <w:vAlign w:val="bottom"/>
          </w:tcPr>
          <w:p>
            <w:pPr>
              <w:ind w:left="820"/>
              <w:spacing w:after="0"/>
              <w:rPr>
                <w:sz w:val="20"/>
                <w:szCs w:val="20"/>
                <w:color w:val="auto"/>
              </w:rPr>
            </w:pPr>
            <w:r>
              <w:rPr>
                <w:rFonts w:ascii="Arial" w:cs="Arial" w:eastAsia="Arial" w:hAnsi="Arial"/>
                <w:sz w:val="14"/>
                <w:szCs w:val="14"/>
                <w:color w:val="auto"/>
              </w:rPr>
              <w:t>Area Total</w:t>
            </w:r>
            <w:r>
              <w:rPr>
                <w:rFonts w:ascii="Arial" w:cs="Arial" w:eastAsia="Arial" w:hAnsi="Arial"/>
                <w:sz w:val="8"/>
                <w:szCs w:val="8"/>
                <w:color w:val="auto"/>
              </w:rPr>
              <w:t>(7)</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19,700</w:t>
            </w:r>
          </w:p>
        </w:tc>
        <w:tc>
          <w:tcPr>
            <w:tcW w:w="10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18,300</w:t>
            </w:r>
          </w:p>
        </w:tc>
        <w:tc>
          <w:tcPr>
            <w:tcW w:w="120" w:type="dxa"/>
            <w:vAlign w:val="bottom"/>
          </w:tcPr>
          <w:p>
            <w:pPr>
              <w:spacing w:after="0"/>
              <w:rPr>
                <w:sz w:val="21"/>
                <w:szCs w:val="21"/>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8,518</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6,595</w:t>
            </w: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282,200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174,900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5,932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2,657.8</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252,530</w:t>
            </w:r>
          </w:p>
        </w:tc>
        <w:tc>
          <w:tcPr>
            <w:tcW w:w="1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66,203</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20" w:hanging="330"/>
        <w:spacing w:after="0" w:line="246"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Identified and engineered drilling locations. These locations have been identified for potential future drilling and were not producing at December 31, 2019. The total net engineered drilling locations are calculated by multiplying the gross engineered drilling locations in an operating area by our working interest participation in such locations. Each horizontal drilling location generally represents a one-mile lateral, although we anticipate that many of our future wells will have lateral lengths longer than one mile. At December 31, 2019, these engineered drilling locations included only 372 gross (168.5 net) locations to which we have assigned proved undeveloped reserves, primarily in the Wolfcamp or Bone Spring plays, but also in the Brushy Canyon, Avalon, Delaware and Strawn formations, in the Delaware Basin, 14 gross (13.7 net) locations to which we have assigned proved undeveloped reserves in the Eagle Ford and five gross (0.5 net) locations to which we have assigned proved undeveloped reserves in the Haynesville shale. Certain of these locations to which we have assigned proved undeveloped reserves may contemplate lateral lengths longer than one mile.</w:t>
      </w:r>
    </w:p>
    <w:p>
      <w:pPr>
        <w:spacing w:after="0" w:line="87" w:lineRule="exact"/>
        <w:rPr>
          <w:rFonts w:ascii="Arial" w:cs="Arial" w:eastAsia="Arial" w:hAnsi="Arial"/>
          <w:sz w:val="14"/>
          <w:szCs w:val="14"/>
          <w:color w:val="auto"/>
        </w:rPr>
      </w:pPr>
    </w:p>
    <w:p>
      <w:pPr>
        <w:ind w:left="460" w:right="60" w:hanging="330"/>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77" w:lineRule="exact"/>
        <w:rPr>
          <w:rFonts w:ascii="Arial" w:cs="Arial" w:eastAsia="Arial" w:hAnsi="Arial"/>
          <w:sz w:val="14"/>
          <w:szCs w:val="14"/>
          <w:color w:val="auto"/>
        </w:rPr>
      </w:pPr>
    </w:p>
    <w:p>
      <w:pPr>
        <w:ind w:left="460" w:right="60" w:hanging="330"/>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potential future engineered drilling locations in the Wolfcamp, Bone Spring, Brushy Canyon, Strawn and Avalon plays on our acreage in the Delaware Basin at December 31, 2019.</w:t>
      </w:r>
    </w:p>
    <w:p>
      <w:pPr>
        <w:spacing w:after="0" w:line="120" w:lineRule="exact"/>
        <w:rPr>
          <w:rFonts w:ascii="Arial" w:cs="Arial" w:eastAsia="Arial" w:hAnsi="Arial"/>
          <w:sz w:val="13"/>
          <w:szCs w:val="13"/>
          <w:color w:val="auto"/>
        </w:rPr>
      </w:pPr>
    </w:p>
    <w:p>
      <w:pPr>
        <w:ind w:left="460" w:right="60" w:hanging="330"/>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hanging="330"/>
        <w:spacing w:after="0" w:line="312"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pacing w:after="0" w:line="4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active both as an operator and as a co-working interest owner with various industry participants. At December 31, 2019, we operated the majority of our acreage in the Delaware Basin in Southeast New Mexico and West Texas. In those wells where we are not the operator, our working interests are often relatively small. At December 31, 2019, we also were the operator for approximately 93% of our Eagle Ford acreage and approximately 59% of our Haynesville acreage, including approximately 26% of our acreage in what we believe is the core area of the Haynesville play. A large portion of our acreage in the core area of the Haynesville shale is operated by Chesapeake.</w:t>
      </w:r>
    </w:p>
    <w:p>
      <w:pPr>
        <w:spacing w:after="0" w:line="8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any related proved undeveloped well locations and reserves. We review these locations with Netherland, Sewell &amp; Associates, Inc., independent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reservoir engineers, on a periodic basis to ensure their concurrence with our estimates of these drilling plans and our approach to booking these reserves.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Southeast New Mexico and West Texas </w:t>
      </w:r>
      <w:r>
        <w:rPr>
          <w:rFonts w:ascii="Arial" w:cs="Arial" w:eastAsia="Arial" w:hAnsi="Arial"/>
          <w:sz w:val="18"/>
          <w:szCs w:val="18"/>
          <w:color w:val="auto"/>
        </w:rPr>
        <w:t>—</w:t>
      </w:r>
      <w:r>
        <w:rPr>
          <w:rFonts w:ascii="Arial" w:cs="Arial" w:eastAsia="Arial" w:hAnsi="Arial"/>
          <w:sz w:val="18"/>
          <w:szCs w:val="18"/>
          <w:i w:val="1"/>
          <w:iCs w:val="1"/>
          <w:color w:val="auto"/>
        </w:rPr>
        <w:t xml:space="preserve"> Delaware Basin</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greater Permian Basin in Southeast New Mexico and West Texas is a mature exploration and production region with extensive developments in a wide variety of petroleum systems resulting in stacked target horizons in many areas. Historically, the majority of development in this basin has focused on relatively conventional reservoir targets, but the combination of advanced formation evaluation, 3-D seismic technology, horizontal drilling and hydraulic fracturing technology is enhancing the development potential of this basin, particularly in the organic rich shales, or source rocks, of the Wolfcamp formation and in the low permeability sand and carbonate reservoirs of the Bone Spring, Avalon and Delaware formations.</w:t>
      </w:r>
    </w:p>
    <w:p>
      <w:pPr>
        <w:spacing w:after="0" w:line="50"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In the western part of the Permian Basin, also known as the Delaware Basin, the Lower Permian age Bone Spring (also called the Leonardian) and Wolfcamp formations are several thousand feet thick and contain stacked layers of shales, sandstones, limestones and dolomites. These intervals represent a complex and dynamic submarine depositional system that also includes organic rich shales that are the source rocks for oil and natural gas produced in the basin. Historically, production has come from conventional reservoirs; however, we and other industry players have realized that the source rocks also have sufficient porosity and permeability to be commercial reservoirs. In addition, the source rocks are interbedded with reservoir layers that have filled with hydrocarbons, both of which can produce significant volumes of oil and natural gas when connected by horizontal wellbores with multi-stage hydraulic fracture treatments. Particularly in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Bone Spring (First, Second and Third Sand) and several intervals within the Wolfcamp shale, often identified as Wolfcamp A through D.</w:t>
      </w:r>
    </w:p>
    <w:p>
      <w:pPr>
        <w:spacing w:after="0" w:line="6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At December 31, 2019, our total acreage position in Southeast New Mexico and West Texas was approximately 231,300 gross (128,200 net) acres, primarily in Loving County, Texas and Lea and Eddy Counties, New Mexico. These acreage totals included approximately 36,400 gross (19,500 net) acres in our Ranger asset area in Lea County, 61,900 gross (26,300 net) acres in our Arrowhead asset area in Eddy County, 44,000 gross (25,000 net) acres in our Rustler Breaks asset area in Eddy County, 24,200 gross (16,500 net) acres in our Antelope Ridge asset area in Lea County, 15,000 gross (10,800 net) acres in our Wolf and Jackson Trust asset areas in Loving County, 2,800 gross (2,800 net) acres in our Stateline asset area in Eddy County and 46,400 gross (26,800 net) acres in our Twin Lakes asset area in Lea County at December 31, 2019. We consider the vast majority of our Delaware Basin acreage position to be prospective for oil and liquids-rich targets in the Bone Spring and Wolfcamp formations. Other potential targets on certain portions of our acreage include the Avalon and Delaware formations, as well as the Abo, Strawn, Devonian, Penn Shale, Atoka and Morrow formations. At December 31, 2019, our acreage position in the Delaware Basin was approximately 59% held by existing production. Excluding the Twin Lakes asset area, where we have drilled only three vertical operated wells and two horizontal operated wells, and the undeveloped acreage acquired in the BLM New Mexico Oil and Gas Lease Sale on September 5 and 6, 2018 (the “BLM Acquisition”), which has 10-year leases with favorable lease-holding provisions, our acreage position in the Delaware Basin was approximately 73% held by existing production at December 31, 2019.</w:t>
      </w:r>
    </w:p>
    <w:p>
      <w:pPr>
        <w:spacing w:after="0" w:line="7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During the year ended December 31, 2019, we continued the delineation and development of our Delaware Basin acreage. We completed and began producing oil and natural gas from 138 gross (65.7 net) wells in the Delaware Basin, including 76 gross (61.4 net) operated wells and 62 gross (4.3 net) non-operated wells, throughout our various asset areas. At December 31, 2019, we had tested a number of different producing horizons at various locations across our acreage position, including the Brushy Canyon, the Avalon, the First Bone Spring, two benches of the Second Bone Spring, the Third Bone Spring, three benches of the Wolfcamp A, including the X and Y sands and the more organic, lower section of the Wolfcamp A, three benches of the Wolfcamp B, the Wolfcamp D, the Morrow and the Strawn. Most of our delineation and development efforts have been focused on multiple completion targets between the First Bone Spring and the Wolfcamp B.</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a result of our ongoing drilling and completion operations in these asset areas, our Delaware Basin production increased significantly in 2019. Our average daily oil equivalent production from the Delaware Basin increased approximately 23% to 55,599 BOE per day (84% of total oil equivalent production), including 35,184 Bbl of oil per day (92% of total oil production) and 122.5 MMcf of natural gas per day (73% of total natural gas production), in 2019, as compared to 45,237 BOE per day (87% of total oil equivalent production), including 28,026 Bbl of oil per day (92% of total oil production) and</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103.3 MMcf of natural gas per day (80% of total natural gas production), in 2018. Our average daily oil equivalent production from the Delaware Basin also grew approximately 25% from 49,309 BOE per day in the fourth quarter of 2018 to 61,493 BOE per day in the fourth quarter of 2019.</w:t>
      </w:r>
    </w:p>
    <w:p>
      <w:pPr>
        <w:spacing w:after="0" w:line="5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At December 31, 2019, approximately 92% of our estimated total proved oil and natural gas reserves, or 232.8 million BOE, was attributable to the Delaware Basin, including approximately 139.6 million Bbl of oil and 559.2 Bcf of natural gas, a 22% increase, as compared to 191.5 million BOE for the year ended December 31, 2018. Our Delaware Basin proved reserves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December 31, 2019 comprised approximately 94% of our proved oil reserves and 89% of our proved natural gas reserves, as compared to approximately 93% of our proved oil reserves and 83% of our proved natural gas reserves at December 31, 2018.</w:t>
      </w:r>
    </w:p>
    <w:p>
      <w:pPr>
        <w:spacing w:after="0" w:line="6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At December 31, 2019, we had identified 5,287 gross (2,332.4 net) engineered locations for potential future drilling on our Delaware Basin acreage, primarily in the Wolfcamp or Bone Spring plays, but also including the shallower Brushy Canyon and Avalon formations and the deeper Strawn formation. These locations include 3,290 gross (2,139.7 net) locations that we anticipate operating as we hold a working interest of at least 25% in each of these locations. Each horizontal drilling location generally represents a one-mile lateral, although we anticipate that many of our future wells will have lateral lengths longer than one mile.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2019 do not yet include all portions of our acreage position and do not include any horizontal locations in our Twin Lakes asset area in Lea County, New Mexico. Our identified well locations presume that multiple intervals may be prospective at any one surface location. Although we believe that denser well spacing may be possible in certain asset areas or in certain formations, at December 31, 2019, the majority of our estimated locations were based on the assumption of 160-acre well spacing. As we explore and develop our Delaware Basin acreage further, we anticipate that we may identify additional locations for future drilling. At December 31, 2019, these potential future drilling locations included 372 gross (168.5 net) locations in the Delaware Basin, primarily in the Wolfcamp and Bone Spring plays, but also in the Brushy Canyon, Avalon, Delaware and Strawn formations, to which we have assigned proved undeveloped reserves, and certain of these locations to which we have assigned proved undeveloped reserves may contemplate lateral lengths longer than one mile.</w:t>
      </w:r>
    </w:p>
    <w:p>
      <w:pPr>
        <w:spacing w:after="0" w:line="7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At December 31, 2019, we were operating six drilling rigs in the Delaware Basin, and we expect to operate six rigs in the Delaware Basin throughout 2020, including two to four rigs (at times) in the Stateline asset area, one to two rigs (at times) in the Rustler Breaks asset area, one to two rigs (at times) in the Antelope Ridge asset area, one rig in the Wolf and Jackson Trust asset areas and one rig in the Greater Stebbins Area in the southern Arrowhead asset area. We have continued to build significant optionality into our drilling program. Three of our rigs operate on longer-term contracts with remaining average terms of approximately 19 months. The other three rigs are on short-term contracts with remaining obligations of less than twelve months. This affords us the ability to modify our drilling program as we may deem necessary based on changing commodity prices and other factors. We are also planning to participate in non-operated wells in the Delaware Basin as these opportunities arise in 2020.</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Rustler Breaks Asset Area - Eddy County, New Mexico</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operated one to two drilling rigs in our Rustler Breaks asset area during most of 2019. We completed and turned to sales 48 gross (16.7 net) horizontal wells and one gross (1.0 net) vertical well in the Rustler Breaks asset area in 2019, including 19 gross (14.4 net) operated and 30 gross (3.3 net) non-operated wells.</w:t>
      </w:r>
    </w:p>
    <w:p>
      <w:pPr>
        <w:spacing w:after="0" w:line="73"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The Garrett #111H well was particularly significant, being our first operated test of the First Bone Spring formation in the Rustler Breaks asset area. This well, a one-mile lateral, tested 2,042 BOE per day (75% oil) during a 24-hour IP test in the third quarter of 2019. A second operated test of the First Bone Spring in the fourth quarter of 2019, the Paul #111H, tested 1,793 BOE per day (81% oil) during a 24-hour IP test. We believe these two wells demonstrate the prospectivity of the First Bone Spring formation in the Rustler Breaks asset area.</w:t>
      </w:r>
    </w:p>
    <w:p>
      <w:pPr>
        <w:spacing w:after="0" w:line="6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were also pleased with the results from our Wolfcamp wells turned to sales in 2019 in the Rustler Breaks asset area. In particular, the General Kehoe wells in the eastern portion of the asset area were drilled and completed as part of a five-well batch from a single pad and contributed significantly to our better-than-expected oil and natural gas production in the second half of 2019.</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Wolf and Jackson Trust Asset Areas - Loving County, Texas</w:t>
      </w:r>
    </w:p>
    <w:p>
      <w:pPr>
        <w:spacing w:after="0" w:line="117"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In the Wolf and Jackson Trust asset areas, we continued to focus primarily on the Wolfcamp A-XY and Wolfcamp A-Lower formations in 2019. We operated one drilling rig in our Wolf and Jackson Trust asset areas during 2019, and we completed and turned to sales 11 gross (7.8 net) horizontal wells in these asset areas, including ten gross (7.8 net) operated wells and one gross (less than 0.1 net) non-operated well. Most of these wells were completed in the Wolfcamp A-XY interval.</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continued to experience success with longer laterals (greater than one mile) we drilled in the Wolf asset area in 2019. For example, the Howard Posner 83-TTT-B33 WF #203H and #204H (Howard Posner #203H and #204H) wells, both Wolfcamp A-XY completions, tested 2,382 BOE per day (58% oil) and 1,813 BOE per day (60% oil), respectively, during 24-hour IP tests. Both the Howard Posner #203H and #204H wells had completed lateral lengths of approximately 7,500 feet.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Arrowhead, Ranger and Twin Lakes Asset Areas - Eddy and Lea Counties, New Mexico</w:t>
      </w:r>
    </w:p>
    <w:p>
      <w:pPr>
        <w:spacing w:after="0" w:line="117"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We operated one drilling rig in our Arrowhead, Ranger and Twin Lakes asset areas during 2019. We completed and turned to sales 20 gross (11.3 net) horizontal wells and two gross (2.0 net) vertical wells in the Arrowhead, Ranger and Twin Lakes asset areas in 2019, including 17 gross (13.0 net) operated and five gross (0.3 net) non-operated wells. Most of these wells were completed in the Second Bone Spring and Third Bone Spring intervals.</w:t>
      </w:r>
    </w:p>
    <w:p>
      <w:pPr>
        <w:spacing w:after="0" w:line="3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Following our initial test of the Wolfcamp A-XY in the third quarter of 2018, we were pleased with our continued delineation of the Wolfcamp A-XY in the Arrowhead asset area in 2019. In the third quarter of 2019, we completed and placed on production the Stebbins 19 Federal Com #203H and #204H wells. These wells tested 2,815 BOE per day (73% oil) and 2,262 BOE per day (75% oil), respectively, during 24-hour IP tests. We believe these results provided further evidence of Wolfcamp A-XY prospectivity moving north in the Delaware Basin.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Antelope Ridge Asset Area - Lea County, New Mexico</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operated one to two drilling rigs in our Antelope Ridge asset area during 2019. We completed and turned to sales 55 gross (25.9 net) horizontal wells and one gross (1.0 net) vertical well in this asset area in 2019, including 30 gross (26.2 net) operated and 26 gross (0.7 net) non-operated wells. As we continued to delineate the Antelope Ridge asset area during 2019, we tested six different intervals, completing wells in the Brushy Canyon, First, Second and Third Bone Spring, Wolfcamp A-XY and Wolfcamp A-Lower.</w:t>
      </w:r>
    </w:p>
    <w:p>
      <w:pPr>
        <w:spacing w:after="0" w:line="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 key achievement in our Antelope Ridge asset area in 2019 was the drilling and completion of our first two operated two-mile horizontal wells in the asset area—the Jeff Hart #124H and #134H wells, Second Bone Spring and Third Bone Spring completions, respectively. The Jeff Hart #124H and #134H wells tested 2,332 BOE per day (81% oil) and 2,884 BOE per day (90% oil), respectively, during 24-hour IP tests in the third quarter of 2019. The Jeff Hart #134H well produced approximately 70,000 Bbl of oil in its first 30 days of production, which is the highest 30-day cumulative oil production for any well drilled and completed by us, including our prolific Mallon wells in the Ranger asset area, also Third Bone Spring completions. Further, drilling and completion costs on the Jeff Hart #134H well were just under $1,000 per lateral foot, about 20% to 25% below the drilling and completion costs per lateral foot associated with one-mile laterals we previously drilled in the Antelope Ridge asset area. In their first five months of production, the Jeff Hart #124H and #134H wells each produced more than 200,000 Bbl of oil in its first 150 days of production. The early production from these wells has more than doubled that of our nearby one-mile lateral completions over a similar timeframe, and these wells continued to exhibit a shallower initial production decline as compared to nearby one-mile laterals drilled by us.</w:t>
      </w:r>
    </w:p>
    <w:p>
      <w:pPr>
        <w:spacing w:after="0" w:line="70" w:lineRule="exact"/>
        <w:rPr>
          <w:sz w:val="20"/>
          <w:szCs w:val="20"/>
          <w:color w:val="auto"/>
        </w:rPr>
      </w:pPr>
    </w:p>
    <w:p>
      <w:pPr>
        <w:jc w:val="both"/>
        <w:ind w:right="100" w:firstLine="405"/>
        <w:spacing w:after="0" w:line="279" w:lineRule="auto"/>
        <w:rPr>
          <w:sz w:val="20"/>
          <w:szCs w:val="20"/>
          <w:color w:val="auto"/>
        </w:rPr>
      </w:pPr>
      <w:r>
        <w:rPr>
          <w:rFonts w:ascii="Arial" w:cs="Arial" w:eastAsia="Arial" w:hAnsi="Arial"/>
          <w:sz w:val="17"/>
          <w:szCs w:val="17"/>
          <w:color w:val="auto"/>
        </w:rPr>
        <w:t>In addition, we were particularly pleased with our delineation of the Wolfcamp A formation in the Antelope Ridge asset area. The Brad Lummis Com #212H well, a Wolfcamp A-XY completion, flowed at 3,236 BOE per day (83% oil) during its 24-hour IP test, or over 700 BOE per 1,000 feet of completed lateral. This well result complemented those from the four Charles Ling wells completed and turned to sales in the Wolfcamp A-Lower formation late in the first quarter of 2019, which flowed at an average of 2,932 BOE per day (75% oil) during their respective 24-hour IP tests.</w:t>
      </w:r>
    </w:p>
    <w:p>
      <w:pPr>
        <w:spacing w:after="0" w:line="63"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Additionally, we began drilling operations on the 1,200 gross and net acre Rodney Robinson tract in our western Antelope Ridge asset area in the third quarter of 2019. The Rodney Robinson tract is one of the key tracts we acquired in the BLM Acquisition. The acquired leases are federal leases and provide an 87.5% net revenue interest (“NRI”) as compared to approximately 75% NRI on most fee leases today. We drilled six initial wells on this tract from two separate three-well pads. These six wells, which are all two-mile laterals, are currently scheduled to be completed and turned to sales in late March 2020.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Stateline Asset Area - Eddy County, New Mexico</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early September 2018, we acquired the Stateline asset area in southern Eddy County, New Mexico as part of the BLM Acquisition. The Stateline asset area includes approximately 2,800 gross and net undeveloped leasehold acres prospective for multiple geologic targets. The acquired leases are federal leases and provide an 87.5% NRI. The large majority of the acquired acreage is believed to be conducive to drilling longer laterals of up to two miles or more, utilizing central facilities and multi-well pad development. We began drilling operations in the Stateline asset area just before the end of 2019 and, at February 25, 2020, had two of our drilling rigs operating there. We plan to develop this acreage block drilling two-mile laterals on the eastern side of the leasehold and approximately 2.5-mile laterals on the western side of the leasehold. We initially expect to drill 13 wells on the eastern portion of this leasehold, and these 13 wells are expected to be completed and turned to sales late in third quarter of 2020 in conjunction with the expected completion of the expansion of the Black River Processing Plant by San Mateo. We anticipate running at least two rigs full-time in the Stateline asset area for the foreseeable future.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South Texas </w:t>
      </w:r>
      <w:r>
        <w:rPr>
          <w:rFonts w:ascii="Arial" w:cs="Arial" w:eastAsia="Arial" w:hAnsi="Arial"/>
          <w:sz w:val="18"/>
          <w:szCs w:val="18"/>
          <w:color w:val="auto"/>
        </w:rPr>
        <w:t>—</w:t>
      </w:r>
      <w:r>
        <w:rPr>
          <w:rFonts w:ascii="Arial" w:cs="Arial" w:eastAsia="Arial" w:hAnsi="Arial"/>
          <w:sz w:val="18"/>
          <w:szCs w:val="18"/>
          <w:i w:val="1"/>
          <w:iCs w:val="1"/>
          <w:color w:val="auto"/>
        </w:rPr>
        <w:t xml:space="preserve"> Eagle Ford Shale and Other Formations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Eagle Ford shale extends across portions of South Texas from the Mexican border into East Texas forming a band roughly 50 to 100 miles wide and 400 miles long. The Eagle Ford is an organically rich calcareous shale and lies between the deeper Buda limestone and the shallower Austin Chalk formation. Along the entire length of the Eagle Ford trend, the structural dip of the formation is consistently down to the south with relatively few, modestly sized structural perturbations. As a result, depth of burial increases consistently southwards along with the thermal maturity of the formation. Where the Eagle Ford is shallow, it is less thermally mature and therefore more oil prone, and as it gets deeper and becomes more thermally mature, the Eagle Ford is more natural gas prone. The transition between being more oil prone and more natural gas prone includes an interval that typically produces liquids-rich natural gas with condensate.</w:t>
      </w:r>
    </w:p>
    <w:p>
      <w:pPr>
        <w:spacing w:after="0" w:line="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At December 31, 2019, our properties included approximately 31,200 gross (28,400 net) acres in the Eagle Ford shale play in Atascosa, DeWitt, Gonzales, Karnes, La Salle, Wilson and Zavala Counties in South Texas. We believe that approximately 88% of our Eagle Ford acreage is prospective predominantly for oil or liquids-rich natural gas with condensate, with the remainder being prospective for less liquids-rich natural gas. Approximately 93% of our Eagle Ford acreage was held by production at December 31, 2019.</w:t>
      </w:r>
    </w:p>
    <w:p>
      <w:pPr>
        <w:spacing w:after="0" w:line="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October 2018, we commenced a drilling program in South Texas to drill nine wells, primarily in the Eagle Ford shale, to take advantage of higher oil and natural gas prices in South Texas, to conduct at least one exploratory test of the Austin Chalk formation and to validate and hold by production almost all of our remaining undeveloped acreage in South Texas. One of the Eagle Ford shale wells was completed and turned to sales during the fourth quarter of 2018, and the remaining eight gross (7.9 net) wells, including one well drilled in the Austin Chalk formation, were completed and turned to sales in the first half of 2019.</w:t>
      </w:r>
    </w:p>
    <w:p>
      <w:pPr>
        <w:spacing w:after="0" w:line="8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Two of these wells, the Lloyd Hurt C #12H and D #13H wells, which targeted the Eagle Ford shale, flowed an average of 1,085 BOE per day (85% oil), including 923 Bbl of oil per day and 1.0 MMcf of natural gas per day, during 24-hour IP tests from completed lateral lengths of approximately 8,800 feet. These wells marked the two best 24-hour IP test results from any Eagle Ford wells we have completed to date in our far northwest La Salle County acreage. In addition, the Lloyd Hurt AC-C #26H well, an Austin Chalk completion, tested approximately 600 BOE per day (93% oil) during a 24-hour IP test conducted following the installation of an electric submersible pump (“ESP”) in the wellbore. We were encouraged by this initial test and the early results from the Austin Chalk formation in far northwest La Salle County, where almost no horizontal completions of the Austin Chalk formation using modern drilling and stimulation technology had been previously attempted.</w:t>
      </w:r>
    </w:p>
    <w:p>
      <w:pPr>
        <w:spacing w:after="0" w:line="81"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Primarily as a result of the initial production from this nine-well program, our average daily oil equivalent production from the Eagle Ford shale increased 27% to 4,009 BOE per day, including 3,113 Bbl of oil per day and 5.4 MMcf of natural gas per day, during 2019, as compared to 3,158 BOE per day, including 2,485 Bbl of oil per day and 4.0 MMcf of natural gas per day, during 2018. For the year ended December 31, 2019, 6% of our total daily oil equivalent production was attributable to the Eagle Ford shale, as compared to 6% for the year ended December 31, 2018.</w:t>
      </w:r>
    </w:p>
    <w:p>
      <w:pPr>
        <w:spacing w:after="0" w:line="6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At December 31, 2019, approximately 4% of our estimated total proved oil and natural gas reserves, or 11.2 million BOE, was attributable to the Eagle Ford shale, including approximately 8.4 million Bbl of oil and 17.2 Bcf of natural gas. Our Eagle Ford total proved reserves comprised approximately 6% of our proved oil reserves and 3% of our proved natural gas reserves at December 31, 2019, as compared to approximately 7% of our proved oil reserves and 4% of our proved natural gas reserves at December 31, 2018.</w:t>
      </w:r>
    </w:p>
    <w:p>
      <w:pPr>
        <w:spacing w:after="0" w:line="7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At December 31, 2019, we had identified 234 gross (196.3 net) engineered locations for potential future drilling on our Eagle Ford acreage. These locations have been identified on a property-by-property basis and take into account criteria such as anticipated geologic conditions and reservoir properties, estimated rates of return, estimated recoveries from our producing Eagle Ford wells and other nearby wells based on available public data, drilling densities anticipated on our properties and observed on properties of other operators, estimated drilling and completion costs, spacing and other rules established by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regulatory authorities and surface considerations, among other factors. The identified well locations presume that we will be able to develop our Eagle Ford properties on 40- to 80-acre spacing, depending on the specific property and the wells we have already drilled. We anticipate that any Eagle Ford wells drilled on our acreage in central and northern La Salle, northern Karnes and southern Wilson Counties can be developed on 40- to 50-acre spacing, while other properties, particularly the eastern portion of our acreage in DeWitt County, are more likely to be developed on 80-acre spacing. At December 31, 2019, these 234 gross (196.3 net) identified drilling locations included 14 gross (13.7 net) locations to which we have assigned proved undeveloped reserves.</w:t>
      </w:r>
    </w:p>
    <w:p>
      <w:pPr>
        <w:spacing w:after="0" w:line="5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These engineered drilling locations include only a single interval in the lower portion of the Eagle Ford shale. We believe portions of our Eagle Ford acreage may be prospective for an additional target in the lower portion of the Eagle Ford shale and for other intervals in the upper portion of the Eagle Ford shale, from which we would expect to produce predominantly oil and liquids. In addition, we believe portions of our Eagle Ford acreage may also be prospective for the Austin Chalk, Buda and other formations, from which we would expect to produce predominantly oil and liquids. At December 31, 2019, we had not included any future drilling locations in the upper portion of the Eagle Ford shale, in any additional intervals of the lower portion of the Eagle Ford shale or in the Austin Chalk or Buda formations, even though activity from other operators in these formations around our South Texas acreage position has demonstrated the potential prospectivity of these intervals.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Northwest Louisiana — Haynesville Shale, Cotton Valley and Other Formations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Haynesville shale is an organically rich, overpressured marine shale found below the Cotton Valley and Bossier formations and above the Smackover formation at depths ranging from 10,500 to 13,500 feet across a broad region throughout Northwest Louisiana, including principally Bossier, Caddo, DeSoto and Red River Parishes in Louisiana. The Haynesville shale produces primarily dry natural gas with almost no associated liquids. The Bossier shale is overpressured and is often divided into lower, middle and upper units. The Cotton Valley formation is a low permeability natural gas sand that ranges in thickness from 200 to 300 feet and has porosity ranging from 6% to 10%.</w:t>
      </w:r>
    </w:p>
    <w:p>
      <w:pPr>
        <w:spacing w:after="0" w:line="8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did not conduct any operated drilling and completion activities on our leasehold properties in Northwest Louisiana during 2019, although we did participate in the drilling and completion of 26 gross (1.7 net) non-operated Haynesville shale wells that were turned to sales in 2019, the most significant of which were two gross (1.0 net) two-mile lateral wells drilled and completed by Chesapeake in the third quarter of 2019. These two wells, the LDW&amp;F 15&amp;10-14-12 HC001-ALT and HC002-ALT wells, were located in the southern part of our Elm Grove asset area in the core of the Haynesville shale play and tested 38.4 and 42.4 MMcf of natural gas per day, respectively, during 24-hour IP tests, and these wells contributed to our natural gas production growth in the second half of 2019. We do not plan to drill any operated Haynesville shale or Cotton Valley wells in 2020.</w:t>
      </w:r>
    </w:p>
    <w:p>
      <w:pPr>
        <w:spacing w:after="0" w:line="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At December 31, 2019, we held approximately 19,700 gross (18,300 net) acres in Northwest Louisiana, including 17,500 gross (10,000 net) acres in the Haynesville shale play and 16,100 gross (14,900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26% of the 12,400 gross (5,600 net) acres that we consider to be in the core area of the Haynesville shale play.</w:t>
      </w:r>
    </w:p>
    <w:p>
      <w:pPr>
        <w:spacing w:after="0" w:line="8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For the year ended December 31, 2019, approximately 10% of our average daily oil equivalent production, or 6,595 BOE per day, including 15 Bbl of oil per day and 39.5 MMcf of natural gas per day, was attributable to our leasehold interests in Northwest Louisiana. Natural gas production from these properties comprised approximately 24% of our daily natural gas production during 2019, as compared to approximately 17% of our daily natural gas production during 2018. During the year ended December 31, 2018, approximately 7% of our average daily oil equivalent production, or 3,733 BOE per day, including 13 Bbl of oil per day and 22.3 MMcf of natural gas per day, was attributable to our properties in Northwest Louisiana and East Texas.</w:t>
      </w:r>
    </w:p>
    <w:p>
      <w:pPr>
        <w:spacing w:after="0" w:line="5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For the year ended December 31, 2019, approximately 23% of our daily natural gas production, or 38.1 MMcf of natural gas per day, was produced from the Haynesville shale, with approximately 1%, or 1.4 MMcf of natural gas per day, produced from the Cotton Valley and other shallower formations on these properties. For the year ended December 31, 2018, approximately 16% of our daily natural gas production, or 20.5 MMcf of natural gas per day, was produced from the Haynesville shale, with approximately 1%, or 1.8 MMcf of natural gas per day, produced from the Cotton Valley and other shallower formations on these properties. At December 31, 2019, approximately 3% of our estimated total proved reserves, or 7.7 million BOE, was attributable to the Haynesville shale with another 0.3% of our proved reserves, or 0.9 million BOE, attributable to the Cotton Valley and shallower formations underlying this acreage.</w:t>
      </w:r>
    </w:p>
    <w:p>
      <w:pPr>
        <w:spacing w:after="0" w:line="8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At December 31, 2019, we had identified 341 gross (80.8 net) engineered locations for potential future drilling in the Haynesville shale play and 70 gross (48.3 net) engineered locations for potential future drilling in the Cotton Valley formation. Each horizontal drilling location generally assumes a one-mile lateral, although we anticipate that many of our future wells may have lateral lengths longer than one mile. These locations have been identified on a property-by-property basis and take into</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account criteria such as anticipated geologic conditions and reservoir properties, estimated rates of return, estimated recoveries from our producing Haynesville and Cotton Valley wells and other nearby wells based on available public data, drilling densities observed on properties of other operators, including on some of our non-operated properties, estimated drilling and completion costs, spacing and other rules established by regulatory authorities and surface conditions, among other criteria. Of the 341 gross (80.8 net) locations identified for future drilling on our Haynesville acreage, 277 gross (37.8 net) locations have been identified within the 12,400 gross (5,600 net) acres that we believe are located in the core area of the Haynesville shale play. As we explore and develop our Northwest Louisiana acreage further, we believe it is possible that we may identify additional locations for future drilling. At December 31, 2019, these potential future drilling locations included 5 gross (0.5 net) locations in the Haynesville shale (and no locations in the Cotton Valley) to which we have assigned proved undeveloped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21"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Our midstream segment conducts midstream operations in support of our exploration, development and production operations and provides natural gas processing, oil transportation services, oil, natural gas and salt water gathering services and salt water disposal services to third parties.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Southeast New Mexico and West Texas </w:t>
      </w:r>
      <w:r>
        <w:rPr>
          <w:rFonts w:ascii="Arial" w:cs="Arial" w:eastAsia="Arial" w:hAnsi="Arial"/>
          <w:sz w:val="18"/>
          <w:szCs w:val="18"/>
          <w:color w:val="auto"/>
        </w:rPr>
        <w:t>—</w:t>
      </w:r>
      <w:r>
        <w:rPr>
          <w:rFonts w:ascii="Arial" w:cs="Arial" w:eastAsia="Arial" w:hAnsi="Arial"/>
          <w:sz w:val="18"/>
          <w:szCs w:val="18"/>
          <w:i w:val="1"/>
          <w:iCs w:val="1"/>
          <w:color w:val="auto"/>
        </w:rPr>
        <w:t xml:space="preserve"> Delaware Basin</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February 17, 2017, we announced the formation of San Mateo I, a strategic joint venture with a subsidiary of Five Point. The midstream assets that were contributed to San Mateo I included (i) the Black River Processing Plant;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salt water gathering systems and pipelines in both the Rustler Breaks and Wolf asset areas (collectively, the “Delaware Midstream Assets”). We received $171.5 million in connection with the formation of San Mateo I and had the potential to earn up to $73.5 million in performance incentives over a five-year period. At February 28, 2020, we had received $44.1 million of the potential $73.5 million in performance incentives. We may earn up to the remaining $29.4 million in San Mateo I performance incentives over the next two years. We continue to operate the Delaware Midstream Assets and retain operational control of San Mateo I. The Company and Five Point own 51% and 49% of San Mateo I, respectively. San Mateo I continues to provide firm service to us, while also being a midstream service provider to other customers in and around our Wolf and Rustler Breaks asset areas.</w:t>
      </w:r>
    </w:p>
    <w:p>
      <w:pPr>
        <w:spacing w:after="0" w:line="83" w:lineRule="exact"/>
        <w:rPr>
          <w:sz w:val="20"/>
          <w:szCs w:val="20"/>
          <w:color w:val="auto"/>
        </w:rPr>
      </w:pPr>
    </w:p>
    <w:p>
      <w:pPr>
        <w:ind w:right="160" w:firstLine="405"/>
        <w:spacing w:after="0" w:line="289" w:lineRule="auto"/>
        <w:rPr>
          <w:sz w:val="20"/>
          <w:szCs w:val="20"/>
          <w:color w:val="auto"/>
        </w:rPr>
      </w:pPr>
      <w:r>
        <w:rPr>
          <w:rFonts w:ascii="Arial" w:cs="Arial" w:eastAsia="Arial" w:hAnsi="Arial"/>
          <w:sz w:val="17"/>
          <w:szCs w:val="17"/>
          <w:color w:val="auto"/>
        </w:rPr>
        <w:t>On February 25, 2019, we announced the formation of San Mateo II, a strategic joint venture with a subsidiary of Five Point designed to expand our midstream operations in the Delaware Basin, specifically in Eddy County, New Mexico. San Mateo II is owned 51% by us and 49% by Five Point. In addition, Five Point has committed to pay $125.0 million of the first $150.0 million of capital expenditures incurred by San Mateo II to develop facilities in the Greater Stebbins Area and the Stateline asset area. We have the ability to earn up to $150.0 million in deferred performance incentives over the next several years</w:t>
      </w:r>
      <w:r>
        <w:rPr>
          <w:rFonts w:ascii="Arial" w:cs="Arial" w:eastAsia="Arial" w:hAnsi="Arial"/>
          <w:sz w:val="18"/>
          <w:szCs w:val="18"/>
          <w:color w:val="auto"/>
        </w:rPr>
        <w:t>,</w:t>
      </w:r>
      <w:r>
        <w:rPr>
          <w:rFonts w:ascii="Arial" w:cs="Arial" w:eastAsia="Arial" w:hAnsi="Arial"/>
          <w:sz w:val="17"/>
          <w:szCs w:val="17"/>
          <w:color w:val="auto"/>
        </w:rPr>
        <w:t xml:space="preserve"> plus additional performance incentives for securing volumes from third-party customers.</w:t>
      </w:r>
    </w:p>
    <w:p>
      <w:pPr>
        <w:spacing w:after="0" w:line="52"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connection with the formation of San Mateo II, we dedicated to San Mateo II acreage in the Greater Stebbins Area and the Stateline asset area pursuant to 15-year, fixed-fee agreements for oil, natural gas and salt water gathering, natural gas processing and salt water disposal. San Mateo II provides firm service to us in the Greater Stebbins Area and the Stateline asset area.</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Gathering and Processing Assets</w:t>
      </w:r>
    </w:p>
    <w:p>
      <w:pPr>
        <w:spacing w:after="0" w:line="11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46"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2019, as part of the San Mateo II expansion, San Mateo began expanding the Black River Processing Plant in our Rustler Breaks asset area in Eddy County, New Mexico to add an incremental designed inlet capacity of 200 MMcf of natural gas per day to the existing designed inlet capacity of 260 MMcf of natural gas per day, bringing the total designed inlet capacity to 460 MMcf of natural gas per day. This expansion is anticipated to be placed in service during the summer of 2020. In addition, San Mateo initiated plans in 2019 to construct large diameter natural gas gathering lines southward from the Greater Stebbins Area and northward from the Stateline asset area to connect these areas with the Black River Processing Plant. The expanded Black River Processing Plant supports our exploration and production development activities in the Delaware Basin and offers processing opportunities for other producers’ development efforts.</w:t>
      </w:r>
    </w:p>
    <w:p>
      <w:pPr>
        <w:spacing w:after="0" w:line="8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During 2019, San Mateo received an increased natural gas gathering and processing commitment from an existing natural gas customer, plus other interruptible volumes. At certain times near the end of the third quarter and early in the fourth quarter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2019, as a result of increased throughput from existing natural gas processing customers, San Mateo was operating the Black River Processing Plant at greater than 95% of the current designed inlet capacity of 260 MMcf per day.</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October 2018, a subsidiary of San Mateo entered into a long-term agreement with a significant producer in Eddy County, New Mexico relating to the gathering and processing of such producer’s natural gas production. As a result of this agreement, along with prior natural gas gathering and processing agreements entered into by San Mateo with its customers, including us, at December 31, 2019, San Mateo had entered into contracts to provide firm gathering and processing services for over 200 MMcf of natural gas per day, or over 80% of the designed inlet capacity of 260 MMcf of natural gas per day, at the Black River Processing Plant.</w:t>
      </w:r>
    </w:p>
    <w:p>
      <w:pPr>
        <w:spacing w:after="0" w:line="8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addition, in early 2018, San Mateo completed a natural gas liquids (“NGL”) pipeline connection at the Black River Processing Plant to the NGL pipeline owned by EPIC Y-Grade Pipeline LP. This NGL connection provides several significant benefits to us and other San Mateo customers compared to transporting the NGLs by truck. San Mateo’s customers receive (i) firm NGL takeaway out of the Delaware Basin, (ii) increased NGL recoveries, (iii) improved pricing realizations through lower transportation and fractionation costs and (iv) increased optionality through San Mateo’s ability to operate the Black River Processing Plant in ethane recovery mode, if desired.</w:t>
      </w:r>
    </w:p>
    <w:p>
      <w:pPr>
        <w:spacing w:after="0" w:line="8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our Wolf asset area in Loving County, Texas, San Mateo gathers our natural gas production with the natural gas gathering system we retained following the sale of our wholly-owned subsidiary that owned certain natural gas gathering and processing assets in the Wolf asset area (the “Loving County Processing System”) to an affiliate of EnLink Midstream Partners, LP (“EnLink”) in October 2015. The Loving County Processing System included a cryogenic natural gas processing plant (the “Wolf Processing Plant”) and approximately six miles of high-pressure gathering pipeline that connected our gathering system to the Wolf Processing Plant. Substantially all of our remaining midstream assets in the Wolf asset area were contributed to San Mateo I in February 2017.</w:t>
      </w:r>
    </w:p>
    <w:p>
      <w:pPr>
        <w:spacing w:after="0" w:line="8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At December 31, 2019, San Mateo’s natural gas gathering systems included natural gas gathering pipelines and related compression and treating systems. During the year ended December 31, 2019, San Mateo gathered approximately 77.2 Bcf of natural gas, as compared to 46.1 Bcf of natural gas gathered during the year ended December 31, 2018. In addition, during the year ended December 31, 2019, San Mateo processed approximately 64.7 Bcf of natural gas at the Black River Processing Plant, as compared to 32.3 Bcf of natural gas processed during the year ended December 31, 2018.</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Crude Oil Gathering and Transportation Assets</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Subsidiaries of San Mateo and Plains All American Pipeline, L.P. (“Plains”) have entered into a strategic relationship to gather and transport crude oil for upstream producers in Eddy County, New Mexico and have agreed to work together through a joint tariff arrangement and related transactions to offer producers located within the Joint Development Area crude oil transportation services from the wellhead to Midland, Texas with access to other end markets.</w:t>
      </w:r>
    </w:p>
    <w:p>
      <w:pPr>
        <w:spacing w:after="0" w:line="93"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San Mateo completed its expanded oil gathering system in the Wolf asset area in Loving County, Texas (the “Wolf Oil Pipeline System”) in May 2018 and placed into service its crude oil gathering and transportation system in the Rustler Breaks asset area in Eddy County, New Mexico (the “Rustler Breaks Oil Pipeline System”) in December 2018. With the Wolf Oil Pipeline System and the Rustler Breaks Oil Pipeline System (collectively, the “San Mateo Oil Pipeline Systems”) in service, at December 31, 2019, we estimated we had on pipe almost all of our oil production from the Wolf and Rustler Breaks asset areas, which comprised approximately 56% of our Delaware Basin oil production in 2019. With the San Mateo Oil Pipeline Systems in service, we improved our oil price realizations in the Wolf and Rustler Breaks asset areas through the elimination of higher priced trucking services.</w:t>
      </w:r>
    </w:p>
    <w:p>
      <w:pPr>
        <w:spacing w:after="0" w:line="5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December 31, 2019, the San Mateo Oil Pipeline Systems included crude oil gathering and transportation pipelines from origin points in Loving County, Texas and Eddy County, New Mexico to interconnects with Plains Pipeline, L.P. and two trucking facilities. During the year ended December 31, 2019, the San Mateo Oil Pipeline Systems had throughput of approximately 8.9 million Bbl of oil, as compared to 2.0 million Bbl of oil throughput during the year ended December 31, 2018.</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Produced Water Gathering and Disposal Assets</w:t>
      </w:r>
    </w:p>
    <w:p>
      <w:pPr>
        <w:spacing w:after="0" w:line="117"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During 2019, San Mateo placed into service two commercial salt water disposal wells in the Rustler Breaks asset area and, at February 25, 2020, expected to place into service one additional salt water disposal well in the Rustler Breaks asset area late in the first quarter of 2020, bringing San Mateo’s commercial salt water disposal well count in the Rustler Breaks asset area to eight. In the Greater Stebbins Area, San Mateo also acquired an existing commercial salt water disposal well and facility and surface acreage and subsequently placed into service an additional commercial salt water disposal well. In addition to its eight commercial salt water disposal wells and associated facilities in the Rustler Breaks asset area and its two commercial salt water disposal wells and associated facilities in the Greater Stebbins Area, at February 25, 2020, San Mateo had three commercial salt water disposal wells and associated facilities in the Wolf asset area, and San Mateo’s salt water gathering systems included salt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water gathering pipelines in the Rustler Breaks and Wolf asset areas and the Greater Stebbins Area. At February 25, 2020, San Mateo expected to have a designed disposal capacity of approximately 335,000 Bbl of salt water per day by the end of the first quarter of 2020.</w:t>
      </w:r>
    </w:p>
    <w:p>
      <w:pPr>
        <w:spacing w:after="0" w:line="6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June 2018, a subsidiary of San Mateo entered into a long-term agreement with a significant producer in Eddy County, New Mexico to gather and dispose of the customer’s produced salt water. The agreement includes the dedication of certain of the third party’s wells, which are or will be located near San Mateo’s existing salt water gathering system in Eddy County, New Mexico. In the first half of 2019, San Mateo obtained a significant additional acreage dedication and a salt water disposal well permit from another existing salt water disposal customer.</w:t>
      </w:r>
    </w:p>
    <w:p>
      <w:pPr>
        <w:spacing w:after="0" w:line="79"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During the year ended December 31, 2019, San Mateo gathered approximately 69.9 million Bbl of salt water, as compared to 44.0 million Bbl of salt water gathered during the year ended December 31, 2018. In addition, during the year ended December 31, 2019, San Mateo disposed of approximately 67.1 million Bbl of salt water, as compared to 47.5 million Bbl of salt water disposed of during the year ended December 31, 2018.</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South Texas / Northwest Louisiana</w:t>
      </w:r>
    </w:p>
    <w:p>
      <w:pPr>
        <w:spacing w:after="0" w:line="117"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In South Texas, we own a natural gas gathering system that gathers natural gas production from certain of our operated Eagle Ford leases. In Northwest Louisiana, we have midstream assets that gather and treat natural gas from most of our operated leases and from third parties and four non-commercial salt water disposal wells that dispose of our salt water. Our midstream assets in South Texas and Northwest Louisiana are not part of San Mateo.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Summary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certain unaudited production and operating data for the years ended December 31, 2019,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Unaudited Production Data:</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Net Production Volumes: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(MBbl)</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7,851</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Natural gas (Bcf)</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38.2</w:t>
            </w:r>
          </w:p>
        </w:tc>
      </w:tr>
      <w:tr>
        <w:trPr>
          <w:trHeight w:val="276"/>
        </w:trPr>
        <w:tc>
          <w:tcPr>
            <w:tcW w:w="778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oil equivalent (MBOE)</w:t>
            </w:r>
            <w:r>
              <w:rPr>
                <w:rFonts w:ascii="Arial" w:cs="Arial" w:eastAsia="Arial" w:hAnsi="Arial"/>
                <w:sz w:val="8"/>
                <w:szCs w:val="8"/>
                <w:color w:val="auto"/>
              </w:rPr>
              <w:t>(1)</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24,164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14,212</w:t>
            </w:r>
          </w:p>
        </w:tc>
      </w:tr>
      <w:tr>
        <w:trPr>
          <w:trHeight w:val="264"/>
        </w:trPr>
        <w:tc>
          <w:tcPr>
            <w:tcW w:w="7780" w:type="dxa"/>
            <w:vAlign w:val="bottom"/>
          </w:tcPr>
          <w:p>
            <w:pPr>
              <w:ind w:left="1040"/>
              <w:spacing w:after="0"/>
              <w:rPr>
                <w:sz w:val="20"/>
                <w:szCs w:val="20"/>
                <w:color w:val="auto"/>
              </w:rPr>
            </w:pPr>
            <w:r>
              <w:rPr>
                <w:rFonts w:ascii="Arial" w:cs="Arial" w:eastAsia="Arial" w:hAnsi="Arial"/>
                <w:sz w:val="14"/>
                <w:szCs w:val="14"/>
                <w:color w:val="auto"/>
              </w:rPr>
              <w:t>Average daily production (BOE/d)</w:t>
            </w:r>
            <w:r>
              <w:rPr>
                <w:rFonts w:ascii="Arial" w:cs="Arial" w:eastAsia="Arial" w:hAnsi="Arial"/>
                <w:sz w:val="8"/>
                <w:szCs w:val="8"/>
                <w:color w:val="auto"/>
              </w:rPr>
              <w:t>(1)</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66,203</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52,128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38,936</w:t>
            </w: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Sales Prices: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Oil, without realized derivatives (per Bbl)</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54.34</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57.04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49.28</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with realized derivatives (per Bbl)</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54.98</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48.81</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Natural gas, without realized derivatives (per Mcf)</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Natural gas, with realized derivatives (per Mcf)</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Operating Expenses (per BOE):</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Production taxes, transportation and processing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Lease operating</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4.74</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Plant and other midstream services operating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0.92</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Depletion, depreciation and amortization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12.49</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__________________</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75"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2019 from our operating areas, which we consider to be distinct fields for purposes of accounting for production.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200" w:type="dxa"/>
            <w:vAlign w:val="bottom"/>
          </w:tcPr>
          <w:p>
            <w:pPr>
              <w:spacing w:after="0"/>
              <w:rPr>
                <w:sz w:val="12"/>
                <w:szCs w:val="12"/>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South Texas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708"/>
              <w:spacing w:after="0"/>
              <w:rPr>
                <w:sz w:val="20"/>
                <w:szCs w:val="20"/>
                <w:color w:val="auto"/>
              </w:rPr>
            </w:pPr>
            <w:r>
              <w:rPr>
                <w:rFonts w:ascii="Arial" w:cs="Arial" w:eastAsia="Arial" w:hAnsi="Arial"/>
                <w:sz w:val="14"/>
                <w:szCs w:val="14"/>
                <w:b w:val="1"/>
                <w:bCs w:val="1"/>
                <w:color w:val="auto"/>
              </w:rPr>
              <w:t>Northwest Louisiana</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Texas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Delaware Basin</w:t>
            </w:r>
          </w:p>
        </w:tc>
        <w:tc>
          <w:tcPr>
            <w:tcW w:w="200" w:type="dxa"/>
            <w:vAlign w:val="bottom"/>
          </w:tcPr>
          <w:p>
            <w:pPr>
              <w:spacing w:after="0"/>
              <w:rPr>
                <w:sz w:val="22"/>
                <w:szCs w:val="2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Eagle Ford</w:t>
            </w:r>
            <w:r>
              <w:rPr>
                <w:rFonts w:ascii="Arial" w:cs="Arial" w:eastAsia="Arial" w:hAnsi="Arial"/>
                <w:sz w:val="8"/>
                <w:szCs w:val="8"/>
                <w:b w:val="1"/>
                <w:bCs w:val="1"/>
                <w:color w:val="auto"/>
                <w:w w:val="94"/>
              </w:rPr>
              <w:t>(1)</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Haynesville</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Cotton Valley</w:t>
            </w:r>
            <w:r>
              <w:rPr>
                <w:rFonts w:ascii="Arial" w:cs="Arial" w:eastAsia="Arial" w:hAnsi="Arial"/>
                <w:sz w:val="8"/>
                <w:szCs w:val="8"/>
                <w:b w:val="1"/>
                <w:bCs w:val="1"/>
                <w:color w:val="auto"/>
              </w:rPr>
              <w:t>(2)</w:t>
            </w:r>
          </w:p>
        </w:tc>
        <w:tc>
          <w:tcPr>
            <w:tcW w:w="32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Net Production Volumes</w:t>
            </w: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Oil (MBbl)</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12,843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13,984</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(Bcf)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Total oil equivalent (MBOE)</w:t>
            </w:r>
            <w:r>
              <w:rPr>
                <w:rFonts w:ascii="Arial" w:cs="Arial" w:eastAsia="Arial" w:hAnsi="Arial"/>
                <w:sz w:val="8"/>
                <w:szCs w:val="8"/>
                <w:color w:val="auto"/>
              </w:rPr>
              <w:t>(3)</w:t>
            </w:r>
          </w:p>
        </w:tc>
        <w:tc>
          <w:tcPr>
            <w:tcW w:w="12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20,294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1,463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24,164</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total annual net production</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Net Daily Production Volumes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(Bbl/d)</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38,312</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(MMcf/d)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(BOE/d)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55,599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66,203</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Sales Prices</w:t>
            </w:r>
            <w:r>
              <w:rPr>
                <w:rFonts w:ascii="Arial" w:cs="Arial" w:eastAsia="Arial" w:hAnsi="Arial"/>
                <w:sz w:val="8"/>
                <w:szCs w:val="8"/>
                <w:b w:val="1"/>
                <w:bCs w:val="1"/>
                <w:color w:val="auto"/>
              </w:rPr>
              <w:t>(4)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Natural gas (per Mcf)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Production Costs</w:t>
            </w:r>
            <w:r>
              <w:rPr>
                <w:rFonts w:ascii="Arial" w:cs="Arial" w:eastAsia="Arial" w:hAnsi="Arial"/>
                <w:sz w:val="8"/>
                <w:szCs w:val="8"/>
                <w:b w:val="1"/>
                <w:bCs w:val="1"/>
                <w:color w:val="auto"/>
              </w:rPr>
              <w:t>(5)</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transportation and processing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__________________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330"/>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0" w:hanging="330"/>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60" w:hanging="330"/>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2018 from our operating areas, which we consider to be distinct fields for purposes of accounting for production.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200" w:type="dxa"/>
            <w:vAlign w:val="bottom"/>
          </w:tcPr>
          <w:p>
            <w:pPr>
              <w:spacing w:after="0"/>
              <w:rPr>
                <w:sz w:val="12"/>
                <w:szCs w:val="12"/>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South Texas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708"/>
              <w:spacing w:after="0"/>
              <w:rPr>
                <w:sz w:val="20"/>
                <w:szCs w:val="20"/>
                <w:color w:val="auto"/>
              </w:rPr>
            </w:pPr>
            <w:r>
              <w:rPr>
                <w:rFonts w:ascii="Arial" w:cs="Arial" w:eastAsia="Arial" w:hAnsi="Arial"/>
                <w:sz w:val="14"/>
                <w:szCs w:val="14"/>
                <w:b w:val="1"/>
                <w:bCs w:val="1"/>
                <w:color w:val="auto"/>
              </w:rPr>
              <w:t>Northwest Louisiana</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Texas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Delaware Basin</w:t>
            </w:r>
          </w:p>
        </w:tc>
        <w:tc>
          <w:tcPr>
            <w:tcW w:w="200" w:type="dxa"/>
            <w:vAlign w:val="bottom"/>
          </w:tcPr>
          <w:p>
            <w:pPr>
              <w:spacing w:after="0"/>
              <w:rPr>
                <w:sz w:val="22"/>
                <w:szCs w:val="2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Eagle Ford</w:t>
            </w:r>
            <w:r>
              <w:rPr>
                <w:rFonts w:ascii="Arial" w:cs="Arial" w:eastAsia="Arial" w:hAnsi="Arial"/>
                <w:sz w:val="8"/>
                <w:szCs w:val="8"/>
                <w:b w:val="1"/>
                <w:bCs w:val="1"/>
                <w:color w:val="auto"/>
                <w:w w:val="94"/>
              </w:rPr>
              <w:t>(1)</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Haynesville</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Cotton Valley</w:t>
            </w:r>
            <w:r>
              <w:rPr>
                <w:rFonts w:ascii="Arial" w:cs="Arial" w:eastAsia="Arial" w:hAnsi="Arial"/>
                <w:sz w:val="8"/>
                <w:szCs w:val="8"/>
                <w:b w:val="1"/>
                <w:bCs w:val="1"/>
                <w:color w:val="auto"/>
              </w:rPr>
              <w:t>(2)</w:t>
            </w:r>
          </w:p>
        </w:tc>
        <w:tc>
          <w:tcPr>
            <w:tcW w:w="32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Net Production Volumes</w:t>
            </w: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Oil (MBbl)</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10,230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11,141</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(Bcf)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Total oil equivalent (MBOE)</w:t>
            </w:r>
            <w:r>
              <w:rPr>
                <w:rFonts w:ascii="Arial" w:cs="Arial" w:eastAsia="Arial" w:hAnsi="Arial"/>
                <w:sz w:val="8"/>
                <w:szCs w:val="8"/>
                <w:color w:val="auto"/>
              </w:rPr>
              <w:t>(3)</w:t>
            </w:r>
          </w:p>
        </w:tc>
        <w:tc>
          <w:tcPr>
            <w:tcW w:w="12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19,026</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total annual net production</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Net Daily Production Volumes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(Bbl/d)</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28,026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30,524</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(MMcf/d)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(BOE/d)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45,237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3,158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52,128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Sales Prices</w:t>
            </w:r>
            <w:r>
              <w:rPr>
                <w:rFonts w:ascii="Arial" w:cs="Arial" w:eastAsia="Arial" w:hAnsi="Arial"/>
                <w:sz w:val="8"/>
                <w:szCs w:val="8"/>
                <w:b w:val="1"/>
                <w:bCs w:val="1"/>
                <w:color w:val="auto"/>
              </w:rPr>
              <w:t>(4)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57.04</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Natural gas (per Mcf)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Production Costs</w:t>
            </w:r>
            <w:r>
              <w:rPr>
                <w:rFonts w:ascii="Arial" w:cs="Arial" w:eastAsia="Arial" w:hAnsi="Arial"/>
                <w:sz w:val="8"/>
                <w:szCs w:val="8"/>
                <w:b w:val="1"/>
                <w:bCs w:val="1"/>
                <w:color w:val="auto"/>
              </w:rPr>
              <w:t>(5)</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transportation and processing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330"/>
        <w:spacing w:after="0" w:line="273"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0" w:hanging="330"/>
        <w:spacing w:after="0" w:line="273"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60" w:hanging="33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2017 from our operating areas, which we consider to be distinct fields for purposes of accounting for production.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Southeast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New Mexico/West</w:t>
            </w:r>
          </w:p>
        </w:tc>
        <w:tc>
          <w:tcPr>
            <w:tcW w:w="200" w:type="dxa"/>
            <w:vAlign w:val="bottom"/>
          </w:tcPr>
          <w:p>
            <w:pPr>
              <w:spacing w:after="0"/>
              <w:rPr>
                <w:sz w:val="12"/>
                <w:szCs w:val="12"/>
                <w:color w:val="auto"/>
              </w:rPr>
            </w:pPr>
          </w:p>
        </w:tc>
        <w:tc>
          <w:tcPr>
            <w:tcW w:w="11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South Texas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gridSpan w:val="4"/>
            <w:vMerge w:val="restart"/>
          </w:tcPr>
          <w:p>
            <w:pPr>
              <w:jc w:val="right"/>
              <w:ind w:right="708"/>
              <w:spacing w:after="0"/>
              <w:rPr>
                <w:sz w:val="20"/>
                <w:szCs w:val="20"/>
                <w:color w:val="auto"/>
              </w:rPr>
            </w:pPr>
            <w:r>
              <w:rPr>
                <w:rFonts w:ascii="Arial" w:cs="Arial" w:eastAsia="Arial" w:hAnsi="Arial"/>
                <w:sz w:val="14"/>
                <w:szCs w:val="14"/>
                <w:b w:val="1"/>
                <w:bCs w:val="1"/>
                <w:color w:val="auto"/>
              </w:rPr>
              <w:t>Northwest Louisiana</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Texas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Delaware Basin</w:t>
            </w:r>
          </w:p>
        </w:tc>
        <w:tc>
          <w:tcPr>
            <w:tcW w:w="200" w:type="dxa"/>
            <w:vAlign w:val="bottom"/>
          </w:tcPr>
          <w:p>
            <w:pPr>
              <w:spacing w:after="0"/>
              <w:rPr>
                <w:sz w:val="22"/>
                <w:szCs w:val="22"/>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Eagle Ford</w:t>
            </w:r>
            <w:r>
              <w:rPr>
                <w:rFonts w:ascii="Arial" w:cs="Arial" w:eastAsia="Arial" w:hAnsi="Arial"/>
                <w:sz w:val="8"/>
                <w:szCs w:val="8"/>
                <w:b w:val="1"/>
                <w:bCs w:val="1"/>
                <w:color w:val="auto"/>
                <w:w w:val="94"/>
              </w:rPr>
              <w:t>(1)</w:t>
            </w:r>
          </w:p>
        </w:tc>
        <w:tc>
          <w:tcPr>
            <w:tcW w:w="22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Haynesville</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Cotton Valley</w:t>
            </w:r>
            <w:r>
              <w:rPr>
                <w:rFonts w:ascii="Arial" w:cs="Arial" w:eastAsia="Arial" w:hAnsi="Arial"/>
                <w:sz w:val="8"/>
                <w:szCs w:val="8"/>
                <w:b w:val="1"/>
                <w:bCs w:val="1"/>
                <w:color w:val="auto"/>
              </w:rPr>
              <w:t>(2)</w:t>
            </w:r>
          </w:p>
        </w:tc>
        <w:tc>
          <w:tcPr>
            <w:tcW w:w="320" w:type="dxa"/>
            <w:vAlign w:val="bottom"/>
          </w:tcPr>
          <w:p>
            <w:pPr>
              <w:spacing w:after="0"/>
              <w:rPr>
                <w:sz w:val="22"/>
                <w:szCs w:val="22"/>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Net Production Volumes</w:t>
            </w:r>
          </w:p>
        </w:tc>
        <w:tc>
          <w:tcPr>
            <w:tcW w:w="1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Oil (MBbl)</w:t>
            </w:r>
          </w:p>
        </w:tc>
        <w:tc>
          <w:tcPr>
            <w:tcW w:w="12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6,579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7,851</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(Bcf)</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50"/>
        </w:trPr>
        <w:tc>
          <w:tcPr>
            <w:tcW w:w="4040" w:type="dxa"/>
            <w:vAlign w:val="bottom"/>
          </w:tcPr>
          <w:p>
            <w:pPr>
              <w:ind w:left="40"/>
              <w:spacing w:after="0"/>
              <w:rPr>
                <w:sz w:val="20"/>
                <w:szCs w:val="20"/>
                <w:color w:val="auto"/>
              </w:rPr>
            </w:pPr>
            <w:r>
              <w:rPr>
                <w:rFonts w:ascii="Arial" w:cs="Arial" w:eastAsia="Arial" w:hAnsi="Arial"/>
                <w:sz w:val="14"/>
                <w:szCs w:val="14"/>
                <w:color w:val="auto"/>
              </w:rPr>
              <w:t>Total oil equivalent (MBOE)</w:t>
            </w:r>
            <w:r>
              <w:rPr>
                <w:rFonts w:ascii="Arial" w:cs="Arial" w:eastAsia="Arial" w:hAnsi="Arial"/>
                <w:sz w:val="8"/>
                <w:szCs w:val="8"/>
                <w:color w:val="auto"/>
              </w:rPr>
              <w:t>(3)</w:t>
            </w:r>
          </w:p>
        </w:tc>
        <w:tc>
          <w:tcPr>
            <w:tcW w:w="12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10,754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1,611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14,212</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Percentage of total annual net production</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Net Daily Production Volumes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(Bbl/d)</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21,510</w:t>
            </w: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Natural gas (MMcf/d)</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(BOE/d)</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38,936</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Average Sales Prices</w:t>
            </w:r>
            <w:r>
              <w:rPr>
                <w:rFonts w:ascii="Arial" w:cs="Arial" w:eastAsia="Arial" w:hAnsi="Arial"/>
                <w:sz w:val="8"/>
                <w:szCs w:val="8"/>
                <w:b w:val="1"/>
                <w:bCs w:val="1"/>
                <w:color w:val="auto"/>
              </w:rPr>
              <w:t>(4)</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color w:val="auto"/>
              </w:rPr>
              <w:t>Natural gas (per Mcf)</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equivalent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64"/>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Production Costs</w:t>
            </w:r>
            <w:r>
              <w:rPr>
                <w:rFonts w:ascii="Arial" w:cs="Arial" w:eastAsia="Arial" w:hAnsi="Arial"/>
                <w:sz w:val="8"/>
                <w:szCs w:val="8"/>
                <w:b w:val="1"/>
                <w:bCs w:val="1"/>
                <w:color w:val="auto"/>
              </w:rPr>
              <w:t>(5)</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transportation and processing (per BOE)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80" w:hanging="330"/>
        <w:spacing w:after="0" w:line="273"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one well producing small volumes of oil from the Austin Chalk formation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9" w:lineRule="exact"/>
        <w:rPr>
          <w:rFonts w:ascii="Arial" w:cs="Arial" w:eastAsia="Arial" w:hAnsi="Arial"/>
          <w:sz w:val="14"/>
          <w:szCs w:val="14"/>
          <w:color w:val="auto"/>
        </w:rPr>
      </w:pPr>
    </w:p>
    <w:p>
      <w:pPr>
        <w:ind w:left="460" w:right="200" w:hanging="330"/>
        <w:spacing w:after="0" w:line="273"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9" w:lineRule="exact"/>
        <w:rPr>
          <w:rFonts w:ascii="Arial" w:cs="Arial" w:eastAsia="Arial" w:hAnsi="Arial"/>
          <w:sz w:val="14"/>
          <w:szCs w:val="14"/>
          <w:color w:val="auto"/>
        </w:rPr>
      </w:pPr>
    </w:p>
    <w:p>
      <w:pPr>
        <w:ind w:left="460" w:hanging="330"/>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11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Our total oil equivalent production of approximately 24.2 million BOE for the year ended December 31, 2019 increased 27% from our total oil equivalent production of approximately 19.0 million BOE for the year ended December 31, 2018. This increased production was primarily due to our delineation and development operations in the Delaware Basin throughout 2019 as well as from our nine-well program in South Texas concluded in the first half of 2019 and non-operated Haynesville shale wells completed and placed on production during the third quarter of 2019. Our average daily oil equivalent production for the year ended December 31, 2019 was 66,203 BOE per day, as compared to 52,128 BOE per day for the year ended December 31, 2018. Our average daily oil production for the year ended December 31, 2019 was 38,312 Bbl of oil per day, an increase of 26% from 30,524 Bbl of oil per day for the year ended December 31, 2018. Our average daily natural gas production for the year ended December 31, 2019 was 167.4 MMcf of natural gas per day, an increase of 29% from 129.6 MMcf of natural gas per day for the year ended December 31, 2018.</w:t>
      </w:r>
    </w:p>
    <w:p>
      <w:pPr>
        <w:spacing w:after="0" w:line="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total oil equivalent production of approximately 19.0 million BOE for the year ended December 31, 2018 increased 34% from our total oil equivalent production of approximately 14.2 million BOE for the year ended December 31, 2017. This increased production was primarily due to our delineation and development operations in the Delaware Basin, which offset declining production in the Eagle Ford and Haynesville shales. Our average daily oil equivalent production for the year ended December 31, 2018 was 52,128 BOE per day, as compared to 38,936 BOE per day for the year ended December 31, 2017. Our average daily oil production for the year ended December 31, 2018 was 30,524 Bbl of oil per day, an increase of 42% from 21,510 Bbl of oil per day for the year ended December 31, 2017. Our average daily natural gas production for the year ended December 31, 2018 was 129.6 MMcf of natural gas per day, an increase of 24% from 104.6 MMcf of natural gas per day for the year ended December 31, 2017.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Producing Wells</w:t>
      </w:r>
    </w:p>
    <w:p>
      <w:pPr>
        <w:spacing w:after="0" w:line="12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following table sets forth information relating to producing wells at December 31, 2019. Wells are classified as oil wells or natural gas wells according to their predominant production stream. We had an approximate average working interest of 78% in all wells that we operated at December 31, 2019. For wells where we are not the operator, our working interests range from less than 1% to approximately 52% and average approximately 10%. In the table below, gross wells are the total number of producing wells in which we own a working interest and net wells represent the total of our fractional working interests owned in the gross wells.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Oil Wells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Natural Gas Wells</w:t>
            </w: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Total Wells</w:t>
            </w: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Gross</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Gross</w:t>
            </w: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70"/>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Delaware Basin</w:t>
            </w:r>
            <w:r>
              <w:rPr>
                <w:rFonts w:ascii="Arial" w:cs="Arial" w:eastAsia="Arial" w:hAnsi="Arial"/>
                <w:sz w:val="8"/>
                <w:szCs w:val="8"/>
                <w:color w:val="auto"/>
              </w:rPr>
              <w:t>(1)</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298.6</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Eagle Ford</w:t>
            </w:r>
            <w:r>
              <w:rPr>
                <w:rFonts w:ascii="Arial" w:cs="Arial" w:eastAsia="Arial" w:hAnsi="Arial"/>
                <w:sz w:val="8"/>
                <w:szCs w:val="8"/>
                <w:color w:val="auto"/>
              </w:rPr>
              <w:t>(2)</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117.4</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Haynesville</w:t>
            </w:r>
          </w:p>
        </w:tc>
        <w:tc>
          <w:tcPr>
            <w:tcW w:w="106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Cotton Valley</w:t>
            </w:r>
            <w:r>
              <w:rPr>
                <w:rFonts w:ascii="Arial" w:cs="Arial" w:eastAsia="Arial" w:hAnsi="Arial"/>
                <w:sz w:val="8"/>
                <w:szCs w:val="8"/>
                <w:color w:val="auto"/>
              </w:rPr>
              <w:t>(3)</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Area Total</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Total</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417.0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218 gross (56.5 net) vertical wells that were acquired in multiple transactions.</w:t>
      </w:r>
    </w:p>
    <w:p>
      <w:pPr>
        <w:spacing w:after="0" w:line="109" w:lineRule="exact"/>
        <w:rPr>
          <w:rFonts w:ascii="Arial" w:cs="Arial" w:eastAsia="Arial" w:hAnsi="Arial"/>
          <w:sz w:val="14"/>
          <w:szCs w:val="14"/>
          <w:color w:val="auto"/>
        </w:rPr>
      </w:pPr>
    </w:p>
    <w:p>
      <w:pPr>
        <w:ind w:left="460" w:right="80" w:hanging="330"/>
        <w:spacing w:after="0" w:line="273"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Proved Reserves</w:t>
      </w:r>
    </w:p>
    <w:p>
      <w:pPr>
        <w:spacing w:after="0" w:line="12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following table sets forth our estimated proved oil and natural gas reserves at December 31, 2019, 2018 and 2017.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the estimated quantities of crude oil and natural gas that geological and engineering data demonstrate with reasonable certainty to be recoverable in future years from known reservoirs under existing economic and operating conditions.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At December 31,</w:t>
            </w:r>
            <w:r>
              <w:rPr>
                <w:rFonts w:ascii="Arial" w:cs="Arial" w:eastAsia="Arial" w:hAnsi="Arial"/>
                <w:sz w:val="8"/>
                <w:szCs w:val="8"/>
                <w:b w:val="1"/>
                <w:bCs w:val="1"/>
                <w:color w:val="auto"/>
                <w:w w:val="95"/>
              </w:rPr>
              <w:t>(1)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Estimated Proved Reserves Data:</w:t>
            </w:r>
            <w:r>
              <w:rPr>
                <w:rFonts w:ascii="Arial" w:cs="Arial" w:eastAsia="Arial" w:hAnsi="Arial"/>
                <w:sz w:val="8"/>
                <w:szCs w:val="8"/>
                <w:b w:val="1"/>
                <w:bCs w:val="1"/>
                <w:color w:val="auto"/>
              </w:rPr>
              <w:t>(2)</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400" w:type="dxa"/>
            <w:vAlign w:val="bottom"/>
          </w:tcPr>
          <w:p>
            <w:pPr>
              <w:ind w:left="40"/>
              <w:spacing w:after="0"/>
              <w:rPr>
                <w:sz w:val="20"/>
                <w:szCs w:val="20"/>
                <w:color w:val="auto"/>
              </w:rPr>
            </w:pPr>
            <w:r>
              <w:rPr>
                <w:rFonts w:ascii="Arial" w:cs="Arial" w:eastAsia="Arial" w:hAnsi="Arial"/>
                <w:sz w:val="14"/>
                <w:szCs w:val="14"/>
                <w:color w:val="auto"/>
              </w:rPr>
              <w:t>Estimated proved reserves: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(MBbl)</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147,991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123,401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86,743</w:t>
            </w: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Natural Gas (Bcf)</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627.2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396.2</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Total (MBOE)</w:t>
            </w:r>
            <w:r>
              <w:rPr>
                <w:rFonts w:ascii="Arial" w:cs="Arial" w:eastAsia="Arial" w:hAnsi="Arial"/>
                <w:sz w:val="8"/>
                <w:szCs w:val="8"/>
                <w:color w:val="auto"/>
              </w:rPr>
              <w:t>(3)</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252,531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215,313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152,771</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40"/>
              <w:spacing w:after="0"/>
              <w:rPr>
                <w:sz w:val="20"/>
                <w:szCs w:val="20"/>
                <w:color w:val="auto"/>
              </w:rPr>
            </w:pPr>
            <w:r>
              <w:rPr>
                <w:rFonts w:ascii="Arial" w:cs="Arial" w:eastAsia="Arial" w:hAnsi="Arial"/>
                <w:sz w:val="14"/>
                <w:szCs w:val="14"/>
                <w:color w:val="auto"/>
              </w:rPr>
              <w:t>Estimated proved developed reserves: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Oil (MBbl)</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59,667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53,223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36,966</w:t>
            </w: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Natural Gas (Bcf)</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276.3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Total (MBOE)</w:t>
            </w:r>
            <w:r>
              <w:rPr>
                <w:rFonts w:ascii="Arial" w:cs="Arial" w:eastAsia="Arial" w:hAnsi="Arial"/>
                <w:sz w:val="8"/>
                <w:szCs w:val="8"/>
                <w:color w:val="auto"/>
              </w:rPr>
              <w:t>(3)</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94,261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68,651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0" w:type="dxa"/>
            <w:vAlign w:val="bottom"/>
          </w:tcPr>
          <w:p>
            <w:pPr>
              <w:ind w:left="1140"/>
              <w:spacing w:after="0"/>
              <w:rPr>
                <w:sz w:val="20"/>
                <w:szCs w:val="20"/>
                <w:color w:val="auto"/>
              </w:rPr>
            </w:pPr>
            <w:r>
              <w:rPr>
                <w:rFonts w:ascii="Arial" w:cs="Arial" w:eastAsia="Arial" w:hAnsi="Arial"/>
                <w:sz w:val="14"/>
                <w:szCs w:val="14"/>
                <w:color w:val="auto"/>
              </w:rPr>
              <w:t>Percent developed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76"/>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proved undeveloped reserves: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00" w:type="dxa"/>
            <w:vAlign w:val="bottom"/>
          </w:tcPr>
          <w:p>
            <w:pPr>
              <w:ind w:left="600"/>
              <w:spacing w:after="0"/>
              <w:rPr>
                <w:sz w:val="20"/>
                <w:szCs w:val="20"/>
                <w:color w:val="auto"/>
              </w:rPr>
            </w:pPr>
            <w:r>
              <w:rPr>
                <w:rFonts w:ascii="Arial" w:cs="Arial" w:eastAsia="Arial" w:hAnsi="Arial"/>
                <w:sz w:val="14"/>
                <w:szCs w:val="14"/>
                <w:color w:val="auto"/>
              </w:rPr>
              <w:t>Oil (MBbl)</w:t>
            </w: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88,324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70,178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49,777</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Natural gas (Bcf)</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305.2</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83"/>
        </w:trPr>
        <w:tc>
          <w:tcPr>
            <w:tcW w:w="84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Total (MBOE)</w:t>
            </w:r>
            <w:r>
              <w:rPr>
                <w:rFonts w:ascii="Arial" w:cs="Arial" w:eastAsia="Arial" w:hAnsi="Arial"/>
                <w:sz w:val="8"/>
                <w:szCs w:val="8"/>
                <w:color w:val="auto"/>
              </w:rPr>
              <w:t>(3)</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146,821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121,052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84,120</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Standardized Measure</w:t>
            </w:r>
            <w:r>
              <w:rPr>
                <w:rFonts w:ascii="Arial" w:cs="Arial" w:eastAsia="Arial" w:hAnsi="Arial"/>
                <w:sz w:val="8"/>
                <w:szCs w:val="8"/>
                <w:color w:val="auto"/>
              </w:rPr>
              <w:t>(4)</w:t>
            </w:r>
            <w:r>
              <w:rPr>
                <w:rFonts w:ascii="Arial" w:cs="Arial" w:eastAsia="Arial" w:hAnsi="Arial"/>
                <w:sz w:val="14"/>
                <w:szCs w:val="14"/>
                <w:color w:val="auto"/>
              </w:rPr>
              <w:t xml:space="preserve"> (in millions)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2,034.0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1,258.6</w:t>
            </w:r>
          </w:p>
        </w:tc>
        <w:tc>
          <w:tcPr>
            <w:tcW w:w="0" w:type="dxa"/>
            <w:vAlign w:val="bottom"/>
          </w:tcPr>
          <w:p>
            <w:pPr>
              <w:spacing w:after="0"/>
              <w:rPr>
                <w:sz w:val="1"/>
                <w:szCs w:val="1"/>
                <w:color w:val="auto"/>
              </w:rPr>
            </w:pPr>
          </w:p>
        </w:tc>
      </w:tr>
      <w:tr>
        <w:trPr>
          <w:trHeight w:val="256"/>
        </w:trPr>
        <w:tc>
          <w:tcPr>
            <w:tcW w:w="8400" w:type="dxa"/>
            <w:vAlign w:val="bottom"/>
          </w:tcPr>
          <w:p>
            <w:pPr>
              <w:ind w:left="40"/>
              <w:spacing w:after="0"/>
              <w:rPr>
                <w:sz w:val="20"/>
                <w:szCs w:val="20"/>
                <w:color w:val="auto"/>
              </w:rPr>
            </w:pPr>
            <w:r>
              <w:rPr>
                <w:rFonts w:ascii="Arial" w:cs="Arial" w:eastAsia="Arial" w:hAnsi="Arial"/>
                <w:sz w:val="14"/>
                <w:szCs w:val="14"/>
                <w:color w:val="auto"/>
              </w:rPr>
              <w:t>PV-10</w:t>
            </w:r>
            <w:r>
              <w:rPr>
                <w:rFonts w:ascii="Arial" w:cs="Arial" w:eastAsia="Arial" w:hAnsi="Arial"/>
                <w:sz w:val="8"/>
                <w:szCs w:val="8"/>
                <w:color w:val="auto"/>
              </w:rPr>
              <w:t>(5)</w:t>
            </w:r>
            <w:r>
              <w:rPr>
                <w:rFonts w:ascii="Arial" w:cs="Arial" w:eastAsia="Arial" w:hAnsi="Arial"/>
                <w:sz w:val="14"/>
                <w:szCs w:val="14"/>
                <w:color w:val="auto"/>
              </w:rPr>
              <w:t xml:space="preserve"> (in millions)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2,248.2</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2,579.3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1,333.4</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__________________</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9" w:lineRule="exact"/>
        <w:rPr>
          <w:rFonts w:ascii="Arial" w:cs="Arial" w:eastAsia="Arial" w:hAnsi="Arial"/>
          <w:sz w:val="14"/>
          <w:szCs w:val="14"/>
          <w:color w:val="auto"/>
        </w:rPr>
      </w:pPr>
    </w:p>
    <w:p>
      <w:pPr>
        <w:ind w:left="460" w:right="140" w:hanging="330"/>
        <w:spacing w:after="0" w:line="270" w:lineRule="auto"/>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 the first-day-of-the-month prices for the 12 months ended December 31, 2019 were $52.19 per Bbl for oil and $2.58 per MMBtu for natural gas, for the 12 months ended December 31, 2018 were $62.04 per Bbl for oil and $3.10 per MMBtu for natural gas and for the 12 months ended December 31, 2017 were $47.79 per Bbl for oil and $2.98 per MMBtu for natural gas. These prices were adjusted by lease for quality, energy content, regional price differentials, transportation fees, marketing deductions and other factors affecting the price received at the wellhead. We report our proved reserves in two streams, oil and natural gas, and the economic value of the NGLs associated with the natural gas is included in the estimated wellhead natural gas price on those properties where the NGLs are extracted and sold.</w:t>
      </w:r>
    </w:p>
    <w:p>
      <w:pPr>
        <w:spacing w:after="0" w:line="71" w:lineRule="exact"/>
        <w:rPr>
          <w:rFonts w:ascii="Arial" w:cs="Arial" w:eastAsia="Arial" w:hAnsi="Arial"/>
          <w:sz w:val="13"/>
          <w:szCs w:val="13"/>
          <w:color w:val="auto"/>
        </w:rPr>
      </w:pPr>
    </w:p>
    <w:p>
      <w:pPr>
        <w:ind w:left="460" w:hanging="330"/>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9" w:lineRule="exact"/>
        <w:rPr>
          <w:rFonts w:ascii="Arial" w:cs="Arial" w:eastAsia="Arial" w:hAnsi="Arial"/>
          <w:sz w:val="14"/>
          <w:szCs w:val="14"/>
          <w:color w:val="auto"/>
        </w:rPr>
      </w:pPr>
    </w:p>
    <w:p>
      <w:pPr>
        <w:ind w:left="460" w:right="120" w:hanging="330"/>
        <w:spacing w:after="0" w:line="312" w:lineRule="auto"/>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43" w:lineRule="exact"/>
        <w:rPr>
          <w:rFonts w:ascii="Arial" w:cs="Arial" w:eastAsia="Arial" w:hAnsi="Arial"/>
          <w:sz w:val="13"/>
          <w:szCs w:val="13"/>
          <w:color w:val="auto"/>
        </w:rPr>
      </w:pPr>
    </w:p>
    <w:p>
      <w:pPr>
        <w:ind w:left="460" w:right="20" w:hanging="330"/>
        <w:spacing w:after="0" w:line="247"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2019, 2018 and 2017 may be reconciled to our Standardized Measure of discounted future net cash flows at such dates by adding the discounted future income taxes associated with such reserves to the Standardized Measure. The discounted future income taxes at December 31, 2019, 2018 and 2017 were, in millions, $214.2, $328.7 and $74.8, respectively.</w:t>
      </w:r>
    </w:p>
    <w:p>
      <w:pPr>
        <w:spacing w:after="0" w:line="91"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Our estimated total proved oil and natural gas reserves increased 17% from 215.3 million BOE at December 31, 2018 to 252.5 million BOE at December 31, 2019. We added 58.6 million BOE in proved oil and natural gas reserves through extensions and discoveries throughout 2019, approximately</w:t>
      </w:r>
    </w:p>
    <w:p>
      <w:pPr>
        <w:spacing w:after="0" w:line="252" w:lineRule="auto"/>
        <w:rPr>
          <w:sz w:val="20"/>
          <w:szCs w:val="20"/>
          <w:color w:val="auto"/>
        </w:rPr>
      </w:pPr>
      <w:r>
        <w:rPr>
          <w:rFonts w:ascii="Arial" w:cs="Arial" w:eastAsia="Arial" w:hAnsi="Arial"/>
          <w:sz w:val="18"/>
          <w:szCs w:val="18"/>
          <w:color w:val="auto"/>
        </w:rPr>
        <w:t>2.4 times our 2019 annual production of 24.2 million BOE. Our proved oil reserves grew 20% from approximately 123.4 million Bbl at December 31, 2018 to approximately 148.0 million Bbl at December 31, 2019. Our proved natural gas reserves increased 14% from 551.5 Bcf at December 31, 2018 to 627.2 Bcf at December 31, 2019. This increase in proved oil and natural gas reserves was primarily a result of our delineation and development operations in the Delaware Basin during 2019. We realized approximately 5.1 million BOE in net upward revisions to our proved reserves during 2019 primarily as a result of upward technical revisions resulting from better-than-projected well performance from certain wells, as compared to December 31, 2018, and despite lower commodity prices used to estimate proved reserves at December 31, 2019. Our proved reserves to production ratio at December 31, 2019 was 10.5, a decrease of 7% from 11.3 at December 31, 2018.</w:t>
      </w:r>
    </w:p>
    <w:p>
      <w:pPr>
        <w:spacing w:after="0" w:line="85"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Over the past two years, our estimated total proved oil and natural gas reserves increased 65% from 152.8 million BOE at December 31, 2017 to 252.5 million Bbl at December 31, 2019. Our proved oil reserves grew 71% from 86.7 million Bbl at December 31, 2017 to 148.0 million Bbl at December 31, 2019. Our proved developed oil reserves increased 61% from 37.0 million Bbl at December 31, 2017 to 59.7 million Bbl at December 31, 2019.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Standardized Measure of our total proved oil and natural gas reserves decreased 10% from $2.25 billion at December 31, 2018 to $2.03 billion at December 31, 2019. The PV-10 of our total proved oil and natural gas reserves decreased 13% from $2.58 billion at December 31, 2018 to $2.25 billion at December 31, 2019. The decreases in our Standardized Measure and PV-10 are primarily a result of lower weighted average oil and natural gas prices used to estimate proved reserves at December 31, 2019, as compared to December 31, 2018. The unweighted arithmetic averages of first-day-of-the-month oil and natural gas prices used to estimate proved reserves at December 31, 2019 were $52.19 per Bbl and $2.58 per MMBtu, a decrease of 16% and 17%, respectively, as compared to average oil and natural gas prices of $62.04 per Bbl and $3.10 per MMBtu used to estimate proved reserves at December 31, 2018. Our total proved reserves were made up of 59% oil and 41% natural gas at December 31, 2019, as compared to 57% oil and 43% natural gas at December 31, 2018. PV-10 is a non-GAAP financial measure. For a reconciliation of PV-10 to Standardized Measure, see the preceding table.</w:t>
      </w:r>
    </w:p>
    <w:p>
      <w:pPr>
        <w:spacing w:after="0" w:line="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proved developed oil and natural gas reserves increased 12% from 94.3 million BOE at December 31, 2018 to 105.7 million BOE at December 31, 2019 due primarily to our delineation and development operations in the Delaware Basin. Our proved developed oil reserves increased 12% from 53.2 million Bbl at December 31, 2018 to 59.7 million Bbl at December 31, 2019. Our proved developed natural gas reserves increased 12% from 246.2 Bcf at December 31, 2018 to 276.3 Bcf at December 31, 2019.</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in our estimated proved developed reserves at December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Proved</w:t>
            </w:r>
          </w:p>
        </w:tc>
        <w:tc>
          <w:tcPr>
            <w:tcW w:w="0" w:type="dxa"/>
            <w:vAlign w:val="bottom"/>
          </w:tcPr>
          <w:p>
            <w:pPr>
              <w:spacing w:after="0"/>
              <w:rPr>
                <w:sz w:val="1"/>
                <w:szCs w:val="1"/>
                <w:color w:val="auto"/>
              </w:rPr>
            </w:pPr>
          </w:p>
        </w:tc>
      </w:tr>
      <w:tr>
        <w:trPr>
          <w:trHeight w:val="149"/>
        </w:trPr>
        <w:tc>
          <w:tcPr>
            <w:tcW w:w="10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Developed</w:t>
            </w:r>
          </w:p>
        </w:tc>
        <w:tc>
          <w:tcPr>
            <w:tcW w:w="0" w:type="dxa"/>
            <w:vAlign w:val="bottom"/>
          </w:tcPr>
          <w:p>
            <w:pPr>
              <w:spacing w:after="0"/>
              <w:rPr>
                <w:sz w:val="1"/>
                <w:szCs w:val="1"/>
                <w:color w:val="auto"/>
              </w:rPr>
            </w:pPr>
          </w:p>
        </w:tc>
      </w:tr>
      <w:tr>
        <w:trPr>
          <w:trHeight w:val="192"/>
        </w:trPr>
        <w:tc>
          <w:tcPr>
            <w:tcW w:w="102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0" w:type="dxa"/>
            <w:vAlign w:val="bottom"/>
          </w:tcPr>
          <w:p>
            <w:pPr>
              <w:spacing w:after="0"/>
              <w:rPr>
                <w:sz w:val="1"/>
                <w:szCs w:val="1"/>
                <w:color w:val="auto"/>
              </w:rPr>
            </w:pPr>
          </w:p>
        </w:tc>
      </w:tr>
      <w:tr>
        <w:trPr>
          <w:trHeight w:val="250"/>
        </w:trPr>
        <w:tc>
          <w:tcPr>
            <w:tcW w:w="102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94,261</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Extensions and discoveries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14,206</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divestitures of minerals-in-place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Revisions of prior estimates</w:t>
            </w:r>
          </w:p>
        </w:tc>
        <w:tc>
          <w:tcPr>
            <w:tcW w:w="1120" w:type="dxa"/>
            <w:vAlign w:val="bottom"/>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Production</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(24,164)</w:t>
            </w:r>
          </w:p>
        </w:tc>
        <w:tc>
          <w:tcPr>
            <w:tcW w:w="0" w:type="dxa"/>
            <w:vAlign w:val="bottom"/>
          </w:tcPr>
          <w:p>
            <w:pPr>
              <w:spacing w:after="0"/>
              <w:rPr>
                <w:sz w:val="1"/>
                <w:szCs w:val="1"/>
                <w:color w:val="auto"/>
              </w:rPr>
            </w:pPr>
          </w:p>
        </w:tc>
      </w:tr>
      <w:tr>
        <w:trPr>
          <w:trHeight w:val="264"/>
        </w:trPr>
        <w:tc>
          <w:tcPr>
            <w:tcW w:w="10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Conversion of proved undeveloped to proved developed</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23,629</w:t>
            </w:r>
          </w:p>
        </w:tc>
        <w:tc>
          <w:tcPr>
            <w:tcW w:w="0" w:type="dxa"/>
            <w:vAlign w:val="bottom"/>
          </w:tcPr>
          <w:p>
            <w:pPr>
              <w:spacing w:after="0"/>
              <w:rPr>
                <w:sz w:val="1"/>
                <w:szCs w:val="1"/>
                <w:color w:val="auto"/>
              </w:rPr>
            </w:pPr>
          </w:p>
        </w:tc>
      </w:tr>
      <w:tr>
        <w:trPr>
          <w:trHeight w:val="243"/>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105,710</w:t>
            </w: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2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60" w:hanging="330"/>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1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proved undeveloped oil and natural gas reserves increased 21% from 121.1 million BOE at December 31, 2018 to 146.8 million BOE at December 31, 2019. Our proved undeveloped oil and natural gas reserves increased from 70.2 million Bbl and 305.2 Bcf, respectively, at December 31, 2018 to 88.3 million Bbl and 351.0 Bcf, respectively, at December 31, 2019, primarily as a result of our delineation and development operations in the Delaware Basin.</w:t>
      </w:r>
    </w:p>
    <w:p>
      <w:pPr>
        <w:spacing w:after="0" w:line="7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At December 31, 2019, we had no proved undeveloped reserves in our estimates that remained undeveloped for five years or more following their initial booking, and we currently have plans to use anticipated capital resources to develop the proved undeveloped reserves remaining as of December 31, 2019 within five years of booking these reserves.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in our estimated proved undeveloped reserves at December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Proved</w:t>
            </w:r>
          </w:p>
        </w:tc>
        <w:tc>
          <w:tcPr>
            <w:tcW w:w="0" w:type="dxa"/>
            <w:vAlign w:val="bottom"/>
          </w:tcPr>
          <w:p>
            <w:pPr>
              <w:spacing w:after="0"/>
              <w:rPr>
                <w:sz w:val="1"/>
                <w:szCs w:val="1"/>
                <w:color w:val="auto"/>
              </w:rPr>
            </w:pPr>
          </w:p>
        </w:tc>
      </w:tr>
      <w:tr>
        <w:trPr>
          <w:trHeight w:val="149"/>
        </w:trPr>
        <w:tc>
          <w:tcPr>
            <w:tcW w:w="10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Undeveloped</w:t>
            </w:r>
          </w:p>
        </w:tc>
        <w:tc>
          <w:tcPr>
            <w:tcW w:w="0" w:type="dxa"/>
            <w:vAlign w:val="bottom"/>
          </w:tcPr>
          <w:p>
            <w:pPr>
              <w:spacing w:after="0"/>
              <w:rPr>
                <w:sz w:val="1"/>
                <w:szCs w:val="1"/>
                <w:color w:val="auto"/>
              </w:rPr>
            </w:pPr>
          </w:p>
        </w:tc>
      </w:tr>
      <w:tr>
        <w:trPr>
          <w:trHeight w:val="192"/>
        </w:trPr>
        <w:tc>
          <w:tcPr>
            <w:tcW w:w="102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Reserves</w:t>
            </w:r>
          </w:p>
        </w:tc>
        <w:tc>
          <w:tcPr>
            <w:tcW w:w="0" w:type="dxa"/>
            <w:vAlign w:val="bottom"/>
          </w:tcPr>
          <w:p>
            <w:pPr>
              <w:spacing w:after="0"/>
              <w:rPr>
                <w:sz w:val="1"/>
                <w:szCs w:val="1"/>
                <w:color w:val="auto"/>
              </w:rPr>
            </w:pPr>
          </w:p>
        </w:tc>
      </w:tr>
      <w:tr>
        <w:trPr>
          <w:trHeight w:val="250"/>
        </w:trPr>
        <w:tc>
          <w:tcPr>
            <w:tcW w:w="102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121,052</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Extensions and discoveries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44,410</w:t>
            </w:r>
          </w:p>
        </w:tc>
        <w:tc>
          <w:tcPr>
            <w:tcW w:w="0" w:type="dxa"/>
            <w:vAlign w:val="bottom"/>
          </w:tcPr>
          <w:p>
            <w:pPr>
              <w:spacing w:after="0"/>
              <w:rPr>
                <w:sz w:val="1"/>
                <w:szCs w:val="1"/>
                <w:color w:val="auto"/>
              </w:rPr>
            </w:pPr>
          </w:p>
        </w:tc>
      </w:tr>
      <w:tr>
        <w:trPr>
          <w:trHeight w:val="276"/>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divestitures of minerals-in-place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64"/>
        </w:trPr>
        <w:tc>
          <w:tcPr>
            <w:tcW w:w="10280" w:type="dxa"/>
            <w:vAlign w:val="bottom"/>
          </w:tcPr>
          <w:p>
            <w:pPr>
              <w:ind w:left="280"/>
              <w:spacing w:after="0"/>
              <w:rPr>
                <w:sz w:val="20"/>
                <w:szCs w:val="20"/>
                <w:color w:val="auto"/>
              </w:rPr>
            </w:pPr>
            <w:r>
              <w:rPr>
                <w:rFonts w:ascii="Arial" w:cs="Arial" w:eastAsia="Arial" w:hAnsi="Arial"/>
                <w:sz w:val="14"/>
                <w:szCs w:val="14"/>
                <w:color w:val="auto"/>
              </w:rPr>
              <w:t>Revisions of prior estimates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270"/>
        </w:trPr>
        <w:tc>
          <w:tcPr>
            <w:tcW w:w="10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Conversion of proved undeveloped to proved developed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(23,629)</w:t>
            </w:r>
          </w:p>
        </w:tc>
        <w:tc>
          <w:tcPr>
            <w:tcW w:w="0" w:type="dxa"/>
            <w:vAlign w:val="bottom"/>
          </w:tcPr>
          <w:p>
            <w:pPr>
              <w:spacing w:after="0"/>
              <w:rPr>
                <w:sz w:val="1"/>
                <w:szCs w:val="1"/>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146,821</w:t>
            </w: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4"/>
          <w:szCs w:val="14"/>
          <w:color w:val="auto"/>
        </w:rPr>
        <w:t>(1)</w:t>
        <w:tab/>
        <w:t>Estimated using a conversion ratio of one Bbl of oil per six Mcf of natural gas.</w:t>
      </w:r>
    </w:p>
    <w:p>
      <w:pPr>
        <w:spacing w:after="0" w:line="11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since 2016, proved undeveloped reserves converted to proved developed reserves during each year and the investments associated with these conversions (dollars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Proved Undeveloped Reserves</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Converted to</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5"/>
              </w:rPr>
              <w:t>Investment in</w:t>
            </w:r>
          </w:p>
        </w:tc>
        <w:tc>
          <w:tcPr>
            <w:tcW w:w="0" w:type="dxa"/>
            <w:vAlign w:val="bottom"/>
          </w:tcPr>
          <w:p>
            <w:pPr>
              <w:spacing w:after="0"/>
              <w:rPr>
                <w:sz w:val="1"/>
                <w:szCs w:val="1"/>
                <w:color w:val="auto"/>
              </w:rPr>
            </w:pPr>
          </w:p>
        </w:tc>
      </w:tr>
      <w:tr>
        <w:trPr>
          <w:trHeight w:val="144"/>
        </w:trPr>
        <w:tc>
          <w:tcPr>
            <w:tcW w:w="6640" w:type="dxa"/>
            <w:vAlign w:val="bottom"/>
          </w:tcPr>
          <w:p>
            <w:pPr>
              <w:spacing w:after="0"/>
              <w:rPr>
                <w:sz w:val="12"/>
                <w:szCs w:val="12"/>
                <w:color w:val="auto"/>
              </w:rPr>
            </w:pPr>
          </w:p>
        </w:tc>
        <w:tc>
          <w:tcPr>
            <w:tcW w:w="3200" w:type="dxa"/>
            <w:vAlign w:val="bottom"/>
            <w:gridSpan w:val="6"/>
          </w:tcPr>
          <w:p>
            <w:pPr>
              <w:jc w:val="center"/>
              <w:ind w:right="80"/>
              <w:spacing w:after="0" w:line="145" w:lineRule="exact"/>
              <w:rPr>
                <w:sz w:val="20"/>
                <w:szCs w:val="20"/>
                <w:color w:val="auto"/>
              </w:rPr>
            </w:pPr>
            <w:r>
              <w:rPr>
                <w:rFonts w:ascii="Arial" w:cs="Arial" w:eastAsia="Arial" w:hAnsi="Arial"/>
                <w:sz w:val="14"/>
                <w:szCs w:val="14"/>
                <w:b w:val="1"/>
                <w:bCs w:val="1"/>
                <w:color w:val="auto"/>
                <w:w w:val="89"/>
              </w:rPr>
              <w:t>Proved Developed Reserves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center"/>
              <w:ind w:right="29"/>
              <w:spacing w:after="0" w:line="113" w:lineRule="exact"/>
              <w:rPr>
                <w:sz w:val="20"/>
                <w:szCs w:val="20"/>
                <w:color w:val="auto"/>
              </w:rPr>
            </w:pPr>
            <w:r>
              <w:rPr>
                <w:rFonts w:ascii="Arial" w:cs="Arial" w:eastAsia="Arial" w:hAnsi="Arial"/>
                <w:sz w:val="13"/>
                <w:szCs w:val="13"/>
                <w:b w:val="1"/>
                <w:bCs w:val="1"/>
                <w:color w:val="auto"/>
                <w:w w:val="99"/>
              </w:rPr>
              <w:t>Conversion of Proved</w:t>
            </w:r>
          </w:p>
        </w:tc>
        <w:tc>
          <w:tcPr>
            <w:tcW w:w="0" w:type="dxa"/>
            <w:vAlign w:val="bottom"/>
          </w:tcPr>
          <w:p>
            <w:pPr>
              <w:spacing w:after="0"/>
              <w:rPr>
                <w:sz w:val="1"/>
                <w:szCs w:val="1"/>
                <w:color w:val="auto"/>
              </w:rPr>
            </w:pPr>
          </w:p>
        </w:tc>
      </w:tr>
      <w:tr>
        <w:trPr>
          <w:trHeight w:val="38"/>
        </w:trPr>
        <w:tc>
          <w:tcPr>
            <w:tcW w:w="6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6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Oil</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Natural Gas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4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Undeveloped Reserves</w:t>
            </w:r>
          </w:p>
        </w:tc>
        <w:tc>
          <w:tcPr>
            <w:tcW w:w="0" w:type="dxa"/>
            <w:vAlign w:val="bottom"/>
          </w:tcPr>
          <w:p>
            <w:pPr>
              <w:spacing w:after="0"/>
              <w:rPr>
                <w:sz w:val="1"/>
                <w:szCs w:val="1"/>
                <w:color w:val="auto"/>
              </w:rPr>
            </w:pPr>
          </w:p>
        </w:tc>
      </w:tr>
      <w:tr>
        <w:trPr>
          <w:trHeight w:val="54"/>
        </w:trPr>
        <w:tc>
          <w:tcPr>
            <w:tcW w:w="66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center"/>
              <w:ind w:right="29"/>
              <w:spacing w:after="0" w:line="126" w:lineRule="exact"/>
              <w:rPr>
                <w:sz w:val="20"/>
                <w:szCs w:val="20"/>
                <w:color w:val="auto"/>
              </w:rPr>
            </w:pPr>
            <w:r>
              <w:rPr>
                <w:rFonts w:ascii="Arial" w:cs="Arial" w:eastAsia="Arial" w:hAnsi="Arial"/>
                <w:sz w:val="14"/>
                <w:szCs w:val="14"/>
                <w:b w:val="1"/>
                <w:bCs w:val="1"/>
                <w:color w:val="auto"/>
                <w:w w:val="90"/>
              </w:rPr>
              <w:t>to Proved Developed</w:t>
            </w:r>
          </w:p>
        </w:tc>
        <w:tc>
          <w:tcPr>
            <w:tcW w:w="0" w:type="dxa"/>
            <w:vAlign w:val="bottom"/>
          </w:tcPr>
          <w:p>
            <w:pPr>
              <w:spacing w:after="0"/>
              <w:rPr>
                <w:sz w:val="1"/>
                <w:szCs w:val="1"/>
                <w:color w:val="auto"/>
              </w:rPr>
            </w:pPr>
          </w:p>
        </w:tc>
      </w:tr>
      <w:tr>
        <w:trPr>
          <w:trHeight w:val="52"/>
        </w:trPr>
        <w:tc>
          <w:tcPr>
            <w:tcW w:w="6640" w:type="dxa"/>
            <w:vAlign w:val="bottom"/>
          </w:tcPr>
          <w:p>
            <w:pPr>
              <w:spacing w:after="0"/>
              <w:rPr>
                <w:sz w:val="4"/>
                <w:szCs w:val="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(MBbl)</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(Bcf)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8"/>
                <w:szCs w:val="8"/>
                <w:b w:val="1"/>
                <w:bCs w:val="1"/>
                <w:color w:val="auto"/>
              </w:rPr>
              <w:t>(1)</w:t>
            </w:r>
          </w:p>
        </w:tc>
        <w:tc>
          <w:tcPr>
            <w:tcW w:w="1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gridSpan w:val="2"/>
            <w:vMerge w:val="continue"/>
          </w:tcPr>
          <w:p>
            <w:pPr>
              <w:spacing w:after="0"/>
              <w:rPr>
                <w:sz w:val="16"/>
                <w:szCs w:val="16"/>
                <w:color w:val="auto"/>
              </w:rPr>
            </w:pPr>
          </w:p>
        </w:tc>
        <w:tc>
          <w:tcPr>
            <w:tcW w:w="1020" w:type="dxa"/>
            <w:vAlign w:val="bottom"/>
            <w:tcBorders>
              <w:bottom w:val="single" w:sz="8" w:color="CCEEFF"/>
            </w:tcBorders>
            <w:gridSpan w:val="2"/>
            <w:vMerge w:val="continue"/>
          </w:tcPr>
          <w:p>
            <w:pPr>
              <w:spacing w:after="0"/>
              <w:rPr>
                <w:sz w:val="16"/>
                <w:szCs w:val="16"/>
                <w:color w:val="auto"/>
              </w:rPr>
            </w:pPr>
          </w:p>
        </w:tc>
        <w:tc>
          <w:tcPr>
            <w:tcW w:w="112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6"/>
              </w:rPr>
              <w:t>Reserves</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jc w:val="right"/>
              <w:ind w:right="6245"/>
              <w:spacing w:after="0"/>
              <w:rPr>
                <w:sz w:val="20"/>
                <w:szCs w:val="20"/>
                <w:color w:val="auto"/>
              </w:rPr>
            </w:pPr>
            <w:r>
              <w:rPr>
                <w:rFonts w:ascii="Arial" w:cs="Arial" w:eastAsia="Arial" w:hAnsi="Arial"/>
                <w:sz w:val="14"/>
                <w:szCs w:val="14"/>
                <w:color w:val="auto"/>
                <w:w w:val="96"/>
              </w:rPr>
              <w:t>2016</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94,579</w:t>
            </w:r>
          </w:p>
        </w:tc>
        <w:tc>
          <w:tcPr>
            <w:tcW w:w="0" w:type="dxa"/>
            <w:vAlign w:val="bottom"/>
          </w:tcPr>
          <w:p>
            <w:pPr>
              <w:spacing w:after="0"/>
              <w:rPr>
                <w:sz w:val="1"/>
                <w:szCs w:val="1"/>
                <w:color w:val="auto"/>
              </w:rPr>
            </w:pPr>
          </w:p>
        </w:tc>
      </w:tr>
      <w:tr>
        <w:trPr>
          <w:trHeight w:val="264"/>
        </w:trPr>
        <w:tc>
          <w:tcPr>
            <w:tcW w:w="6640" w:type="dxa"/>
            <w:vAlign w:val="bottom"/>
          </w:tcPr>
          <w:p>
            <w:pPr>
              <w:jc w:val="right"/>
              <w:ind w:right="6245"/>
              <w:spacing w:after="0"/>
              <w:rPr>
                <w:sz w:val="20"/>
                <w:szCs w:val="20"/>
                <w:color w:val="auto"/>
              </w:rPr>
            </w:pPr>
            <w:r>
              <w:rPr>
                <w:rFonts w:ascii="Arial" w:cs="Arial" w:eastAsia="Arial" w:hAnsi="Arial"/>
                <w:sz w:val="14"/>
                <w:szCs w:val="14"/>
                <w:color w:val="auto"/>
                <w:w w:val="96"/>
              </w:rPr>
              <w:t>2017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9,300</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16,808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ind w:right="29"/>
              <w:spacing w:after="0"/>
              <w:rPr>
                <w:sz w:val="20"/>
                <w:szCs w:val="20"/>
                <w:color w:val="auto"/>
              </w:rPr>
            </w:pPr>
            <w:r>
              <w:rPr>
                <w:rFonts w:ascii="Arial" w:cs="Arial" w:eastAsia="Arial" w:hAnsi="Arial"/>
                <w:sz w:val="14"/>
                <w:szCs w:val="14"/>
                <w:color w:val="auto"/>
              </w:rPr>
              <w:t>211,860</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jc w:val="right"/>
              <w:ind w:right="6245"/>
              <w:spacing w:after="0"/>
              <w:rPr>
                <w:sz w:val="20"/>
                <w:szCs w:val="20"/>
                <w:color w:val="auto"/>
              </w:rPr>
            </w:pPr>
            <w:r>
              <w:rPr>
                <w:rFonts w:ascii="Arial" w:cs="Arial" w:eastAsia="Arial" w:hAnsi="Arial"/>
                <w:sz w:val="14"/>
                <w:szCs w:val="14"/>
                <w:color w:val="auto"/>
                <w:w w:val="96"/>
              </w:rPr>
              <w:t>2018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356,830</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jc w:val="right"/>
              <w:ind w:right="6245"/>
              <w:spacing w:after="0"/>
              <w:rPr>
                <w:sz w:val="20"/>
                <w:szCs w:val="20"/>
                <w:color w:val="auto"/>
              </w:rPr>
            </w:pPr>
            <w:r>
              <w:rPr>
                <w:rFonts w:ascii="Arial" w:cs="Arial" w:eastAsia="Arial" w:hAnsi="Arial"/>
                <w:sz w:val="14"/>
                <w:szCs w:val="14"/>
                <w:color w:val="auto"/>
                <w:w w:val="96"/>
              </w:rPr>
              <w:t>2019</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13,832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23,629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318,609</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jc w:val="right"/>
              <w:ind w:right="5985"/>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73,603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981,878</w:t>
            </w: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4945"/>
              <w:spacing w:after="0"/>
              <w:rPr>
                <w:sz w:val="20"/>
                <w:szCs w:val="20"/>
                <w:color w:val="auto"/>
              </w:rPr>
            </w:pPr>
            <w:r>
              <w:rPr>
                <w:rFonts w:ascii="Arial" w:cs="Arial" w:eastAsia="Arial" w:hAnsi="Arial"/>
                <w:sz w:val="18"/>
                <w:szCs w:val="18"/>
                <w:color w:val="auto"/>
                <w:w w:val="88"/>
              </w:rPr>
              <w:t>__________________</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hanging="330"/>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additional summary information by operating area with respect to our estimated net proved reserves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Net Proved Reserves</w:t>
            </w:r>
            <w:r>
              <w:rPr>
                <w:rFonts w:ascii="Arial" w:cs="Arial" w:eastAsia="Arial" w:hAnsi="Arial"/>
                <w:sz w:val="8"/>
                <w:szCs w:val="8"/>
                <w:b w:val="1"/>
                <w:bCs w:val="1"/>
                <w:color w:val="auto"/>
                <w:w w:val="90"/>
              </w:rPr>
              <w:t>(1)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13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Oil</w:t>
            </w:r>
          </w:p>
        </w:tc>
        <w:tc>
          <w:tcPr>
            <w:tcW w:w="1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Natural Gas</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Oil Equivalent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Standardized</w:t>
            </w:r>
          </w:p>
        </w:tc>
        <w:tc>
          <w:tcPr>
            <w:tcW w:w="220" w:type="dxa"/>
            <w:vAlign w:val="bottom"/>
          </w:tcPr>
          <w:p>
            <w:pPr>
              <w:spacing w:after="0"/>
              <w:rPr>
                <w:sz w:val="12"/>
                <w:szCs w:val="12"/>
                <w:color w:val="auto"/>
              </w:rPr>
            </w:pP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PV-10</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Measure</w:t>
            </w:r>
            <w:r>
              <w:rPr>
                <w:rFonts w:ascii="Arial" w:cs="Arial" w:eastAsia="Arial" w:hAnsi="Arial"/>
                <w:sz w:val="8"/>
                <w:szCs w:val="8"/>
                <w:b w:val="1"/>
                <w:bCs w:val="1"/>
                <w:color w:val="auto"/>
                <w:w w:val="96"/>
              </w:rPr>
              <w:t>(2)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380" w:type="dxa"/>
            <w:vAlign w:val="bottom"/>
          </w:tcPr>
          <w:p>
            <w:pPr>
              <w:jc w:val="right"/>
              <w:ind w:right="408"/>
              <w:spacing w:after="0"/>
              <w:rPr>
                <w:sz w:val="20"/>
                <w:szCs w:val="20"/>
                <w:color w:val="auto"/>
              </w:rPr>
            </w:pPr>
            <w:r>
              <w:rPr>
                <w:rFonts w:ascii="Arial" w:cs="Arial" w:eastAsia="Arial" w:hAnsi="Arial"/>
                <w:sz w:val="14"/>
                <w:szCs w:val="14"/>
                <w:b w:val="1"/>
                <w:bCs w:val="1"/>
                <w:color w:val="auto"/>
              </w:rPr>
              <w:t>(MBbl)</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(Bcf)</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(MBOE)</w:t>
            </w:r>
            <w:r>
              <w:rPr>
                <w:rFonts w:ascii="Arial" w:cs="Arial" w:eastAsia="Arial" w:hAnsi="Arial"/>
                <w:sz w:val="8"/>
                <w:szCs w:val="8"/>
                <w:b w:val="1"/>
                <w:bCs w:val="1"/>
                <w:color w:val="auto"/>
              </w:rPr>
              <w:t>(4)</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380"/>
              <w:spacing w:after="0"/>
              <w:rPr>
                <w:sz w:val="20"/>
                <w:szCs w:val="20"/>
                <w:color w:val="auto"/>
              </w:rPr>
            </w:pPr>
            <w:r>
              <w:rPr>
                <w:rFonts w:ascii="Arial" w:cs="Arial" w:eastAsia="Arial" w:hAnsi="Arial"/>
                <w:sz w:val="14"/>
                <w:szCs w:val="14"/>
                <w:color w:val="auto"/>
              </w:rPr>
              <w:t>Delaware Basin</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139,595</w:t>
            </w: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559.2</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232,793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1,877.1</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2,074.8</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380"/>
              <w:spacing w:after="0"/>
              <w:rPr>
                <w:sz w:val="20"/>
                <w:szCs w:val="20"/>
                <w:color w:val="auto"/>
              </w:rPr>
            </w:pPr>
            <w:r>
              <w:rPr>
                <w:rFonts w:ascii="Arial" w:cs="Arial" w:eastAsia="Arial" w:hAnsi="Arial"/>
                <w:sz w:val="14"/>
                <w:szCs w:val="14"/>
                <w:color w:val="auto"/>
              </w:rPr>
              <w:t>Eagle Ford</w:t>
            </w:r>
            <w:r>
              <w:rPr>
                <w:rFonts w:ascii="Arial" w:cs="Arial" w:eastAsia="Arial" w:hAnsi="Arial"/>
                <w:sz w:val="8"/>
                <w:szCs w:val="8"/>
                <w:color w:val="auto"/>
              </w:rPr>
              <w:t>(5)</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8,350</w:t>
            </w: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11,219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3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360" w:type="dxa"/>
            <w:vAlign w:val="bottom"/>
          </w:tcPr>
          <w:p>
            <w:pPr>
              <w:ind w:left="380"/>
              <w:spacing w:after="0"/>
              <w:rPr>
                <w:sz w:val="20"/>
                <w:szCs w:val="20"/>
                <w:color w:val="auto"/>
              </w:rPr>
            </w:pPr>
            <w:r>
              <w:rPr>
                <w:rFonts w:ascii="Arial" w:cs="Arial" w:eastAsia="Arial" w:hAnsi="Arial"/>
                <w:sz w:val="14"/>
                <w:szCs w:val="14"/>
                <w:color w:val="auto"/>
              </w:rPr>
              <w:t>Haynesville</w:t>
            </w: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Arial" w:cs="Arial" w:eastAsia="Arial" w:hAnsi="Arial"/>
                <w:sz w:val="14"/>
                <w:szCs w:val="14"/>
                <w:color w:val="auto"/>
              </w:rPr>
              <w:t>7,652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74"/>
        </w:trPr>
        <w:tc>
          <w:tcPr>
            <w:tcW w:w="436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Cotton Valley</w:t>
            </w:r>
            <w:r>
              <w:rPr>
                <w:rFonts w:ascii="Arial" w:cs="Arial" w:eastAsia="Arial" w:hAnsi="Arial"/>
                <w:sz w:val="8"/>
                <w:szCs w:val="8"/>
                <w:color w:val="auto"/>
              </w:rPr>
              <w:t>(6)</w:t>
            </w: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vMerge w:val="restart"/>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74"/>
        </w:trPr>
        <w:tc>
          <w:tcPr>
            <w:tcW w:w="4360" w:type="dxa"/>
            <w:vAlign w:val="bottom"/>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Area Total</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760"/>
              <w:spacing w:after="0"/>
              <w:rPr>
                <w:sz w:val="20"/>
                <w:szCs w:val="20"/>
                <w:color w:val="auto"/>
              </w:rPr>
            </w:pPr>
            <w:r>
              <w:rPr>
                <w:rFonts w:ascii="Arial" w:cs="Arial" w:eastAsia="Arial" w:hAnsi="Arial"/>
                <w:sz w:val="14"/>
                <w:szCs w:val="14"/>
                <w:b w:val="1"/>
                <w:bCs w:val="1"/>
                <w:color w:val="auto"/>
              </w:rPr>
              <w:t>Total</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147,991</w:t>
            </w:r>
          </w:p>
        </w:tc>
        <w:tc>
          <w:tcPr>
            <w:tcW w:w="13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627.2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252,531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9" w:lineRule="exact"/>
        <w:rPr>
          <w:rFonts w:ascii="Arial" w:cs="Arial" w:eastAsia="Arial" w:hAnsi="Arial"/>
          <w:sz w:val="14"/>
          <w:szCs w:val="14"/>
          <w:color w:val="auto"/>
        </w:rPr>
      </w:pPr>
    </w:p>
    <w:p>
      <w:pPr>
        <w:ind w:left="460" w:right="120" w:hanging="330"/>
        <w:spacing w:after="0" w:line="312"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w:t>
      </w:r>
    </w:p>
    <w:p>
      <w:pPr>
        <w:spacing w:after="0" w:line="43" w:lineRule="exact"/>
        <w:rPr>
          <w:rFonts w:ascii="Arial" w:cs="Arial" w:eastAsia="Arial" w:hAnsi="Arial"/>
          <w:sz w:val="13"/>
          <w:szCs w:val="13"/>
          <w:color w:val="auto"/>
        </w:rPr>
      </w:pPr>
    </w:p>
    <w:p>
      <w:pPr>
        <w:ind w:left="460" w:right="20" w:hanging="330"/>
        <w:spacing w:after="0" w:line="277"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2019 may be reconciled to our Standardized Measure of discounted future net cash flows at such date by adding the discounted future income taxes</w:t>
      </w:r>
    </w:p>
    <w:p>
      <w:pPr>
        <w:sectPr>
          <w:pgSz w:w="11900" w:h="16838" w:orient="portrait"/>
          <w:cols w:equalWidth="0" w:num="1">
            <w:col w:w="11420"/>
          </w:cols>
          <w:pgMar w:left="240" w:top="121"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associated with such reserves to the Standardized Measure. The discounted future income taxes at December 31, 2019 were approximately $214.2 million.</w:t>
      </w:r>
    </w:p>
    <w:p>
      <w:pPr>
        <w:spacing w:after="0" w:line="136" w:lineRule="exact"/>
        <w:rPr>
          <w:sz w:val="20"/>
          <w:szCs w:val="20"/>
          <w:color w:val="auto"/>
        </w:rPr>
      </w:pPr>
    </w:p>
    <w:p>
      <w:pPr>
        <w:ind w:left="460" w:hanging="330"/>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9" w:lineRule="exact"/>
        <w:rPr>
          <w:rFonts w:ascii="Arial" w:cs="Arial" w:eastAsia="Arial" w:hAnsi="Arial"/>
          <w:sz w:val="14"/>
          <w:szCs w:val="14"/>
          <w:color w:val="auto"/>
        </w:rPr>
      </w:pPr>
    </w:p>
    <w:p>
      <w:pPr>
        <w:ind w:left="460" w:right="60" w:hanging="330"/>
        <w:spacing w:after="0" w:line="273"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Technology Used to Establish Reserves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The term “reasonable certainty” implies a high degree of confidence that the quantities of oil and/or natural gas actually recovered will equal or exceed the estimate.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5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and material balance methods. Certain new producing properties with little production history were forecasted using a combination of production performance and analogy to offset production. Non-producing reserves estimates for both developed and undeveloped properties were forecasted using either volumetric and/or analogy methods.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Internal Control Over Reserves Estimation Process</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maintain an internal staff of petroleum engineers and geoscience professionals to ensure the integrity, accuracy and timeliness of the data used in our reserves estimation process. Our Executive Vice President of Reservoir Engineering and Chief Technology Officer is primarily responsible for overseeing the preparation of our reserves estimates. He received his Bachelor and Master of Science degrees in Petroleum Engineering from Texas A&amp;M University, is a Licensed Professional Engineer in the State of Texas and has over 42 years of industry experience. Following the preparation of our reserves estimates, these estimates are audited for their reasonableness by Netherland, Sewell &amp; Associates, Inc., independent reservoir engineers. The Operations and Engineering Committee of our Board of Directors reviews the reserves report and our reserves estimation process, and the results of the reserves report and the independent audit of our reserves are reviewed by other members of our Board of Directors as well.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approximate acreage in which we held a leasehold, mineral or other interest at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1"/>
              </w:rPr>
              <w:t>Developed Acres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Undeveloped Acres</w:t>
            </w:r>
          </w:p>
        </w:tc>
        <w:tc>
          <w:tcPr>
            <w:tcW w:w="120" w:type="dxa"/>
            <w:vAlign w:val="bottom"/>
          </w:tcPr>
          <w:p>
            <w:pPr>
              <w:spacing w:after="0"/>
              <w:rPr>
                <w:sz w:val="16"/>
                <w:szCs w:val="16"/>
                <w:color w:val="auto"/>
              </w:rPr>
            </w:pPr>
          </w:p>
        </w:tc>
        <w:tc>
          <w:tcPr>
            <w:tcW w:w="17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Total Acres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900" w:type="dxa"/>
            <w:vAlign w:val="bottom"/>
            <w:gridSpan w:val="3"/>
          </w:tcPr>
          <w:p>
            <w:pPr>
              <w:ind w:left="460"/>
              <w:spacing w:after="0"/>
              <w:rPr>
                <w:sz w:val="20"/>
                <w:szCs w:val="20"/>
                <w:color w:val="auto"/>
              </w:rPr>
            </w:pPr>
            <w:r>
              <w:rPr>
                <w:rFonts w:ascii="Arial" w:cs="Arial" w:eastAsia="Arial" w:hAnsi="Arial"/>
                <w:sz w:val="14"/>
                <w:szCs w:val="14"/>
                <w:b w:val="1"/>
                <w:bCs w:val="1"/>
                <w:color w:val="auto"/>
              </w:rPr>
              <w:t>Gross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Gross</w:t>
            </w:r>
          </w:p>
        </w:tc>
        <w:tc>
          <w:tcPr>
            <w:tcW w:w="1360" w:type="dxa"/>
            <w:vAlign w:val="bottom"/>
            <w:gridSpan w:val="2"/>
          </w:tcPr>
          <w:p>
            <w:pPr>
              <w:ind w:left="540"/>
              <w:spacing w:after="0"/>
              <w:rPr>
                <w:sz w:val="20"/>
                <w:szCs w:val="20"/>
                <w:color w:val="auto"/>
              </w:rPr>
            </w:pPr>
            <w:r>
              <w:rPr>
                <w:rFonts w:ascii="Arial" w:cs="Arial" w:eastAsia="Arial" w:hAnsi="Arial"/>
                <w:sz w:val="14"/>
                <w:szCs w:val="14"/>
                <w:b w:val="1"/>
                <w:bCs w:val="1"/>
                <w:color w:val="auto"/>
              </w:rPr>
              <w:t>Net</w:t>
            </w:r>
          </w:p>
        </w:tc>
        <w:tc>
          <w:tcPr>
            <w:tcW w:w="1780" w:type="dxa"/>
            <w:vAlign w:val="bottom"/>
            <w:gridSpan w:val="3"/>
          </w:tcPr>
          <w:p>
            <w:pPr>
              <w:ind w:left="460"/>
              <w:spacing w:after="0"/>
              <w:rPr>
                <w:sz w:val="20"/>
                <w:szCs w:val="20"/>
                <w:color w:val="auto"/>
              </w:rPr>
            </w:pPr>
            <w:r>
              <w:rPr>
                <w:rFonts w:ascii="Arial" w:cs="Arial" w:eastAsia="Arial" w:hAnsi="Arial"/>
                <w:sz w:val="14"/>
                <w:szCs w:val="14"/>
                <w:b w:val="1"/>
                <w:bCs w:val="1"/>
                <w:color w:val="auto"/>
              </w:rPr>
              <w:t>Gross</w:t>
            </w:r>
          </w:p>
        </w:tc>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Southeast New Mexico/West Texas:</w:t>
            </w: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3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80"/>
              <w:spacing w:after="0"/>
              <w:rPr>
                <w:sz w:val="20"/>
                <w:szCs w:val="20"/>
                <w:color w:val="auto"/>
              </w:rPr>
            </w:pPr>
            <w:r>
              <w:rPr>
                <w:rFonts w:ascii="Arial" w:cs="Arial" w:eastAsia="Arial" w:hAnsi="Arial"/>
                <w:sz w:val="14"/>
                <w:szCs w:val="14"/>
                <w:color w:val="auto"/>
              </w:rPr>
              <w:t>Delaware Basin</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145,800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85,500</w:t>
            </w:r>
          </w:p>
        </w:tc>
        <w:tc>
          <w:tcPr>
            <w:tcW w:w="1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53,200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231,300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128,200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80"/>
              <w:spacing w:after="0"/>
              <w:rPr>
                <w:sz w:val="20"/>
                <w:szCs w:val="20"/>
                <w:color w:val="auto"/>
              </w:rPr>
            </w:pPr>
            <w:r>
              <w:rPr>
                <w:rFonts w:ascii="Arial" w:cs="Arial" w:eastAsia="Arial" w:hAnsi="Arial"/>
                <w:sz w:val="14"/>
                <w:szCs w:val="14"/>
                <w:color w:val="auto"/>
              </w:rPr>
              <w:t>Eagle Ford</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29,200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26,500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31,200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28,400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Northwest Louisiana</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380"/>
              <w:spacing w:after="0"/>
              <w:rPr>
                <w:sz w:val="20"/>
                <w:szCs w:val="20"/>
                <w:color w:val="auto"/>
              </w:rPr>
            </w:pPr>
            <w:r>
              <w:rPr>
                <w:rFonts w:ascii="Arial" w:cs="Arial" w:eastAsia="Arial" w:hAnsi="Arial"/>
                <w:sz w:val="14"/>
                <w:szCs w:val="14"/>
                <w:color w:val="auto"/>
              </w:rPr>
              <w:t>Haynesville</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17,500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74"/>
        </w:trPr>
        <w:tc>
          <w:tcPr>
            <w:tcW w:w="33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Cotton Valley</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16,100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14,900</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16,100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14,900</w:t>
            </w: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760"/>
              <w:spacing w:after="0"/>
              <w:rPr>
                <w:sz w:val="20"/>
                <w:szCs w:val="20"/>
                <w:color w:val="auto"/>
              </w:rPr>
            </w:pPr>
            <w:r>
              <w:rPr>
                <w:rFonts w:ascii="Arial" w:cs="Arial" w:eastAsia="Arial" w:hAnsi="Arial"/>
                <w:sz w:val="14"/>
                <w:szCs w:val="14"/>
                <w:color w:val="auto"/>
              </w:rPr>
              <w:t>Area Total</w:t>
            </w:r>
            <w:r>
              <w:rPr>
                <w:rFonts w:ascii="Arial" w:cs="Arial" w:eastAsia="Arial" w:hAnsi="Arial"/>
                <w:sz w:val="8"/>
                <w:szCs w:val="8"/>
                <w:color w:val="auto"/>
              </w:rPr>
              <w:t>(2)</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19,700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18,300</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19,700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18,300</w:t>
            </w:r>
          </w:p>
        </w:tc>
        <w:tc>
          <w:tcPr>
            <w:tcW w:w="0" w:type="dxa"/>
            <w:vAlign w:val="bottom"/>
          </w:tcPr>
          <w:p>
            <w:pPr>
              <w:spacing w:after="0"/>
              <w:rPr>
                <w:sz w:val="1"/>
                <w:szCs w:val="1"/>
                <w:color w:val="auto"/>
              </w:rPr>
            </w:pPr>
          </w:p>
        </w:tc>
      </w:tr>
      <w:tr>
        <w:trPr>
          <w:trHeight w:val="177"/>
        </w:trPr>
        <w:tc>
          <w:tcPr>
            <w:tcW w:w="33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194,700</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119,800</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87,500</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55,100</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282,200</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174,900</w:t>
            </w:r>
          </w:p>
        </w:tc>
        <w:tc>
          <w:tcPr>
            <w:tcW w:w="0" w:type="dxa"/>
            <w:vAlign w:val="bottom"/>
          </w:tcPr>
          <w:p>
            <w:pPr>
              <w:spacing w:after="0"/>
              <w:rPr>
                <w:sz w:val="1"/>
                <w:szCs w:val="1"/>
                <w:color w:val="auto"/>
              </w:rPr>
            </w:pPr>
          </w:p>
        </w:tc>
      </w:tr>
      <w:tr>
        <w:trPr>
          <w:trHeight w:val="60"/>
        </w:trPr>
        <w:tc>
          <w:tcPr>
            <w:tcW w:w="334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w:t>
      </w:r>
    </w:p>
    <w:p>
      <w:pPr>
        <w:spacing w:after="0" w:line="206" w:lineRule="exact"/>
        <w:rPr>
          <w:sz w:val="20"/>
          <w:szCs w:val="20"/>
          <w:color w:val="auto"/>
        </w:rPr>
      </w:pPr>
    </w:p>
    <w:p>
      <w:pPr>
        <w:ind w:left="460" w:hanging="330"/>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Developed acres include 2,800 gross and net mineral acres in Northwest Louisiana.</w:t>
      </w:r>
    </w:p>
    <w:p>
      <w:pPr>
        <w:spacing w:after="0" w:line="109" w:lineRule="exact"/>
        <w:rPr>
          <w:rFonts w:ascii="Arial" w:cs="Arial" w:eastAsia="Arial" w:hAnsi="Arial"/>
          <w:sz w:val="14"/>
          <w:szCs w:val="14"/>
          <w:color w:val="auto"/>
        </w:rPr>
      </w:pPr>
    </w:p>
    <w:p>
      <w:pPr>
        <w:ind w:left="460" w:right="440" w:hanging="330"/>
        <w:spacing w:after="0" w:line="273" w:lineRule="auto"/>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Undeveloped Acreage Expiration</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following table sets forth the approximate number of gross and net undeveloped acres at December 31, 2019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2025 and beyond totals 12,700 net acres, of which 9,900 net acres do not expire until 2028 and beyond. All of our leasehold in the Haynesville and Cotton Valley plays in Northwest Louisiana was held by existing production at December 31,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2"/>
              </w:rPr>
              <w:t>Acres</w:t>
            </w:r>
          </w:p>
        </w:tc>
        <w:tc>
          <w:tcPr>
            <w:tcW w:w="820" w:type="dxa"/>
            <w:vAlign w:val="bottom"/>
          </w:tcPr>
          <w:p>
            <w:pPr>
              <w:spacing w:after="0"/>
              <w:rPr>
                <w:sz w:val="16"/>
                <w:szCs w:val="16"/>
                <w:color w:val="auto"/>
              </w:rPr>
            </w:pPr>
          </w:p>
        </w:tc>
        <w:tc>
          <w:tcPr>
            <w:tcW w:w="12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92"/>
              </w:rPr>
              <w:t>Acres</w:t>
            </w:r>
          </w:p>
        </w:tc>
        <w:tc>
          <w:tcPr>
            <w:tcW w:w="780" w:type="dxa"/>
            <w:vAlign w:val="bottom"/>
          </w:tcPr>
          <w:p>
            <w:pPr>
              <w:spacing w:after="0"/>
              <w:rPr>
                <w:sz w:val="16"/>
                <w:szCs w:val="16"/>
                <w:color w:val="auto"/>
              </w:rPr>
            </w:pPr>
          </w:p>
        </w:tc>
        <w:tc>
          <w:tcPr>
            <w:tcW w:w="12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2"/>
              </w:rPr>
              <w:t>Acres</w:t>
            </w:r>
          </w:p>
        </w:tc>
        <w:tc>
          <w:tcPr>
            <w:tcW w:w="800" w:type="dxa"/>
            <w:vAlign w:val="bottom"/>
          </w:tcPr>
          <w:p>
            <w:pPr>
              <w:spacing w:after="0"/>
              <w:rPr>
                <w:sz w:val="16"/>
                <w:szCs w:val="16"/>
                <w:color w:val="auto"/>
              </w:rPr>
            </w:pPr>
          </w:p>
        </w:tc>
        <w:tc>
          <w:tcPr>
            <w:tcW w:w="122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7"/>
              </w:rPr>
              <w:t>Acres</w:t>
            </w:r>
          </w:p>
        </w:tc>
        <w:tc>
          <w:tcPr>
            <w:tcW w:w="800" w:type="dxa"/>
            <w:vAlign w:val="bottom"/>
          </w:tcPr>
          <w:p>
            <w:pPr>
              <w:spacing w:after="0"/>
              <w:rPr>
                <w:sz w:val="16"/>
                <w:szCs w:val="16"/>
                <w:color w:val="auto"/>
              </w:rPr>
            </w:pPr>
          </w:p>
        </w:tc>
        <w:tc>
          <w:tcPr>
            <w:tcW w:w="112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auto"/>
                <w:w w:val="82"/>
              </w:rPr>
              <w:t>Acres</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4"/>
                <w:szCs w:val="2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Expiring 2020</w:t>
            </w:r>
          </w:p>
        </w:tc>
        <w:tc>
          <w:tcPr>
            <w:tcW w:w="120" w:type="dxa"/>
            <w:vAlign w:val="bottom"/>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Expiring 2021</w:t>
            </w:r>
          </w:p>
        </w:tc>
        <w:tc>
          <w:tcPr>
            <w:tcW w:w="120" w:type="dxa"/>
            <w:vAlign w:val="bottom"/>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Expiring 2022</w:t>
            </w:r>
          </w:p>
        </w:tc>
        <w:tc>
          <w:tcPr>
            <w:tcW w:w="120" w:type="dxa"/>
            <w:vAlign w:val="bottom"/>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Expiring 2023</w:t>
            </w:r>
          </w:p>
        </w:tc>
        <w:tc>
          <w:tcPr>
            <w:tcW w:w="10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Expiring 2024</w:t>
            </w:r>
          </w:p>
        </w:tc>
        <w:tc>
          <w:tcPr>
            <w:tcW w:w="0" w:type="dxa"/>
            <w:vAlign w:val="bottom"/>
          </w:tcPr>
          <w:p>
            <w:pPr>
              <w:spacing w:after="0"/>
              <w:rPr>
                <w:sz w:val="1"/>
                <w:szCs w:val="1"/>
                <w:color w:val="auto"/>
              </w:rPr>
            </w:pPr>
          </w:p>
        </w:tc>
      </w:tr>
      <w:tr>
        <w:trPr>
          <w:trHeight w:val="264"/>
        </w:trPr>
        <w:tc>
          <w:tcPr>
            <w:tcW w:w="1280" w:type="dxa"/>
            <w:vAlign w:val="bottom"/>
          </w:tcPr>
          <w:p>
            <w:pPr>
              <w:spacing w:after="0"/>
              <w:rPr>
                <w:sz w:val="22"/>
                <w:szCs w:val="22"/>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9"/>
        </w:trPr>
        <w:tc>
          <w:tcPr>
            <w:tcW w:w="128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Southeast New</w:t>
            </w: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Mexico/West</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280" w:type="dxa"/>
            <w:vAlign w:val="bottom"/>
          </w:tcPr>
          <w:p>
            <w:pPr>
              <w:ind w:left="380"/>
              <w:spacing w:after="0" w:line="157" w:lineRule="exact"/>
              <w:rPr>
                <w:sz w:val="20"/>
                <w:szCs w:val="20"/>
                <w:color w:val="auto"/>
              </w:rPr>
            </w:pPr>
            <w:r>
              <w:rPr>
                <w:rFonts w:ascii="Arial" w:cs="Arial" w:eastAsia="Arial" w:hAnsi="Arial"/>
                <w:sz w:val="14"/>
                <w:szCs w:val="14"/>
                <w:color w:val="auto"/>
              </w:rPr>
              <w:t>Delaware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80" w:type="dxa"/>
            <w:vAlign w:val="bottom"/>
          </w:tcPr>
          <w:p>
            <w:pPr>
              <w:ind w:left="380"/>
              <w:spacing w:after="0"/>
              <w:rPr>
                <w:sz w:val="20"/>
                <w:szCs w:val="20"/>
                <w:color w:val="auto"/>
              </w:rPr>
            </w:pPr>
            <w:r>
              <w:rPr>
                <w:rFonts w:ascii="Arial" w:cs="Arial" w:eastAsia="Arial" w:hAnsi="Arial"/>
                <w:sz w:val="14"/>
                <w:szCs w:val="14"/>
                <w:color w:val="auto"/>
              </w:rPr>
              <w:t>Basin</w:t>
            </w:r>
            <w:r>
              <w:rPr>
                <w:rFonts w:ascii="Arial" w:cs="Arial" w:eastAsia="Arial" w:hAnsi="Arial"/>
                <w:sz w:val="8"/>
                <w:szCs w:val="8"/>
                <w:color w:val="auto"/>
              </w:rPr>
              <w:t>(1)</w:t>
            </w:r>
          </w:p>
        </w:tc>
        <w:tc>
          <w:tcPr>
            <w:tcW w:w="820" w:type="dxa"/>
            <w:vAlign w:val="bottom"/>
          </w:tcPr>
          <w:p>
            <w:pPr>
              <w:jc w:val="right"/>
              <w:spacing w:after="0"/>
              <w:rPr>
                <w:sz w:val="20"/>
                <w:szCs w:val="20"/>
                <w:color w:val="auto"/>
              </w:rPr>
            </w:pPr>
            <w:r>
              <w:rPr>
                <w:rFonts w:ascii="Arial" w:cs="Arial" w:eastAsia="Arial" w:hAnsi="Arial"/>
                <w:sz w:val="14"/>
                <w:szCs w:val="14"/>
                <w:color w:val="auto"/>
              </w:rPr>
              <w:t>17,000</w:t>
            </w:r>
          </w:p>
        </w:tc>
        <w:tc>
          <w:tcPr>
            <w:tcW w:w="1160" w:type="dxa"/>
            <w:vAlign w:val="bottom"/>
            <w:gridSpan w:val="3"/>
          </w:tcPr>
          <w:p>
            <w:pPr>
              <w:jc w:val="right"/>
              <w:ind w:right="48"/>
              <w:spacing w:after="0"/>
              <w:rPr>
                <w:sz w:val="20"/>
                <w:szCs w:val="20"/>
                <w:color w:val="auto"/>
              </w:rPr>
            </w:pPr>
            <w:r>
              <w:rPr>
                <w:rFonts w:ascii="Arial" w:cs="Arial" w:eastAsia="Arial" w:hAnsi="Arial"/>
                <w:sz w:val="14"/>
                <w:szCs w:val="14"/>
                <w:color w:val="auto"/>
              </w:rPr>
              <w:t>10,700</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26,400</w:t>
            </w:r>
          </w:p>
        </w:tc>
        <w:tc>
          <w:tcPr>
            <w:tcW w:w="1140" w:type="dxa"/>
            <w:vAlign w:val="bottom"/>
            <w:gridSpan w:val="3"/>
          </w:tcPr>
          <w:p>
            <w:pPr>
              <w:jc w:val="right"/>
              <w:ind w:right="28"/>
              <w:spacing w:after="0"/>
              <w:rPr>
                <w:sz w:val="20"/>
                <w:szCs w:val="20"/>
                <w:color w:val="auto"/>
              </w:rPr>
            </w:pPr>
            <w:r>
              <w:rPr>
                <w:rFonts w:ascii="Arial" w:cs="Arial" w:eastAsia="Arial" w:hAnsi="Arial"/>
                <w:sz w:val="14"/>
                <w:szCs w:val="14"/>
                <w:color w:val="auto"/>
              </w:rPr>
              <w:t>14,800</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18,600</w:t>
            </w:r>
          </w:p>
        </w:tc>
        <w:tc>
          <w:tcPr>
            <w:tcW w:w="1120" w:type="dxa"/>
            <w:vAlign w:val="bottom"/>
            <w:gridSpan w:val="3"/>
          </w:tcPr>
          <w:p>
            <w:pPr>
              <w:jc w:val="right"/>
              <w:ind w:right="28"/>
              <w:spacing w:after="0"/>
              <w:rPr>
                <w:sz w:val="20"/>
                <w:szCs w:val="20"/>
                <w:color w:val="auto"/>
              </w:rPr>
            </w:pPr>
            <w:r>
              <w:rPr>
                <w:rFonts w:ascii="Arial" w:cs="Arial" w:eastAsia="Arial" w:hAnsi="Arial"/>
                <w:sz w:val="14"/>
                <w:szCs w:val="14"/>
                <w:color w:val="auto"/>
              </w:rPr>
              <w:t>9,900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4,800</w:t>
            </w:r>
          </w:p>
        </w:tc>
        <w:tc>
          <w:tcPr>
            <w:tcW w:w="1120" w:type="dxa"/>
            <w:vAlign w:val="bottom"/>
            <w:gridSpan w:val="3"/>
          </w:tcPr>
          <w:p>
            <w:pPr>
              <w:jc w:val="right"/>
              <w:ind w:right="48"/>
              <w:spacing w:after="0"/>
              <w:rPr>
                <w:sz w:val="20"/>
                <w:szCs w:val="20"/>
                <w:color w:val="auto"/>
              </w:rPr>
            </w:pPr>
            <w:r>
              <w:rPr>
                <w:rFonts w:ascii="Arial" w:cs="Arial" w:eastAsia="Arial" w:hAnsi="Arial"/>
                <w:sz w:val="14"/>
                <w:szCs w:val="14"/>
                <w:color w:val="auto"/>
              </w:rPr>
              <w:t>4,800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w:t>
            </w:r>
          </w:p>
        </w:tc>
        <w:tc>
          <w:tcPr>
            <w:tcW w:w="1120" w:type="dxa"/>
            <w:vAlign w:val="bottom"/>
            <w:gridSpan w:val="3"/>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South Texas: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80" w:type="dxa"/>
            <w:vAlign w:val="bottom"/>
          </w:tcPr>
          <w:p>
            <w:pPr>
              <w:ind w:left="380"/>
              <w:spacing w:after="0"/>
              <w:rPr>
                <w:sz w:val="20"/>
                <w:szCs w:val="20"/>
                <w:color w:val="auto"/>
              </w:rPr>
            </w:pPr>
            <w:r>
              <w:rPr>
                <w:rFonts w:ascii="Arial" w:cs="Arial" w:eastAsia="Arial" w:hAnsi="Arial"/>
                <w:sz w:val="14"/>
                <w:szCs w:val="14"/>
                <w:color w:val="auto"/>
              </w:rPr>
              <w:t>Eagle Ford</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1,600</w:t>
            </w: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128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8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18,600</w:t>
            </w:r>
          </w:p>
        </w:tc>
        <w:tc>
          <w:tcPr>
            <w:tcW w:w="11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26,800</w:t>
            </w:r>
          </w:p>
        </w:tc>
        <w:tc>
          <w:tcPr>
            <w:tcW w:w="114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14,900</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18,600</w:t>
            </w:r>
          </w:p>
        </w:tc>
        <w:tc>
          <w:tcPr>
            <w:tcW w:w="11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9,900</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11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4,800</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1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16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14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12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w:t>
      </w:r>
    </w:p>
    <w:p>
      <w:pPr>
        <w:spacing w:after="0" w:line="98" w:lineRule="exact"/>
        <w:rPr>
          <w:sz w:val="20"/>
          <w:szCs w:val="20"/>
          <w:color w:val="auto"/>
        </w:rPr>
      </w:pPr>
    </w:p>
    <w:p>
      <w:pPr>
        <w:ind w:left="460" w:right="300" w:hanging="330"/>
        <w:spacing w:after="0" w:line="312" w:lineRule="auto"/>
        <w:tabs>
          <w:tab w:leader="none" w:pos="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Approximately 47% of the acreage expiring in the Delaware Basin in the next five years is associated with our Twin Lakes asset area in northern Lea County, New Mexico. We expect to hold or extend portions of certain expiring acreage in the Delaware Basin through our 2020 drilling activities or by paying an additional lease bonus, where applicable.</w:t>
      </w:r>
    </w:p>
    <w:p>
      <w:pPr>
        <w:spacing w:after="0" w:line="48"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2019, our leases are primarily fee and state leases with primary terms of three to five years and federal leases with primary terms of 10 years. We believe that our lease terms are similar to our competitors’ lease terms as they relate to both primary term and royalty interests.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Results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drilling activity for the years ended December 31, 2019, 2018 and 2017</w:t>
      </w:r>
      <w:r>
        <w:rPr>
          <w:rFonts w:ascii="Arial" w:cs="Arial" w:eastAsia="Arial" w:hAnsi="Arial"/>
          <w:sz w:val="16"/>
          <w:szCs w:val="16"/>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Development Wells</w:t>
            </w: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Productive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9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62.0</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118</w:t>
            </w:r>
          </w:p>
        </w:tc>
        <w:tc>
          <w:tcPr>
            <w:tcW w:w="8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8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Exploration Wells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Productive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6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920" w:type="dxa"/>
            <w:vAlign w:val="bottom"/>
            <w:gridSpan w:val="3"/>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88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Dry</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Wells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500"/>
              <w:spacing w:after="0"/>
              <w:rPr>
                <w:sz w:val="20"/>
                <w:szCs w:val="20"/>
                <w:color w:val="auto"/>
              </w:rPr>
            </w:pPr>
            <w:r>
              <w:rPr>
                <w:rFonts w:ascii="Arial" w:cs="Arial" w:eastAsia="Arial" w:hAnsi="Arial"/>
                <w:sz w:val="14"/>
                <w:szCs w:val="14"/>
                <w:color w:val="auto"/>
              </w:rPr>
              <w:t>Productive</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9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75.3</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153</w:t>
            </w:r>
          </w:p>
        </w:tc>
        <w:tc>
          <w:tcPr>
            <w:tcW w:w="88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8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Dry</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deducted from the price received for crude oil and liquids.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or third parties’ processing facilities to extract liquid hydrocarbons from the natural gas. We are then paid for the extracted liquids based on either a negotiated percentage of the proceeds that are generated from the sale of the liquids, or other negotiated pricing arrangements using then-current market pricing less fixed rate processing, transportation and fractionation fees.</w:t>
      </w:r>
    </w:p>
    <w:p>
      <w:pPr>
        <w:spacing w:after="0" w:line="13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prices we receive for our oil and natural gas production fluctuate widely. Factors that, directly or indirectly, cause price fluctuations include the level of demand for oil and natural gas, the actions of the Organization of Petroleum Exporting Countries (“OPEC”), weather conditions, including hurricanes in the Gulf Coast region, oil and natural gas storage levels, transportation capacity constraints, domestic and foreign governmental regulations, price and availability of alternative fuels, political conditions in oil and natural gas producing regions, the domestic and foreign supply of oil and natural gas, the price of foreign imports and overall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maintenance, as well as maintenance and repairs involving our own well operations. These situations, if they occur, curtail our production capabilities and ability to maintain a steady source of revenue. See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prices we receive for our oil and natural gas production often reflect a discount to the relevant benchmark prices, such as the NYMEX West Texas Intermediate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 — 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8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For the years ended December 31, 2019, 2018 and 2017, we had two, four and four significant purchasers that accounted for approximately 67%, 60% and 60%,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w:t>
      </w:r>
    </w:p>
    <w:p>
      <w:pPr>
        <w:spacing w:after="0" w:line="12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endeavor to ensure that title to our properties is in accordance with standards generally accepted in the oil and natural gas industry. While we rely upon the judgment of oil and natural gas lease brokers and/or landmen in ascertaining title for certain leasehold acquisitions, we typically obtain detailed title opinions prior to drilling an oil and natural gas well. Some of our acreage is subject to agreements that require the drilling of wells or the undertaking of other exploratory or development activities in order to retain our interests in the acreage. Our title to these contractual interests may be contingent upon our satisfactory fulfillment of such obligations. Some of our properties are also subject to customary royalty interests, liens incident to financing arrangements, operating agreements, taxes and other similar burdens that we believe will not materially interfere with the use and operation of these properties or affect the value thereof. Generally, we intend to conduct operations, make lease rental payments or produce oil and natural gas from wells in paying quantities, where required, prior to expiration of various time periods in order to avoid lease termination. See “Risk Factors — We May Incur Losses or Costs as a Result of Title Deficiencies in the Properties in Which We Invest.”</w:t>
      </w:r>
    </w:p>
    <w:p>
      <w:pPr>
        <w:spacing w:after="0" w:line="7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 — Because Our Reserves and Production Are Concentrated in a Few Core Areas, Problems in Production and Markets Relating to a Particular Area Could Have a Material Impact on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oil and natural gas industry is highly competitive. We compete with major and independent oil and natural gas companies for exploration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salt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competes with other midstream companies that provide similar services in its areas of operations, and such companies may have legacy relationships with producers in those areas and may have a longer history of efficiency and reliability.</w:t>
      </w:r>
    </w:p>
    <w:p>
      <w:pPr>
        <w:spacing w:after="0" w:line="7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pacing w:after="0" w:line="6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ability to drill and explore for oil and natural gas, to acquire properties and to provide competitive midstream services will depend upon our ability to conduct operations, to evaluate and select suitable properties and to consummate transactions in this highly competitive environment. In addition, many of our competitors may have a longer history of operations.</w:t>
      </w:r>
    </w:p>
    <w:p>
      <w:pPr>
        <w:spacing w:after="0" w:line="7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oil and natural gas industry also competes with other energy-related industries in supplying the energy and fuel requirements of industrial, commercial and individual consumers. See “Risk Factors — Competition in the Oil and Natural Gas Industry Is Intense, Making It More Difficult for Us to Acquire Properties, Market Oil and Natural Gas, Provide Midstream Services and Secure Trained Personnel.”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Natural Gas Regulation</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7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Texas, New Mexico, Louisiana and many other states require permits for drilling operations, drilling bonds and reports concerning operations and impose other requirements relating to the exploration, development and production of oil and natural gas. Many states also have laws, rules and regulations addressing conservation of oil and natural gas and other matters, including provisions for the unitization or pooling of oil and natural gas properties, the establishment of maximum rates of production from wells, the regulation of well spacing, the surface use and restoration of properties upon which wells are drilled, the prohibition, restriction or limitation of venting or flaring natural gas, the sourcing and disposal of water used and produced in the drilling and completion process and the plugging and abandonment of wells. While not presently the case in the states in which we operate, some states restrict production to the market demand for oil and natural gas or prescribe ceiling prices for natural gas sold within their boundaries. Additionally, some regulatory agencies have, from time to time, imposed price controls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limitations on production by restricting the rate of flow of oil and natural gas wells below natural production capacity in order to conserve supplies of oil and natural gas. Moreover, each state generally imposes a production or severance tax with respect to the production and sale of oil, natural gas and NGLs within its jurisdiction.</w:t>
      </w:r>
    </w:p>
    <w:p>
      <w:pPr>
        <w:spacing w:after="0" w:line="7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See “Risk Factors — Approximately 26% of Our Leasehold and Mineral Acres in the Delaware Basin Are Located on Federal Lands, Which Are Subject to Administrative Permitting Requirements and Potential Federal Legislation, Regulation and Orders That May Limit or Restrict Oil and Natural Gas Operations on Federal Lands.”</w:t>
      </w:r>
    </w:p>
    <w:p>
      <w:pPr>
        <w:spacing w:after="0" w:line="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believed, as of February 25, 2020, that the natural gas pipelines in our gathering systems met the traditional tests FERC has used to establish a pipeline’s status as a gatherer not subject to FERC jurisdiction. In December 2018, San Mateo placed into service the Rustler Breaks Oil Pipeline System following an open season to gauge shipper interest in committed crude oil interstate transportation service on the Rustler Breaks Oil Pipeline System earlier in 2018. The Rustler Breaks Oil Pipeline System, which is subject to FERC jurisdiction, includes approximately 17 miles of 10-inch diameter crude oil gathering and transportation pipelines from origin points in Eddy County, New Mexico to an interconnect with Plains Pipeline, L.P. We believed, as of February 25, 2020, that the other crude oil pipelines in our gathering systems meet the traditional tests FERC has used to establish a pipeline’s status as an intrastate facility not subject to FERC jurisdiction.</w:t>
      </w:r>
    </w:p>
    <w:p>
      <w:pPr>
        <w:spacing w:after="0" w:line="8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5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8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As mentioned above, in December 2018, San Mateo placed into service the Rustler Breaks Oil Pipeline System. The Rustler Breaks Oil Pipeline System is subject to regulation by FERC under the ICA and the Energy Policy Act of 1992 (the “EP Act”). The ICA and its implementing regulations give FERC authority to regulate the rates charged for service on interstate common carrier pipelines and generally require the rates and practices of interstate crude oil pipelines to be just, reasonable, not unduly discriminatory and not unduly preferential. The ICA also requires tariffs that set forth the rates an interstate crude oil pipeline company charges for providing transportation services on its FERC-jurisdictional pipelines, as well as the rules and regulations governing these services, to be maintained on file with FERC and posted publicly. The EP Act and its implementing regulations also generally allow interstate crude oil pipelines to annually index their rates up to a prescribed ceiling level and require that such pipelines index their rates down to the prescribed ceiling level if the index is negative.</w:t>
      </w:r>
    </w:p>
    <w:p>
      <w:pPr>
        <w:spacing w:after="0" w:line="8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6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2007, the Energy Independence &amp; Security Act of 2007 (the “EISA”) went into effect. The EISA, among other things, prohibits market manipulation by any person in connection with the purchase or sale of crude oil, gasoline or petroleum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distillates at wholesale in contravention of such rules and regulations that the Federal Trade Commission may prescribe, directs the Federal Trade Commission to enforce the regulations and establishes penalties for violations thereunder.</w:t>
      </w:r>
    </w:p>
    <w:p>
      <w:pPr>
        <w:spacing w:after="0" w:line="6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Pipeline and Hazardous Materials Safety Administration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 Department of Transportation, through PHMSA, has established rules regarding integrity management programs for interstate oil pipelines, including the Rustler Breaks Oil Pipeline System. In recent years, pursuant to these laws and the Pipeline Safety, Regulatory Certainty, and Job Creation Act of 2011,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On January 13, 2017, PHMSA issued, but did not publish, a similar proposed rule for hazardous liquids (i.e., oil) pipelines and gathering lines. It is unclear when or if this rule will go into effect as, on January 20, 2017, the Trump administration requested that all regulations that had been sent to the Office of the Federal Register, but not yet published, be immediately withdrawn for further review. In addition, states have adopted regulations, similar to existing PHMSA regulations, for intrastate gathering and transmission lines. See “Risk Factors — We May Incur Significant Costs and Liabilities Resulting from Compliance with Pipeline Safety Regulations.”</w:t>
      </w:r>
    </w:p>
    <w:p>
      <w:pPr>
        <w:spacing w:after="0" w:line="7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Additional expansion of pipeline safety requirements or our operations could subject us to more stringent or costly safety standards, which could result in increased operating costs or operational delays.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 Federal and State Taxation</w:t>
      </w:r>
    </w:p>
    <w:p>
      <w:pPr>
        <w:spacing w:after="0" w:line="11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In January 2019, a bill was introduced in the New Mexico Senate to add a surtax on natural gas processors that would start at $0.60 per MMBtu in 2020 and escalate to $3.00 per MMBtu by 2024. If passed, such a surtax would adversely affect the ability of San Mateo and other natural gas processors to operate in New Mexico and would adversely affect the prices we receive for our natural gas processed in New Mexico. In addition, from time to time there has been a significant amount of discussion by legislators and presidential administrations concerning a variety of energy tax proposals, including proposals that would eliminate allowing small U.S. oil and natural gas companies to deduct intangible drilling costs as incurred and percentage depletion. Changes to tax laws could adversely affect our business and our financial results. See “Risk Factors — 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 and “Risk Factors — The Tax Cuts and Jobs Act May Impact Our Ability to Fully Utilize Our Interest Expense Deductions and Net Operating Loss Carryovers to Fully Offset Our Taxable Income in Future Periods.”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Hydraulic Fracturing Policies and Procedures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use hydraulic fracturing as a means to maximize the recovery of oil and natural gas in almost every well that we drill and complete. Our engineers responsible for these operations attend specialized hydraulic fracturing training programs taught by industry professionals. Although average drilling and completion costs for each area will vary, as will the cost of each well within a given area, on average approximately one-half to two-thirds of the total well costs for our horizontal wells are attributable to overall completion activities, which are primarily focused on hydraulic fracture treatment operations. These costs are treated in the same way as all other costs of drilling and completion of our wells and are included in and funded through our normal capital expenditure budget. A change to any federal and state laws and regulations governing hydraulic fracturing could impact these costs and adversely affect our business and financial results. See “Risk Factors — Federal and State Legislation and Regulatory Initiatives Relating to Hydraulic Fracturing Could Result in Increased Costs and Additional Operating Restrictions or Delays.”</w:t>
      </w:r>
    </w:p>
    <w:p>
      <w:pPr>
        <w:spacing w:after="0" w:line="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protection of groundwater quality is important to us. We believe that we follow all state and federal regulations and apply industry standard practices for groundwater protection in our operations. These measures are subject to close supervision by state and federal regulators (including the BLM, with respect to federal acreage).</w:t>
      </w:r>
    </w:p>
    <w:p>
      <w:pPr>
        <w:spacing w:after="0" w:line="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Although rare, if the cement and steel casing used in well construction requires remediation, we deal with these problems by evaluating the issue and running diagnostic tools, including cement bond logs and temperature logs, and conducting pressure testing, followed by pumping remedial cement jobs and taking other appropriate remedial measures.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vast majority of our hydraulic fracturing treatments are made up of water and sand or other kinds of man-made proppants. We use major hydraulic fracturing service companies that track and report chemical additives that are used in fracturing operations as required by the appropriate governmental agencies. These service companies fracture stimulate thousands of wells each year for the industry and invest millions of dollars to protect the environment through rigorous safety procedures and also work to develop more environmentally friendly fracturing fluids. We follow safety procedures and monitor all aspects of our fracturing operations in an attempt to ensure environmental protection. We do not pump any diesel in the fluid systems of any of our fracture stimulation procedures.</w:t>
      </w:r>
    </w:p>
    <w:p>
      <w:pPr>
        <w:spacing w:after="0" w:line="8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While current fracture stimulation procedures utilize a significant amount of water, we typically recover less than 10% of this fracture stimulation water before produced salt water becomes a significant portion of the fluids produced. All produced water, including fracture stimulation water, is either recycled or disposed of in permitted and regulated disposal facilities in a way that is designed to avoid any impact to surface waters. Since mid-2015, we have been recycling a portion of our produced salt water in certain of our Delaware Basin asset areas. Recycling produced salt water mitigates the need for salt water disposal and also provides cost savings to us.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Environmental, Health and Safety Regulation</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The exploration, development, production, gathering and processing of oil and natural gas, including the operation of salt water injection and disposal wells, are subject to various federal, state and local environmental laws and regulations. These laws and regulations can increase the costs of planning, designing, drilling, completing and operating oil and natural gas wells, midstream facilities and salt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(“RCRA”), the Clean Air Act (the “CAA”), the Safe Drinking Water Act (the “SDWA”)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below the rate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6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6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CWA and comparable state laws impose restrictions and strict controls regarding the discharge of produced waters, fill materials and other materials into navigable waters. These controls have become more stringent over the years, and it is possible that additional restrictions will be imposed in the future. Permits are required to discharge pollutants into certain state and federal waters and to conduct construction activities in those waters and wetlands. The CWA and comparable state statutes provide for civil, criminal and administrative penalties for any unauthorized discharges of oil and other pollutants and impose liability for the costs of removal or remediation of contamination resulting from such discharges. In September 2015, a rule issued by the Environmental Protection Agency (the “EPA”) and U.S. Army Corps of Engineers (the “Corps”) to revise the definition of “waters of the United States” (“WOTUS”) for all CWA programs, thereby defining the scope of the EPA’s and the Corps’ jurisdiction, became effective. To the extent the revision expands the scope of jurisdiction of the CWA, we could face increased costs and delays with respect to obtaining permits for dredge and fill activities in wetland areas. However, in June 2017, the EPA and the Corps proposed a rule that would initiate the first step in a two-step process intended to review and revise the definition of WOTUS. Under the proposal, the first step would be to rescind the May 2015 final rule and put back into effect the narrower language defining WOTUS under the CWA that existed prior to the rule. The second step would be a notice-and-comment rule-making in which the agencies would conduct a substantive reevaluation of the definition of WOTUS. In September 2019, the EPA finalized the first step in this process.</w:t>
      </w:r>
    </w:p>
    <w:p>
      <w:pPr>
        <w:spacing w:after="0" w:line="6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CERCLA, also known as the “Superfund” law, imposes liability, without regard to fault or the legality of the original conduct, on various classes of persons that are considered to have contributed to the release of a “hazardous substance” into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8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 as our competitors, to incur increased operating expenses. Hazardous wastes are subject to more stringent and costly disposal requirements than nonhazardous wastes.</w:t>
      </w:r>
    </w:p>
    <w:p>
      <w:pPr>
        <w:spacing w:after="0" w:line="7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See “Risk Factors — New Regulations on All Emissions from Our Operations Could Cause Us to Incur Significant Costs.” 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Federal and state regulatory agencies can impose administrative, civil and criminal penalties for non-compliance with air permits or other requirements of the CAA and associated state laws and regulations.</w:t>
      </w:r>
    </w:p>
    <w:p>
      <w:pPr>
        <w:spacing w:after="0" w:line="61"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recent scientific studies have suggested that emissions of certain gases, commonly referred to as “greenhouse gases,” and including carbon dioxide and methane, may be contributing to the warming of the Earth’s atmosphere. Based on these findings, the EPA has begun adopting and implementing a comprehensive suite of regulations to restrict emissions of greenhouse gases under existing provisions of the CAA.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 — Legislation or Regulations Restricting Emissions of Greenhouse Gases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 — New Regulations on All Emissions from Our Operations Could Cause Us to Incur Significant Costs.”</w:t>
      </w:r>
    </w:p>
    <w:p>
      <w:pPr>
        <w:spacing w:after="0" w:line="75"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SDWA establishes a regulatory framework for underground injection, the primary objective of which is to ensure the mechanical integrity of the injection apparatus and to prevent migration of fluids from the injection zone into underground sources of drinking water.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 For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example, in October 2014, the Texas Railroad Commission (the “TRC”),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 for a disposal well permit fails to demonstrate that the produced water or other fluids are confined to the disposal zone or if scientific data indicates such a disposal well is likely to be, or determined to be, contributing to seismic activity, then the TRC may deny, modify, suspend or terminate the permit application or existing operating permit for that disposal well. The TRC has used this authority to deny permits for waste disposal wells. The potential adoption of federal, state and local legislation and regulations intended to address induced seismicity in the areas in which we operate could restrict our drilling and production activities, as well as our ability to dispose of produced water gathered from such activities, which could result in increased costs and additional operating restrictions or delays.</w:t>
      </w:r>
    </w:p>
    <w:p>
      <w:pPr>
        <w:spacing w:after="0" w:line="74"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Our activities involve the use of hydraulic fracturing. For more information on our hydraulic fracturing operations, see “—Hydraulic Fracturing Policies and Procedures.” Hydraulic fracturing is generally exempted from federal regulation as underground injection (unless diesel is a component of the fracturing fluid) under the SDWA. 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For example, certain candidates seeking the office of the President of the United States in 2020 have pledged to ban hydraulic fracturing. It is possible that any such restrictions on hydraulic fracturing may particularly target activity on federal lands, which could adversely impact our operations in the Delaware Basin. Restrictions on hydraulic fracturing could also reduce the amount of oil and natural gas that we are ultimately able to produce. Some states and localities have placed additional regulatory burdens upon hydraulic fracturing activities and, in some areas, severely restricted or prohibited those activities. In 2019 and 2020, separate bills were introduced in the New Mexico Senate to place a moratorium on hydraulic fracturing. 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If the exemption for hydraulic fracturing is removed from the SDWA, or if other legislation is enacted at the federal, state or local level imposing any restrictions on the use of hydraulic fracturing, this could have a significant impact on our financial condition, results of operations and cash flows. Additional burdens upon hydraulic fracturing, such as reporting or permitting requirements, would result in additional expense and delay in our operations. See “Risk Factors — Federal and State Legislation and Regulatory Initiatives Relating to Hydraulic Fracturing Could Result in Increased Costs and Additional Operating Restrictions or Delays” and “Risk Factors — Approximately 26% of Our Leasehold and Mineral Acres in the Delaware Basin Are Located on Federal Lands, Which Are Subject to Administrative Permitting Requirements and Potential Federal Legislation, Regulation and Orders That May Limit or Restrict Oil and Natural Gas Operations on Federal Lands.”</w:t>
      </w:r>
    </w:p>
    <w:p>
      <w:pPr>
        <w:spacing w:after="0" w:line="8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Oil and natural gas exploration and production operations and other activities have been conducted on some of our properties by previous owners and operators. Materials from these operations remain on some of the properties, and, in some instances, require remediation. In addition, we occasionally must agree to indemnify sellers of producing properties against some of the liability for environmental claims associated with the properties we purchase. While we do not believe that costs we incur for compliance with environmental regulations and remediating previously or currently owned or operated properties will be material, we cannot provide any assurances that these costs will not result in material expenditures that adversely affect our profitability.</w:t>
      </w:r>
    </w:p>
    <w:p>
      <w:pPr>
        <w:spacing w:after="0" w:line="5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Additionally, 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 Moreover, we will be able to control directly the operations of only those wells we operate. Despite our lack of control over wells owned partly by us but operated by others, the failure of the operator to comply with the applicable environmental regulations may, in certain circumstances, be attributable to us.</w:t>
      </w:r>
    </w:p>
    <w:p>
      <w:pPr>
        <w:spacing w:after="0" w:line="5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212529"/>
        </w:rPr>
        <w:t>We are subject to laws and regulations governing the security of hazardous materials under the Federal Homeland Security Act of 2002, as administered by the Department of Homeland Security (the “DHS”). The DHS promulgated the Chemical Facility Anti-Terrorism Standards to identify and secure chemical facilities that present the greatest security risk using a risk-based tiering structure. Due to the composition of the product it processes, the Black River Processing Plant was required to register with the DHS. We have submitted the required “Top-Screen” survey to the DHS and are awaiting its review by the DHS. We expect to continue to incur costs associated with administrative controls and enhanced physical security measures for the Black River Processing Plant if it is designated as a tiered facility by the DHS.</w:t>
      </w:r>
    </w:p>
    <w:p>
      <w:pPr>
        <w:spacing w:after="0" w:line="85"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The Endangered Species Act (the “ESA”) was established to protect endangered and threatened species. Pursuant to the ESA, if a species is listed as threatened or endangered, restrictions may be imposed on activities adversely affecting that species’ habitat. Similar protections are offered to migratory birds under the Migratory Bird Treaty Act. The U.S. Fish and Wildlife Service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See “Risk Factors</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We Are Subject to Government Regulation and Liability, Including Complex Environmental Laws, Which Could Require Significant Expenditures.” Our ability to maximize production from our leases may be adversely impacted by these restrictions.</w:t>
      </w:r>
    </w:p>
    <w:p>
      <w:pPr>
        <w:spacing w:after="0" w:line="76"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Approximately 26% of our Delaware Basin acreage position, including all of the BLM Acquisition, consists of federal leasehold administered by the BLM. Permitting for oil and natural gas activities on federal lands can take significantly longer than the permitting process for oil and natural gas activities not located on federal lands. Delays in obtaining necessary permits can disrupt our operations and have an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Oil and natural gas exploration and production activities on federal lands are also subject to the National Environmental Policy Act (“NEPA”). NEPA requires federal agencies, including the Department of Interior, to evaluate major agency actions having the potential to significantly impact the environment. In the course of such evaluations, an agency will prepare an environmental assessment that assesses the potential direct, indirect and cumulative impacts of a proposed project and, if necessary, will prepare a more detailed environmental impact statement that may be made available for public review and comment. This process has the potential to delay or even halt development of future oil and natural gas projects with NEPA applicability.</w:t>
      </w:r>
    </w:p>
    <w:p>
      <w:pPr>
        <w:spacing w:after="0" w:line="6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See “Risk Factors — We Are Subject to Government Regulation and Liability, Including Complex Environmental Laws, Which Could Require Significant Expenditures.”</w:t>
      </w:r>
    </w:p>
    <w:p>
      <w:pPr>
        <w:spacing w:after="0" w:line="6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w:t>
      </w:r>
    </w:p>
    <w:p>
      <w:pPr>
        <w:spacing w:after="0" w:line="85"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 — Insurance Against All Operational Risks is Not Available to 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Lease</w:t>
      </w:r>
    </w:p>
    <w:p>
      <w:pPr>
        <w:spacing w:after="0" w:line="121"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Our corporate headquarters are located at One Lincoln Centre, 5400 LBJ Freeway, Suite 1500, Dallas, Texas 75240. See Note 4 to the consolidated financial statements in this Annual Report for more details regarding our office lease. Such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At December 31, 2019, we had 304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Our Internet website address is </w:t>
      </w:r>
      <w:r>
        <w:rPr>
          <w:rFonts w:ascii="Arial" w:cs="Arial" w:eastAsia="Arial" w:hAnsi="Arial"/>
          <w:sz w:val="16"/>
          <w:szCs w:val="16"/>
          <w:i w:val="1"/>
          <w:iCs w:val="1"/>
          <w:color w:val="auto"/>
        </w:rPr>
        <w:t>www.matadorresources.com</w:t>
      </w:r>
      <w:r>
        <w:rPr>
          <w:rFonts w:ascii="Arial" w:cs="Arial" w:eastAsia="Arial" w:hAnsi="Arial"/>
          <w:sz w:val="16"/>
          <w:szCs w:val="16"/>
          <w:color w:val="auto"/>
        </w:rPr>
        <w:t>. We make available, free of charge, through our website, our Annual Reports on Form 10-K, Quarterly Reports on Form 10-Q, Current Reports on Form 8-K and amendments to those reports, as soon as reasonably practicable after providing such reports to the SEC. Also, the charters of our Audit Committee, Corporate Governance Committee, Executive Committee, Nominating Committee and Strategic Planning and Compensation Committee, our Code of Ethics and Business Conduct for Officers, Directors and Employees and information regarding certain of our ESG initiatives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62"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The prices we receive for the oil and natural gas we produce heavily influence our revenue, profitability, cash flow available for capital expenditures, access to capital, borrowing capacity under our Credit Agreement and future rate of growth. Oil and natural gas are commodities and, therefore, their prices are subject to wide fluctuations in response to relatively minor changes in supply and demand. Historically, the markets for oil and natural gas have been volatile and will likely continue to be volatile in the future. During 2019, the average price of oil was $57.01 per Bbl, based upon the NYMEX West Texas Intermediate oil futures contract price for the earliest delivery date, and the average price of natural gas was $2.53 per MMBtu, based upon the NYMEX Henry Hub natural gas futures contract price for the earliest delivery date. During 2019, oil prices began the year at $45.41 per Bbl, which was the low oil price for 2019, and increased steadily, reaching a high of $66.30 per Bbl in late April. Oil prices declined during the third quarter of 2019 before increasing again during the fourth quarter of 2019 to finish the year at $61.06 per Bbl. In early 2020, oil prices have been particularly volatile, ranging from a high of $65.00 per Bbl in early January to below $45.00 per Bbl in late February. Natural gas prices began 2019 at $2.94 per MMBtu, reached a high of $3.59 per MMBtu in mid-January and declined consistently for several months, reaching a low of $2.07 per MMBtu in early August. Natural gas prices then increased to $2.68 per MMBtu in mid-September before declining again to end 2019 at $2.19 per MMBtu.</w:t>
      </w:r>
    </w:p>
    <w:p>
      <w:pPr>
        <w:spacing w:after="0" w:line="65"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Because we use the full-cost method of accounting, we perform a ceiling test quarterly that may be impacted by declining prices of oil and natural gas. Significant price declines have caused us to recognize full-cost ceiling impairments in the past, and should prices decline significantly again, we may recognize further full-cost ceiling impairments. Such full-cost ceiling impairments reduce the book value of our net tangible assets, retained earnings and shareholders’ equity but do not impact our cash flows from operations, liquidity or capital resources. See “—We May Be Required to Write Down the Carrying Value of Our Proved Properties under Accounting Rules, and These Write-Downs Could Adversely Affect Our Financial Condition.”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prices we receive for our production, and the levels of our production, depend on numerous factors. These factors include, but are not limited to, the following:</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domestic and foreign supply of, and demand for, oil and natural gas;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actions of OPEC and state-controlled oil companies relating to oil price and production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and availability of competitors’ supplies of oil and natural gas;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U.S. dollar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speculative trading of oil and natural gas futures contracts;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proximity and capacity of gathering, processing and transportation systems for oil, natural gas and NGLs and gathering and disposal systems for produced water;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refining capacity;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and availability of alternative fuel 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conditions in or affecting oil and natural gas producing regions or countries, including the United States, the Middle East, South America and Russia;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or global health concerns, including the outbreak of contagious or pandemic diseases, such as the recent coronavirus;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action and civil unrest;</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pressure on, and legislative and regulatory interest within, federal, state and local governments to stop, significantly limit or regulate oil and natural gas operations, including hydraulic fracturing activities;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global oil and natural gas inventories and exploration and production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worldwide economic conditions.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These factors make it difficult to predict future commodity price movements with any certainty. Substantially all of our oil and natural gas sales are made in the spot market or pursuant to contracts based on spot market prices and are not pursuant to long-term fixed price contracts. Further, oil and natural gas prices do not necessarily fluctuate in direct relation to each other.</w:t>
      </w:r>
    </w:p>
    <w:p>
      <w:pPr>
        <w:spacing w:after="0" w:line="73"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Declines in oil or natural gas prices not only reduce our revenue, but could also reduce the amount of oil and natural gas that we can produce economically and could reduce the amount we may borrow under our Credit Agreement. Should oil or natural gas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11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acquisitions or future capital expenditures. The rate of our future growth is dependent, at least in part, on our ability to access capital at rates and on terms we determine to be acceptable.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flows from operations and access to capital are subject to a number of variables, including:</w:t>
      </w:r>
    </w:p>
    <w:p>
      <w:pPr>
        <w:spacing w:after="0" w:line="117"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estimated proved oil and natural gas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oil and natural gas we produce;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prices at which we sell our production;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developing and producing our oil and natural gas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constructing, operating and maintaining our midstream facilities;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third-party customers for our midstream services;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and willingness of banks to lend to us;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access the equity and debt capital markets.</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the possible occurrence of future events, such as decreases in the prices of oil and natural gas, or extended periods of such decreased prices, terrorist attacks, wars or combat peace-keeping missions, financial market disruptions, general economic recessions, oil and natural gas industry recessions, large company bankruptcies, accounting scandals, overstated reserves estimates by major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57"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fund acquisitions, increase our rate of growth, expand our midstream operations, develop our properties or pay for higher service costs,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 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pacing w:after="0" w:line="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Drilling for and Producing Oil and Natural Gas Are Highly Speculative and Involve a High Degree of Operational and Financial Risk, with Many Uncertainties That Could Adversely Affect Our Business.</w:t>
      </w:r>
    </w:p>
    <w:p>
      <w:pPr>
        <w:spacing w:after="0" w:line="62" w:lineRule="exact"/>
        <w:rPr>
          <w:sz w:val="20"/>
          <w:szCs w:val="20"/>
          <w:color w:val="auto"/>
        </w:rPr>
      </w:pPr>
    </w:p>
    <w:p>
      <w:pPr>
        <w:ind w:right="200" w:firstLine="432"/>
        <w:spacing w:after="0" w:line="289" w:lineRule="auto"/>
        <w:rPr>
          <w:sz w:val="20"/>
          <w:szCs w:val="20"/>
          <w:color w:val="auto"/>
        </w:rPr>
      </w:pPr>
      <w:r>
        <w:rPr>
          <w:rFonts w:ascii="Arial" w:cs="Arial" w:eastAsia="Arial" w:hAnsi="Arial"/>
          <w:sz w:val="16"/>
          <w:szCs w:val="16"/>
          <w:color w:val="auto"/>
        </w:rPr>
        <w:t>Exploring for and developing hydrocarbon reserves involves a high degree of operational and financial risk, which precludes us from definitively predicting the costs involved and time required to reach certain objectives. Our drilling locations are in various stages of evaluation, ranging from locations that are ready to drill to locations that will require substantial additional interpretation and approvals before they can be drilled. The budgeted costs of planning, drilling, completing and operating wells may be exceeded and such costs can increase significantly due to various complications that may arise during drilling, completion and operation. Before a well is spud, we may incur significant geological, geophysical and land costs, including seismic costs, which are incurred whether or not a well eventually produces commercial quantities of hydrocarbons, or is drilled at all. Exploration wells bear a much greater risk of loss than development wells. The analogies we draw from available data from other wells, more fully explored locations or producing fields may not be applicable to our drilling locations. If our actual drilling and development costs are significantly more than our estimated costs, we may not be able to continue our operations as proposed and could be forced to modify our drilling plans accordingly.</w:t>
      </w:r>
    </w:p>
    <w:p>
      <w:pPr>
        <w:spacing w:after="0" w:line="5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If we decide to drill a certain location, there is a risk that no commercially productive oil or natural gas reservoirs will be found or produced. We may drill or participate in new wells that are not productive. We may drill or participate 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abandonment of, the well. The productivity and profitability of a well may be negatively affected by a number of additional factors, including the following:</w:t>
      </w:r>
    </w:p>
    <w:p>
      <w:pPr>
        <w:spacing w:after="0" w:line="140"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the prices received for oil and natural gas;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shortages of, or delays in, obtaining equipment, including hydraulic fracturing equipment, and qualified personnel;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drainage of oil and natural gas from our properties by adjacent operators;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existence or magnitude of faults or unanticipated geological features;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or damage to oilfield development and service tools;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accidents, equipment failures or mechanical problems;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title defects of the underlying properties;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severance taxes;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weather conditions that delay drilling activities or cause producing wells to be shut in;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foreign governmental regulations;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to and capacity of gathering, processing and transportation facilities.</w:t>
      </w:r>
    </w:p>
    <w:p>
      <w:pPr>
        <w:spacing w:after="0" w:line="117"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Furthermore, our exploration and production operations involve using some of the latest drilling and completion techniques developed by us, other operators and service providers. Risks that we face while drilling and completing horizontal wells include, but are not limited to, the following:</w:t>
      </w:r>
    </w:p>
    <w:p>
      <w:pPr>
        <w:spacing w:after="0" w:line="38"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landing our wellbore in the desired drilling zone;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running our casing the entire length of the wellbore;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fracture stimulating the planned number of stages;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drilling out the plugs between stages following hydraulic fracturing operations;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wellbore.</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Each of these risks is magnified in wells with longer laterals, which we expect to drill more of in 2020, including 74% with completed lateral lengths of two miles. If we do not drill productive and profitable wells in the future, our business, financial condition, results of operations, cash flows and reserves could be materially and adversely affected.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Are Subject to Operational Hazards and Risks, Which Could Result in Significant Damages and the Loss of Revenue.</w:t>
      </w:r>
    </w:p>
    <w:p>
      <w:pPr>
        <w:spacing w:after="0" w:line="11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are numerous operational hazards inherent in oil and natural gas exploration, development, production, gathering, transportation and processing, including:</w:t>
      </w:r>
    </w:p>
    <w:p>
      <w:pPr>
        <w:spacing w:after="0" w:line="62"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domestic or global health concerns, including the outbreak of contagious or pandemic diseases, such as the recent coronavirus;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blowouts where oil or natural gas flows uncontrolled at a wellhead;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cratering or collapse of the formation;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pipe or cement leaks, failures or casing collapses;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pipelines, processing plants and disposal wells and associated facilities;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fires or explosions;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releases of hazardous substances or other waste materials that cause environmental damage;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pressures or irregularities in formations;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21"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 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5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There are also significant risks associated with the operation of cryogenic natural gas processing plants such as the Black River Processing Plant owned by San Mateo and operated by us. Natural gas and NGLs are volatile and explosive and may include carcinogens. Damage to or improper operation of the Black River Processing Plant could result in an explosion or the discharge of toxic gases, which could result in significant damage claims, interrupt a revenue source and prevent us from processing some or all of the natural gas produced from our wells or third-party wells located in nearby asset areas. Furthermore, if we were unable to process such natural gas, we may be forced to flare natural gas from, or shut in, the affected wells for an indefinite period of time.</w:t>
      </w:r>
    </w:p>
    <w:p>
      <w:pPr>
        <w:spacing w:after="0" w:line="50"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In addition, San Mateo’s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costs to access and transport on these third-party pipelines significantly increase, its profitability could be reduced. If any such increase in costs occurs, if any of these pipelines or other midstream facilities become unable to receive, transport or process product, or if the volumes San Mateo gathers, processes or transports do not meet the product quality requirements of such pipelines or facilities, our and San Mateo’s revenues and cash flows could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Against All Operational Risks is Not Available to Us.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 coverage in the future. As a result, we may not be able to obtain the levels or types of insurance we would otherwise have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spacing w:after="0" w:line="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Because Our Reserves and Production Are Concentrated in a Few Core Areas, Problems in Production and Markets Relating to a Particular Area Could Have a Material Impact on Our Business.</w:t>
      </w:r>
    </w:p>
    <w:p>
      <w:pPr>
        <w:spacing w:after="0" w:line="62"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87% of our total oil and natural gas production for 2019 was attributable to our properties in the Delaware Basin. Since 2016, the vast majority of our capital expenditures have been allocated to the Delaware Basin. We expect that substantially all of our capital expenditures in 2020 will continue to be in the Delaware Basin, with the exception of amounts allocated to limited operations in our South Texas and Haynesville shale positions to maintain and extend leases and to participate in certain non-operated well opportunities.</w:t>
      </w:r>
    </w:p>
    <w:p>
      <w:pPr>
        <w:spacing w:after="0" w:line="5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industry focus on the Delaware Basin may adversely impact our ability to gather, transport and process our oil and natural gas production due to significant competition for access to gathering systems, pipelines, processing facilities and oil, condensate and salt water trucking operations. For example, infrastructure constraints have in the past required, and may in the future require, us to flare natural gas occasionally, decreasing the volumes sold from our wells.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or plant closures for scheduled maintenance. Due to our concentration of properties in the Delaware Basin, we are also particularly exposed to any differential between benchmark prices of oil and natural gas and the wellhead price we receive for our production. See “—An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7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5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Similarly, certain areas of the Eagle Ford shale play are prone to severe tropical weather, such as Hurricane Harvey in August 2017, which caused many operators to shut in production. We experienced minor operational interruptions in our central and eastern Eagle Ford operations as a result of Hurricane Harvey, although future storms might cause more severe damage and interruptions or disrupt our ability to market production from our operating areas, including the Eagle Ford shale and the Delaware Basin.</w:t>
      </w:r>
    </w:p>
    <w:p>
      <w:pPr>
        <w:spacing w:after="0" w:line="7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financial condition, results of operations and cash flows.</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There Is No Guarantee That We Will Be Successful in Optimizing Our Spacing, Drilling and Completions Techniques in Order to Maximize Our Rate of Return, Cash Flow from Operations and Shareholder Value.</w:t>
      </w:r>
    </w:p>
    <w:p>
      <w:pPr>
        <w:spacing w:after="0" w:line="6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As we accumulate and process geological and production data, we attempt to create a development plan, including well spacing and completion design, that maximizes our rate of return, cash flow from operations and shareholder value. However, due to many factors, including some beyond our control, there is no guarantee that we will be able to find the optimal plan. Future drilling and completion efforts may impact production from existing wells, and parent-child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6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Multi-Well Pad Drilling May Result in Volatility in Our Operating Results.</w:t>
      </w:r>
    </w:p>
    <w:p>
      <w:pPr>
        <w:spacing w:after="0" w:line="11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utilize multi-well pad drilling where practical. Because wells drilled on a pad are not produced until other wells being drilled on the pad at the same time are drilled and completed and the drilling rig is moved from the location,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challenging in project development areas. Managing capital expenditures for infrastructure expansion could cause economic constraints when considering design capacity.</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May Not Be Able to Generate Sufficient Cash to Service All of Our Indebtedness and May Be Forced to Take Other Actions to Satisfy Our Obligations under Applicable Debt Instruments, Which May Not Be Successful.</w:t>
      </w:r>
    </w:p>
    <w:p>
      <w:pPr>
        <w:spacing w:after="0" w:line="62"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3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If our cash flows and capital resources are insufficient to fund debt service obligations, we may be forced to reduce or delay investments and capital expenditures, sell assets, seek additional capital or restructure or refinance indebtedness. Our ability to restructure or refinance indebtedness will depend on the condition of the capital markets and our financial condition at such time. Any refinancing of indebtedness could be at higher interest rates and may require us to comply with more onerous covenants, which could further restrict business operations. The terms of existing or future debt instruments may restrict us from adopting some of these alternatives. In addition, any failure to make payments of interest and principal on outstanding indebtedness on a timely basis would likely result in a reduction of our credit rating, which could harm our ability to incur additional indebtedness. In the absence of sufficient cash flows and capital resources, we could face substantial liquidity problems and might be required to dispose of material assets or operations to meet debt service and other obligations. Our Credit Agreement, the San Mateo Credit Facility and the indenture governing our outstanding senior notes currently restrict our ability to dispose of assets and our use of the proceeds from such disposition. We may not be able to consummate those dispositions, and the proceeds of any such disposition may not be adequate to meet any debt service obligations then due. These alternative measures may not be successful and may not permit us to meet scheduled debt service obligations, which could have a material adverse effect on our financial condition and results of operations.</w:t>
      </w:r>
    </w:p>
    <w:p>
      <w:pPr>
        <w:spacing w:after="0" w:line="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May Incur Additional Indebtedness, Which Could Reduce Our Financial Flexibility, Increase Interest Expense and Adversely Impact Our Operations and Our Unit Costs.</w:t>
      </w:r>
    </w:p>
    <w:p>
      <w:pPr>
        <w:spacing w:after="0" w:line="6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As of February 28, 2020, the maximum facility amount under the Credit Agreement was $1.5 billion, the borrowing base was $900.0 million and our elected borrowing commitment was $700.0 million. Borrowings under the Credit Agreement are limited to the lowest of the borrowing base, maximum facility amount and elected borrowing commitment. At February 28, 2020, we had available borrowing capacity of approximately $399.0 million under our Credit Agreement (after giving effect to outstanding letters of credit). Our borrowing base is determined semi-annually by our lenders based primarily 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 is subject to periodic redeterminations, if a redetermination resulted in a borrowing base that is less than our borrowings under the Credit Agreement, we would be required to provide additional collateral satisfactory in nature and value to the lenders to increase the borrowing base to an amount sufficient to cover such excess or repay the deficit in equal installments over a period of six months. If we are required to do so, we may not have sufficient funds to fully make such repayments.</w:t>
      </w:r>
    </w:p>
    <w:p>
      <w:pPr>
        <w:spacing w:after="0" w:line="85"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As of February 25, 2020, the facility amount under the San Mateo Credit Facility was $375.0 million, and San Mateo I had available borrowing capacity of approximately $70.8 million (after giving effect to outstanding letters of credit). The San Mateo Credit Facility includes an accordion feature, which could expand the commitments of the lenders to up to $400.0 million. The San Mateo Credit Facility is non-recourse with respect to Matador and its wholly-owned subsidiaries, as well as San Mateo II and its subsidiaries, but is guaranteed by San Mateo I’s subsidiaries and secured by substantially all of San Mateo I’s assets, including real property. The San Mateo Credit Facility contains covenants restricting San Mateo I’s ability to incur additional indebtedness, sell assets, pay dividends and make certain investments.</w:t>
      </w:r>
    </w:p>
    <w:p>
      <w:pPr>
        <w:spacing w:after="0" w:line="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the future, subject to the restrictions in the indenture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high level of indebtedness could affect our operations in several ways, including the following:</w:t>
      </w:r>
    </w:p>
    <w:p>
      <w:pPr>
        <w:spacing w:after="0" w:line="117"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a significant portion of our cash flows to be used for servicing our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right="58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62"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restricting our ability to obtain additional financing in the future for working capital, capital expenditures, acquisitions and general corporate or other purposes; and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risk that we may default on our debt obligations.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The Borrowing Base under Our Credit Agreement Is Subject to Periodic Redetermination, and We Are Subject to Interest Rate Risk under Our Credit Agreement and the San Mateo Credit Facility.</w:t>
      </w:r>
    </w:p>
    <w:p>
      <w:pPr>
        <w:spacing w:after="0" w:line="62"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28, 2020, our borrowing base was $900.0 million, our elected borrowing commitment was $700.0 million and we had $255.0 million in outstanding borrowings under, and approximately $46.0 million in outstanding letters of credit issued pursuant to, the Credit Agreement. As of February 28, 2020, the maximum facility amount under the Credit Agreement was $1.5 billion. Borrowings under the Credit Agreement are limited to the lowest of the borrowing base, maximum facility amount and elected borrowing commitment.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65"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earnings are exposed to interest rate risk associated with borrowings under our Credit Agreement and the San Mateo Credit Facility. Borrowings under the Credit Agreement may be in the form of a base rate loan or a Eurodollar loan. If we borrow funds as a base rate loan, such borrowings will bear interest at a rate equal to the greatest of (i) the prime rate for such day, (ii) the Federal Funds Effective Rate (as defined in the Credit Agreement) on such day, plus 0.50%, and (iii) the daily adjusting LIBOR rate (as defined in the Credit Agreement), plus 1.0%, plus, in each case, an amount ranging from 0.25% to 1.25% per annum depending on the level of borrowings under the Credit Agreement. If we borrow funds as a Eurodollar loan, such borrowings will bear interest at a rate equal to (x) the reserve adjusted LIBOR rate (as defined in the Credit Agreement) plus (y) an amount ranging from 1.25% to 2.25% per annum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5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Similarly, borrowings under the San Mateo Credit Facility may be in the form of a base rate loan or a Eurodollar loan. If San Mateo I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0.50% to 1.50% per annum depending on San Mateo I’s Consolidated Total Leverage Ratio (as defined in the San Mateo Credit Facility). If San Mateo I borrows funds as a Eurodollar loan, such borrowings will bear interest at a rate equal to (x) the Adjusted LIBO Rate for the chosen interest period plus (y) an amount ranging from 1.50% to 2.50% per annum depending on San Mateo I’s Consolidated Total Leverage Ratio. If San Mateo I has outstanding borrowings under the San Mateo Credit Facility and interest rates increase, so will San Mateo I’s interest costs, which may have a material adverse effect on San Mateo I’s results of operations and financial condition.</w:t>
      </w:r>
    </w:p>
    <w:p>
      <w:pPr>
        <w:spacing w:after="0" w:line="71"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As noted above, under the Credit Agreement and the San Mateo Credit Facility, borrowings in the form of Eurodollar loans accrue interest based on LIBOR. The use of LIBOR as a global reference rate is expected to be discontinued after 2021. Each of the Credit Agreement and the San Mateo Credit Facility specify that in the event that LIBOR cannot be determined or other conditions exist with respect to LIBOR, a replacement interest rate that gives due consideration to the then-prevailing market convention for determining a rate of interest for syndicated loans in the United States at such time may be established by the respective administrative agents, in consultation with us. If such an event occurs and we are unable to agree upon a replacement interest rate with our respective administrative agents, we could be unable to make borrowings in the form of Eurodollar loans and would have to borrow funds at the higher base rate, which could increase our cost of capital. Furthermore, the overall financial market may be disrupted as a result of the phase-out or replacement of LIBOR. An increase in our cost of capital or a disruption in the financial market could have an adverse effect on our business and financial condition.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The Terms of the Agreements Governing Our Outstanding Indebtedness May Restrict Our Current and Future Operations, Particularly Our Ability to Respond to Changes in Business or to Take Certain Actions.</w:t>
      </w:r>
    </w:p>
    <w:p>
      <w:pPr>
        <w:spacing w:after="0" w:line="62"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Our Credit Agreement, the San Mateo Credit Facility and the indenture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spacing w:after="0" w:line="39"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guarantee additional debt or issue certain types of preferred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on capital stock or redeem, repurchase or retire our capital stock or subordinated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agreements that restrict dividends or other payments from our Restricted Subsidiaries (as defined in the indenture) to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 breach of any of these covenants could result in an event of default under our Credit Agreement, the San Mateo Credit Facility and the indenture governing our outstanding senior notes. For example, our Credit Agreement requires us to maintain a debt to EBITDA ratio, which is defined as debt outstanding (net of up to $50 million of cash or cash equivalents) divided by a rolling four quarter EBITDA calculation, of 4.00 or less. Low oil and natural gas prices or a decline in our oil or natural gas production may adversely impact our EBITDA, cash flows and debt levels, and therefore our ability to comply with this covenant.</w:t>
      </w:r>
    </w:p>
    <w:p>
      <w:pPr>
        <w:spacing w:after="0" w:line="8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Similarly, the San Mateo Credit Facility requires San Mateo I to meet a debt to EBITDA ratio, which is defined as consolidated total funded indebtedness outstanding (as defined in the San Mateo Credit Facility) divided by a rolling four quarter EBITDA calculation, of 5.00 or less, subject to certain exceptions. The San Mateo Credit Facility also requires San Mateo I to maintain an interest coverage ratio, which is defined as a rolling four quarter EBITDA calculation divided by San Mateo I’s consolidated interest expense, of 2.50 or more. Lower revenues as a result of less volumes than anticipated, or otherwise, or an increase in interest rates may adversely impact San Mateo I’s EBITDA and interest expense, and therefore San Mateo I’s ability to comply with these covenants.</w:t>
      </w:r>
    </w:p>
    <w:p>
      <w:pPr>
        <w:spacing w:after="0" w:line="8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 governing our outstanding senior notes is accelerated, there can be no assurance that we will have sufficient assets to repay such indebtedness. The operating and financial restrictions and covenants in these debt agreements and any future financing agreements could adversely affect our ability to finance future operations or capital needs or to engage in other business activities.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Credit Rating May Be Downgraded, Which Could Reduce Our Financial Flexibility, Increase Interest Expense and Adversely Impact Our Operations.</w:t>
      </w:r>
    </w:p>
    <w:p>
      <w:pPr>
        <w:spacing w:after="0" w:line="14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As of February 25, 2020, our corporate credit rating from Standard &amp; Poor’s Rating Services was “B+” and our corporate credit rating from Moody’s Investors Service was “B1.” We cannot assure you that our credit ratings will remain in effect for any given period of time or that a rating will not be lowered or withdrawn entirely by a rating agency if, in its judgment, circumstances so warrant. Any future downgrade could increase the cost of any indebtedness incurred in the future.</w:t>
      </w:r>
    </w:p>
    <w:p>
      <w:pPr>
        <w:spacing w:after="0" w:line="79"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color w:val="auto"/>
        </w:rPr>
        <w:t>Any increase in our financing costs resulting from a credit rating downgrade could adversely affect our ability to obtain additional financing in the future for working capital, capital expenditures,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6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depend upon several significant purchasers for the sale of most of our oil and natural gas production. For the years ended December 31, 2019, 2018 and 2017, we had two, four and four significant purchasers, respectively, that collectively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accounted for approximately 67%, 60% and 60%, respectively, of our total oil, natural gas and NGL revenues. We cannot assure you that we will continue to have ready access to suitable markets for our future production. If we lost one or more of these customers and were unable to sell our production to other customers on terms we consider acceptable, it could materially and adversely affect our business, financial condition, results of operations and cash flows.</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Financial Difficulties Encountered by Our Oil and Natural Gas Purchasers, Third-Party Operators or Other Third Parties Could Decrease Our Cash Flows from Operations and Adversely Affect the Exploration and Development of Our Prospects and Assets.</w:t>
      </w:r>
    </w:p>
    <w:p>
      <w:pPr>
        <w:spacing w:after="0" w:line="6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pacing w:after="0" w:line="64"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Liquidity and cash flow problems encountered by our working interest co-owners or the third-party operators of our non-operated properties may prevent or delay the drilling of a well or the development of a project. Our working interest co-owners may be unwilling or unable to pay their share of the costs of projects as they become due. In the case of a farmout party, we would have to find a new farmout party or obtain alternative funding in order to complete the exploration and development of the prospects subject to a farmout agreement. In the case of a working interest owner, we could be required to pay the working interest owner’s share of the project costs. If we are not able to obtain the capital necessary to fund either of these contingencies or find a new farmout party, our results of operations and cash flows could be negatively affected.</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7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Shortages or the high cost of drilling rigs, completion equipment and services,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including sand and other proppants, and personnel and the services and products of other industry vendors. These costs may increase, and necessary equipment, supplies and services may become unavailable to us at economical prices. 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w:t>
      </w:r>
    </w:p>
    <w:p>
      <w:pPr>
        <w:spacing w:after="0" w:line="5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addition, the demand for hydraulic fracturing services from time to time exceeds the availability of fracturing equipment and crews across the industry and in certain operating areas in particular. The accelerated wear and tear of hydraulic fracturing equipment due to its deployment in unconventional oil and natural gas fields characterized by longer lateral lengths and larger numbers of fracturing stages could further amplify such an equipment and crew shortage. If demand for fracturing services were to increase or the supply of fracturing equipment and crews were to decrease, higher costs or delays in procuring these services could result, which could adversely affect our business, financial condition, results of operations and cash flows.</w:t>
      </w:r>
    </w:p>
    <w:p>
      <w:pPr>
        <w:spacing w:after="0" w:line="5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73"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 to conduct certain operations such as hydraulic fracturing or disposal of waste, including, but not limited to,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all of which could have an adverse effect on our business, financial condition, results of operations and cash flows.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If Regulatory Changes Prevent Our Ability to Continue to Pool Wells in the Manner We Have Been, It Could Have a Material Adverse Impact on Our Future Production Results.</w:t>
      </w:r>
    </w:p>
    <w:p>
      <w:pPr>
        <w:spacing w:after="0" w:line="6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Unless We Replace Our Oil and Natural Gas Reserves, Our Reserves and Production Will Decline, Which Would Adversely Affect Our Business, Financial Condition, Results of Operations and Cash Flows.</w:t>
      </w:r>
    </w:p>
    <w:p>
      <w:pPr>
        <w:spacing w:after="0" w:line="6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primarily on increasing our production and reserves from the Delaware Basin, an area with intense competition and 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73"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Due to our concentration of properties in the Delaware Basin, we are also particularly exposed to any differential between benchmark prices of oil and natural gas and the wellhead price we receive for our production. See “—An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64"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 In addition, if we are unable to market our production we may be required to flare natural gas, which would decrease the volumes sold from our wells, and, in certain circumstances, would require us to pay royalties on such flared natural gas.</w:t>
      </w:r>
    </w:p>
    <w:p>
      <w:pPr>
        <w:spacing w:after="0" w:line="6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disruption of our own or third-party facilities due to maintenance, weather or other factors could negatively impact our ability to market and deliver our oil, natural gas and NGLs. If our costs to access and transport on these pipelines significantly increase, our profitability could be reduced. Third parties control when or if their facilities are restored and what prices will be charged. In the past, we have experienced pipeline and natural gas processing interruptions and capacity and infrastructure constraints associated with natural gas production, which has, among other things, required us to flare natural gas occasionally. While we have entered into natural gas processing and transportation agreements covering the anticipated natural gas production from a significant portion of our Delaware Basin acreage in Southeast New Mexico and West Texas, no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assurance can be given that these agreements will alleviate these issues completely, and we may be required to pay deficiency payments under such agreements if we do not meet the gathering, disposal or processing commitments, as applicable. We may experience similar interruptions and processing capacity constraints as we continue to explore and develop our Wolfcamp, Bone Spring and other liquids-rich plays in the Delaware Basin in 2020. If we were required to shut in our production or flare our natural gas for long periods of time due to pipeline interruptions or lack of processing facilities or capacity of these facilities, it could have a material adverse effect on our business, financial condition, results of operations and cash flows.</w:t>
      </w:r>
    </w:p>
    <w:p>
      <w:pPr>
        <w:spacing w:after="0" w:line="1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6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own and operate substantially all of our midstream assets in the Delaware Basin through San Mateo, and we may enter into other joint venture arrangements in the future. The nature of a joint venture requires us to share a portion of control with unaffiliated third parties. If our joint venture partners do not fulfill their contractual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San Mateo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financial condition, results of operations and cash flows.</w:t>
      </w:r>
    </w:p>
    <w:p>
      <w:pPr>
        <w:spacing w:after="0" w:line="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Because of the Natural Decline in Production in the Regions of San Mateo’s Midstream Operations, San Mateo’s Long-Term Success Depends on its Ability to Obtain New Sources of Products, Which Depends on Certain Factors Beyond San Mateo’s Control. Any Decrease in Supplies to its Midstream Facilities Could Adversely Affect San Mateo’s Business and Operating Results.</w:t>
      </w:r>
    </w:p>
    <w:p>
      <w:pPr>
        <w:spacing w:after="0" w:line="7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San Mateo’s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gathering systems and the utilization rate at its other midstream facilities, San Mateo must continually obtain new sources of products. San Mateo’s ability to obtain additional sources of oil, natural gas, NGLs and produced water depends, in part, on the level of successful drilling and production activity near its gathering and transportation systems and other midstream facilities. San Mateo has no control over the level of third-party activity in the areas of its operations, the amount of reserves associated with the wells or the rate at which production from a well will decline. In addition, San Mateo has no control over third-party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6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From time to time, we have entered into and may in the future enter into certain oil, natural gas or salt water gathering or transportation agreements, natural gas processing agreements, salt water disposal agreements or similar commercial arrangements with midstream companies, including San Mateo. Certain of these agreements require us to meet minimum volume commitments, often regardless of actual throughput. Lower commodity prices may lead to reductions in our drilling program, which may result in insufficient production to fulfill our obligations under these agreements. As of December 31, 2019, our long-term contractual obligations under agreements with minimum volume commitments totaled approximately $1.2 billion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Own All of the Land on Which Our Midstream Assets Are Located, Which Could Disrupt Our Operations.</w:t>
      </w:r>
    </w:p>
    <w:p>
      <w:pPr>
        <w:spacing w:after="0" w:line="11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Construction of Midstream Projects Subjects Us to Risks of Construction Delays, Cost Over-Runs, Limitations on Our Growth and Negative Effects on Our Financial Condition, Results of Operations, Cash Flows and Liquidity.</w:t>
      </w:r>
    </w:p>
    <w:p>
      <w:pPr>
        <w:spacing w:after="0" w:line="62"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From time-to-time, we, through San Mateo or otherwise, plan and construct midstream projects, some of which may take a number of months before commercial operation, such as construction of oil, natural gas and water gathering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and financial condition. The construction of salt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7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i w:val="1"/>
          <w:iCs w:val="1"/>
          <w:color w:val="auto"/>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16"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63" w:lineRule="exact"/>
        <w:rPr>
          <w:sz w:val="20"/>
          <w:szCs w:val="20"/>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and quantity of available data;</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interpretation of that data;</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of the persons preparing the estimate;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accuracy of the assumptions used.</w:t>
      </w:r>
    </w:p>
    <w:p>
      <w:pPr>
        <w:spacing w:after="0" w:line="11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accuracy of any estimates of proved oil and natural gas reserves generally increases with the length of production history. Due to the limited production history of many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6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The Calculated Present Value of Future Net Revenues from Our Proved Oil and Natural Gas Reserves Will Not Necessarily Be the Same as the Current Market Value of Our Estimated Oil and Natural Gas Reserves.</w:t>
      </w:r>
    </w:p>
    <w:p>
      <w:pPr>
        <w:spacing w:after="0" w:line="6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62"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prices we receive for oil and natural gas;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costs and timing of development and production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actual production;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governmental regulations or taxation.</w:t>
      </w:r>
    </w:p>
    <w:p>
      <w:pPr>
        <w:spacing w:after="0" w:line="117"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In addition, the 10% discount factor that is required to be used to calculate discounted future net revenues for reporting purposes under U.S. generally accepted accounting principles (“GAAP”) is not necessarily the most appropriate discount factor based on the cost of capital in effect from time to time and risks associated with our business and the oil and natural gas industry in general.</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Approximately 58% of Our Total Proved Reserves at December 31, 2019 Consisted of Undeveloped and Developed Non-Producing Reserves, and Those Reserves May Not Ultimately Be Developed or Produced.</w:t>
      </w:r>
    </w:p>
    <w:p>
      <w:pPr>
        <w:spacing w:after="0" w:line="62"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At December 31, 2019, approximately 58% of our total proved reserves were undeveloped and less than 1%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Identified Drilling Locations Are Scheduled over Several Years, Making Them Susceptible to Uncertainties That Could Materially Alter the Occurrence or Timing of Their Drilling.</w:t>
      </w:r>
    </w:p>
    <w:p>
      <w:pPr>
        <w:spacing w:after="0" w:line="62"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become increasingly common in the Delaware Basin, we will have to cooperate with other operators to ensure that our acreage is included in drilling units or otherwise developed. 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pacing w:after="0" w:line="5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Certain of Our Unproved and Unevaluated Acreage Is Subject to Leases That Will Expire over the Next Several Years Unless Production Is Established on Units Containing the Acreage.</w:t>
      </w:r>
    </w:p>
    <w:p>
      <w:pPr>
        <w:spacing w:after="0" w:line="62"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At December 31, 2019, we had leasehold interests in approximately 42,400 net acres across all of our areas of interest that are not currently held by production and are subject to leases with primary or renewed terms that expire prior to 2025.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seismic and geological data can be expensive to license or obtain,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Competition in the Oil and Natural Gas Industry Is Intense, Making It More Difficult for Us to Acquire Properties, Market Oil and Natural Gas, Provide Midstream Services and Secure Trained Personnel.</w:t>
      </w:r>
    </w:p>
    <w:p>
      <w:pPr>
        <w:spacing w:after="0" w:line="6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marketing oil and natural gas and securing trained personnel. Similarly, our midstream business, and particularly the success of San Mateo, depends in part on our ability to compete with other midstream service companies to attract third-party customers to our midstream facilities. San Mateo competes with other midstream companies that provide similar services in its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or personnel resources permit. In addition, other companies may be able to offer better compensation packages to attract and retain qualified personnel than we are able to offer. The cost to attract and retain qualified personnel has increased in recent years due to competition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Our Competitors May Use Superior Technology and Data Resources That We May Be Unable to Afford or That Would Require a Costly Investment by Us in Order to Compete with Them More Effectively.</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industry is subject to rapid and significant advancements in technology, including the introduction of new products, equipment and services using new technologies and databases. As our competitors use or develop new technologies, we may be placed at a competitive disadvantage, and competitive pressures may force us to implement new technologies at a substantial cost. In addition, many of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Relationships upon Which We May Rely Are Subject to Change, Which May Diminish Our Ability to Conduct Our Operations.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7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 develop our business, we endeavor to use the business relationships of our management, Board of Directors and special Board advisors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Limited Control over Activities on Properties We Do Not Operate.</w:t>
      </w:r>
    </w:p>
    <w:p>
      <w:pPr>
        <w:spacing w:after="0" w:line="117"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are not the operator on some of our properties, particularly in the Haynesville shale. We also have other non-operated acreage positions in Northwest Louisiana,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70"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amount of capital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operator’s expertise and financial resources;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of production of reserves, if any;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of other participants in drilling wells;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selection and implementation or execution of technology.</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 Component of Our Growth May Come through Acquisitions, and Our Failure to Identify or Complete Future Acquisitions Successfully Could Reduce Our Earnings and Hamper Our Growth.</w:t>
      </w:r>
    </w:p>
    <w:p>
      <w:pPr>
        <w:spacing w:after="0" w:line="62"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 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we may be unable to successfully integrate potential acquisitions into our existing operations. The inability to manage the integration of acquisitions effectively could reduce our focus on subsequent acquisitions and current operations, and could negatively impact our results of operations and growth potential. Members of our senior management team may be required to devote considerable amounts of time to the integration process, which will decrease the time they will have to manage our business.</w:t>
      </w:r>
    </w:p>
    <w:p>
      <w:pPr>
        <w:spacing w:after="0" w:line="79"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w:t>
      </w:r>
    </w:p>
    <w:p>
      <w:pPr>
        <w:spacing w:after="0" w:line="5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may engage in bidding and negotiation to complete successful acquisitions. We may be required to alter or increase substantially our capitalization to finance these acquisitions through the use of cash on hand, the issuance of debt or equity securities, the sale of production payments, the sale or joint venture of midstream assets or oil and natural gas producing assets or acreage, the borrowing of funds or otherwise. Our Credit Agreement, the San Mateo Credit Facility and the indenture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We May Purchase Oil and Natural Gas Properties with Liabilities or Risks That We Did Not Know about or That We Did Not Assess Correctly, and, as a Result, We Could Be Subject to Liabilities That Could Adversely Affect Our Results of Operations.</w:t>
      </w:r>
    </w:p>
    <w:p>
      <w:pPr>
        <w:spacing w:after="0" w:line="6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Before acquiring oil and natural gas properties, we assess the potential reserves, future oil and natural gas prices, operating costs, potential environmental liabilities and other factors relating to the properties. However, our review involves many assumptions and estimates, and their accuracy is inherently uncertain. As a result, we may not discover all existing or potential problems associated with the properties we buy. We may not become sufficiently familiar with the properties to assess fully their deficiencies and capabilities. We do not generally perform inspections on every well or property, and we may not be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able to observe mechanical and environmental problems even when we conduct an inspection. The seller may not be willing or financially able to give us contractual protection against any identified problems, and we may decide to assume environmental and other liabilities in connection with properties we acquire. If we acquire properties with risks or liabilities we did not know about or that we did not assess correctly, our financial condition, results of operations and cash flows could be adversely affected as we settle claims and incur cleanup costs related to these liabilities.</w:t>
      </w:r>
    </w:p>
    <w:p>
      <w:pPr>
        <w:spacing w:after="0" w:line="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Our Ability to Complete Dispositions of Assets, or Interests in Assets, May Be Subject to Factors Beyond Our Control, and in Certain Cases We May Be Required to Retain Liabilities for Certain Matters.</w:t>
      </w:r>
    </w:p>
    <w:p>
      <w:pPr>
        <w:spacing w:after="0" w:line="62"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Losses or Costs as a Result of Title Deficiencies in the Properties in Which We Invest.</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an examination of the title history of a property that we have purchased reveals an oil and natural gas lease has been purchased in error from a person who is not the mineral interest owner or if the property has other title deficiencies, our interest would likely be worth less than what we paid or may be worthless. In such an instance, all or part of the amount paid for such oil and natural gas lease as well as all or part of any royalties paid pursuant to the terms of the lease prior to the discovery of the title defect would be lost.</w:t>
      </w:r>
    </w:p>
    <w:p>
      <w:pPr>
        <w:spacing w:after="0" w:line="7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It is not our practice in all acquisitions of oil and natural gas leases, or undivided interests in oil and natural gas leases, to undergo the expense of retaining lawyers to examine the title to the mineral interest to be placed under lease or already placed under lease. Rather, in certain acquisitions we rely upon the judgment of oil and natural gas lease brokers and/or landmen who perform the field work by examining records in the appropriate governmental office before attempting to acquire a lease on a specific mineral interest.</w:t>
      </w:r>
    </w:p>
    <w:p>
      <w:pPr>
        <w:spacing w:after="0" w:line="7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Our failure to cure any title defects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in properties in which we hold an interest, we will suffer a financial loss that could adversely affect our financial condition, results of operations and cash flows.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May Be Required to Write Down the Carrying Value of Our Proved Properties under Accounting Rules, and These Write-Downs Could Adversely Affect Our Financial Condition.</w:t>
      </w:r>
    </w:p>
    <w:p>
      <w:pPr>
        <w:spacing w:after="0" w:line="6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There is a risk that we will be required to write down the carrying value of our oil and natural gas properties when oil or natural gas prices are low or are declining. In addition, non-cash write-downs may occur if we have:</w:t>
      </w:r>
    </w:p>
    <w:p>
      <w:pPr>
        <w:spacing w:after="0" w:line="62"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downward adjustments to our estimated proved reserves;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our estimates of development costs; or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deterioration in our exploration and development results.</w:t>
      </w:r>
    </w:p>
    <w:p>
      <w:pPr>
        <w:spacing w:after="0" w:line="11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Transactions, or the Lack Thereof, May Limit Our Potential Gains and Could Result in Financial Losses.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To manage our exposure to price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w:t>
      </w:r>
    </w:p>
    <w:p>
      <w:pPr>
        <w:spacing w:after="0" w:line="7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8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As of February 25, 2020, we had approximately 45% of our estimated 2020 oil production hedged in addition to oil basis hedges for approximately 65% of our 2020 Delaware Basin oil production. As of February 25, 2020, we had no hedges in place for natural gas or NGLs.</w:t>
      </w:r>
    </w:p>
    <w:p>
      <w:pPr>
        <w:spacing w:after="0" w:line="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An Increase in the Differential between the NYMEX or Other Benchmark Prices of Oil and Natural Gas and the Wellhead Price We Receive for Our Production Could Adversely Affect Our Business, Financial Condition, Results of Operations and Cash Flows.</w:t>
      </w:r>
    </w:p>
    <w:p>
      <w:pPr>
        <w:spacing w:after="0" w:line="6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prices we receive for our oil and natural gas production often reflect a discount to the relevant benchmark prices, such as the NYMEX West Texas Intermediate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7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For the first nine months of 2019, most of our natural gas production from the Delaware Basin was sold based upon prices established at the Waha Hub in far West Texas. The price differential between the Waha Hub index and the Henry Hub index reached highs of greater than $4.00 per MMBtu for a brief period at the end of 2018, but narrowed to between $1.00 and $2.00 per MMBtu at the beginning of 2019 and remained there throughout much of the first quarter. The natural gas basis differentials widened significantly in April 2019 for a short period of time, including a few days when natural gas was being sold at Waha for negative prices as high as ($7.00) to ($9.00) per MMBtu on a daily market basis, resulting, in part, from a number of simultaneous outages and maintenance projects impacting major pipelines in the area. In response to these basis differentials, we temporarily shut in certain high gas-oil ratio wells to mitigate the impact of these negative prices on our results. Despite improving during the second half of 2019, beginning in the fourth quarter, the Waha basis differentials widened further at times, and natural gas prices at the Waha hub were slightly negative on certain days in late December 2019. In early 2020, the outlook for the Waha basis differentials has deteriorated further.</w:t>
      </w:r>
    </w:p>
    <w:p>
      <w:pPr>
        <w:spacing w:after="0" w:line="7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Similarly, much of our oil production from the Delaware Basin was sold based on prices established in Midland, Texas. The price differential between the West Texas Intermediate oil price and the oil price at the Midland Hub, also known as the Midland-Cushing (Oklahoma) differential, was approximately $5.00 per Bbl at the beginning of 2019. This oil price differential narrowed to less than $1.00 per Bbl during the first quarter of 2019 but widened again during the second quarter to levels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121"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experienced at the beginning of the year. The Midland-Cushing (Oklahoma) oil price differential narrowed again in the third quarter of 2019, became positive late in the third quarter and remained positive throughout the fourth quarter of 2019, although it is possible that the differential could become negative again at certain times during 2020. We have limited oil basis hedges in place to mitigate our exposure to these oil price differentials during 2020, 2021 and 2022, and we have no derivative contracts in place to mitigate our exposure to these natural gas price differentials.</w:t>
      </w:r>
    </w:p>
    <w:p>
      <w:pPr>
        <w:spacing w:after="0" w:line="63" w:lineRule="exact"/>
        <w:rPr>
          <w:sz w:val="20"/>
          <w:szCs w:val="20"/>
          <w:color w:val="auto"/>
        </w:rPr>
      </w:pPr>
    </w:p>
    <w:p>
      <w:pPr>
        <w:ind w:right="400" w:firstLine="432"/>
        <w:spacing w:after="0" w:line="312" w:lineRule="auto"/>
        <w:rPr>
          <w:sz w:val="20"/>
          <w:szCs w:val="20"/>
          <w:color w:val="auto"/>
        </w:rPr>
      </w:pPr>
      <w:r>
        <w:rPr>
          <w:rFonts w:ascii="Arial" w:cs="Arial" w:eastAsia="Arial" w:hAnsi="Arial"/>
          <w:sz w:val="16"/>
          <w:szCs w:val="16"/>
          <w:color w:val="auto"/>
        </w:rPr>
        <w:t>These widening oil and natural gas basis differentials are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3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anticipate that the volatility in these oil and natural gas price differentials could persist throughout 2020 or longer until additional oil and natural gas pipeline capacity from West Texas to the Texas Gulf Coast and other end markets is completed. We can provide no assurances as to how long these volatile differentials may persist, and as noted above, these price differentials could widen further in future periods. Should we experience future periods of negative pricing for natural gas as we did during the second quarter of 2019, we may temporarily shut in certain high gas-oil ratio wells and take other actions to mitigate the impact on our realized natural gas prices and results.</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Approximately 26% of Our Leasehold and Mineral Acres in the Delaware Basin Are Located on Federal Lands, Which Are Subject to Administrative Permitting Requirements and Potential Federal Legislation, Regulation and Orders That May Limit or Restrict Oil and Natural Gas Operations on Federal Lands.</w:t>
      </w:r>
    </w:p>
    <w:p>
      <w:pPr>
        <w:spacing w:after="0" w:line="7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At December 31, 2019, Matador held approximately 128,200 net leasehold and mineral acres in the Delaware Basin in Eddy and Lea Counties, New Mexico and in Loving County, Texas, of which approximately 33,000 net acres, or about 26%, were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Delays in obtaining necessary permits can disrupt our operations and have an adverse effect on our business. These BLM leases contain relatively standardized terms and require compliance with detailed regulations and orders, which are subject to change. These operations are also subject to BLM rules regarding engineering and construction specifications for production facilities,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an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Certain candidates seeking the office of the President of the United States in 2020 have proposed a ban of new leases for production of minerals on federal properties, which would also limit our ability to acquire additional federal leasehold. At the federal level, various policy makers, regulatory agencies and political candidates, including presidential candidates,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an adverse impact on our business, financial condition, results of operations and cash flows.</w:t>
      </w:r>
    </w:p>
    <w:p>
      <w:pPr>
        <w:spacing w:after="0" w:line="85"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In the course of such evaluations, an agency will prepare an environmental assessment that assesses the potential direct, indirect and cumulative impacts of a proposed project and, if necessary, will prepare a more detailed environmental impact statement that may be made available for public review and comment. This process has the potential to delay or even halt development of future oil and natural gas projects with NEPA applicability.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Subject to Government Regulation and Liability, Including Complex Environmental Laws, Which Could Require Significant Expenditures.</w:t>
      </w:r>
    </w:p>
    <w:p>
      <w:pPr>
        <w:spacing w:after="0" w:line="129"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exploration, development, production, gathering, processing, transportation and sale of oil and natural gas in the United States are subject to many federal, state and local laws, rules and regulations, including complex environmental laws and regulations. Matters subject to regulation include discharge permits, drilling bonds, reports concerning operations, the spacing of wells, unitization and pooling of properties, taxation, gathering and transportation of oil, natural gas and NGLs, environmental matters and health and safety criteria addressing worker protection. Under these laws and 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business. In addition to expenditures required in order for us to comply with such laws and regulations, expenditures required by such laws and regulations could also include payments for:</w:t>
      </w:r>
    </w:p>
    <w:p>
      <w:pPr>
        <w:spacing w:after="0" w:line="62" w:lineRule="exact"/>
        <w:rPr>
          <w:sz w:val="20"/>
          <w:szCs w:val="20"/>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personal injuries;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containment and clean-up of oil, produced water and other spills;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and disposal of hazardous materials;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remediation, clean-up costs and natural resource damages;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environmental damages.</w:t>
      </w:r>
    </w:p>
    <w:p>
      <w:pPr>
        <w:spacing w:after="0" w:line="11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do not believe that full insurance coverage for all potential damages is available at a reasonable cost. Failure to comply with these laws and regulations may also result in the suspension or termination of our operations and subject us to administrative, civil and criminal penalties, injunctive relief and/or the imposition of investigatory or other remedial obligations. The costs of remedying noncompliance may be significant, and remediation obligations could adversely affect our financial condition, results of operations and leasehold acreage. Laws, rules and regulations protecting the environment have changed frequently and the changes often include increasingly stringent requirements. These laws, rules and regulations may impose liability on us for environmental damage and disposal of hazardous and non-hazardous materials even if we were not negligent or at fault. We may also be found to be liable for the conduct of others or for acts that complied with applicable laws, rules or regulations at the time we performed those acts. These laws, rules and regulations are interpreted and enforced by numerous federal and state agencies. In addition, private parties, including the owners of properties upon which our wells are drilled or our facilities are located, the owners of properties adjacent to or in close proximity to those properties or non-governmental organizations such as environmental groups, may also pursue legal actions against us based on alleged non-compliance with certain of these laws, rules and regulations. For example, a number of lawsuits have been filed in some states alleging that fluid injection or oil and natural gas extraction have caused damage to neighboring properties or otherwise violated state and federal rules regulating waste disposal.</w:t>
      </w:r>
    </w:p>
    <w:p>
      <w:pPr>
        <w:spacing w:after="0" w:line="6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Part of the regulatory environment in which we operate includes, in some cases, federal requirements for obtaining environmental assessments, environmental impact statements and/or plans of development before commencing exploration and production or midstream activities. Oil and natural gas operations in certain of our operating areas can be adversely affected by seasonal or permanent restrictions on drilling activities designed to protect various wildlife. Furthermore, we participate in candidate conservation agreements for the lesser prairie-chicken, the sand dune lizard and the Texas hornshell mussel, pursuant to which we are restricted from operating in certain sensitive locations or at certain times. Participation in such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an adverse impact on our business, financial condition, results of operations and cash flows. See “Business — Regulation.”</w:t>
      </w:r>
    </w:p>
    <w:p>
      <w:pPr>
        <w:spacing w:after="0" w:line="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In addition, there has been a significant amount of discussion by legislators and presidential administrations concerning a variety of energy tax proposals.</w:t>
      </w:r>
    </w:p>
    <w:p>
      <w:pPr>
        <w:spacing w:after="0" w:line="79"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The Tax Cuts and Jobs Act did not include any of these proposals, except for the repeal of the domestic manufacturing tax deduction for oil and natural gas companies. However, it is possible that such provisions could be proposed in the future. The passage of any legislation or any other similar change in U.S. federal income tax law could affect certain tax deductions that are currently available with respect to oil and natural gas exploration and production activities and could negatively impact our financial condition, results of operations and cash flows.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January 2019, a bill was introduced in the New Mexico Senate to add a surtax on natural gas processors that would start at $0.60 per MMBtu in 2020 and escalate to $3.00 per MMBtu by 2024. Although the bill was not passed in 2019, any such surtax would adversely affect the ability of San Mateo and other natural gas processors to operate in New Mexico and would adversely affect the prices we receive for our natural gas processed in New Mexico.</w:t>
      </w:r>
    </w:p>
    <w:p>
      <w:pPr>
        <w:spacing w:after="0" w:line="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Tax Cuts and Jobs Act May Impact Our Ability to Fully Utilize Our Interest Expense Deductions and Net Operating Loss Carryovers to Fully Offset Our Taxable Income in Future Periods.</w:t>
      </w:r>
    </w:p>
    <w:p>
      <w:pPr>
        <w:spacing w:after="0" w:line="6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The Tax Cuts and Jobs Act includes provisions that generally (i) limit our annual deductions for interest expense to no more than 30% of our “adjusted taxable income” (plus 100% of our business interest income) for the year, (ii) permit us to offset only 80% (rather than 100%) of our taxable income with net operating losses we generate and (iii) limit our ability to deduct certain elements of executive compensation. Interest expense and net operating losses subject to these limitations may be carried forward by us for use in later years, subject to these limitations. Additionally, the Tax Cuts and Jobs Act repealed the domestic manufacturing tax deduction for oil and natural gas companies. These tax law changes could have the effect of causing us to incur income tax liability sooner than we otherwise would have incurred such liability or, in certain cases, could cause us to incur income tax liability that we might not have incurred otherwise, in the absence of these tax law changes.</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Federal and State Legislation and Regulatory Initiatives Relating to Hydraulic Fracturing Could Result in Increased Costs and Additional Operating Restrictions or Delays.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Hydraulic fracturing involves the injection of water, sand or other proppants and chemicals under pressure into rock formations to stimulate oil and natural gas production. We routinely use hydraulic fracturing to complete wells in order to produce oil, natural gas and NGLs from formations such as the Wolfcamp and Bone Spring plays, the Eagle Ford shale and the Haynesville shale, where we focus our operations. Hydraulic fracturing has been regulated at the state and local level through permitting and compliance requirements. Federal, state and local laws or regulations targeting various aspects of the hydraulic fracturing process are being considered, or have been proposed or implemented. In past sessions, Congress has considered, but has not passed, legislation to amend the SDWA, to remove the SDWA’s exemption granted to most hydraulic fracturing operations (other than operations using fluids containing diesel) and to require reporting and disclosure of chemicals used by oil and natural gas companies in the hydraulic fracturing process. Also at the federal level, in March 2015, the BLM issued final rules, including new requirements relating to public disclosure, wellbore integrity and handling of flowback water, to regulate hydraulic fracturing on federal and Indian lands. These rules were rescinded by rule in December 2017; however, in January 2018, California and a coalition of environmental groups filed a lawsuit in the Northern District of California to challenge the BLM’s rescission of the rules. This litigation is ongoing and future implementation of the BLM rules is uncertain at this time.</w:t>
      </w:r>
    </w:p>
    <w:p>
      <w:pPr>
        <w:spacing w:after="0" w:line="75"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Various policy makers, regulatory agencies and political candidates at the federal, state and local levels have proposed restrictions on hydraulic fracturing, including its outright prohibition. For example, certain candidates seeking the office of the President of the United States in 2020 have pledged to ban hydraulic fracturing. It is possible that any such restrictions on hydraulic fracturing may particularly target activity on federal lands, which could adversely impact our operations in the Delaware Basin.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in December 2014, New York announced a moratorium on high volume fracturing activities combined with horizontal drilling following the issuance of a study regarding the safety of hydraulic fracturing. Certain communities in Colorado have also enacted bans on hydraulic fracturing. These actions are the subject of legal challenges. Texas and New Mexico have adopted regulations that require the disclosure of information regarding the substances used in the hydraulic fracturing process. In 2019 and 2020, separate bills were introduced in the New Mexico Senate to place a moratorium on hydraulic fracturing. Although such bills have not passed, similar laws, rules, regulations or orders at the local, state or federal level could limit our operations.</w:t>
      </w:r>
    </w:p>
    <w:p>
      <w:pPr>
        <w:spacing w:after="0" w:line="7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8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The Potential Adoption of Federal, State and Local Legislation and Regulations Intended to Address Potential Induced Seismicity in the Areas in Which We Operate Could Restrict Our Drilling and Production Activities, as well as Our Ability to Dispose of Produced Water Gathered from Such Activities, Which Could Decrease San Mateo’s Revenues and Result in Increased Costs and Additional Operating Restrictions or Delays.</w:t>
      </w:r>
    </w:p>
    <w:p>
      <w:pPr>
        <w:spacing w:after="0" w:line="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State and federal regulatory agencies recently have focused on a possible connection between the operation of injection wells used for produced water disposal and the increased occurrence of seismic activity. When caused by human activity, such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events are called “induced seismicity.” Regulatory agencies at all levels are continuing to study the possible link between oil and natural gas activity and induced seismicity. In addition, a number of lawsuits have been filed in some states alleging that fluid injection or oil and natural gas extraction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w:t>
      </w:r>
    </w:p>
    <w:p>
      <w:pPr>
        <w:spacing w:after="0" w:line="8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w:t>
      </w:r>
    </w:p>
    <w:p>
      <w:pPr>
        <w:spacing w:after="0" w:line="7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Increased seismicity in areas in which we operate could result in additional regulation and restrictions on our operations and could lead to operational delays or increased operating costs. Additional regulation and attention given to induced seismicity could also lead to greater opposition, including litigation, to oil and natural gas activities.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dispose of produced water gathered from drilling and production activities could decrease San Mateo’s revenues and result in increased costs and additional operating restrictions or delays.</w:t>
      </w:r>
    </w:p>
    <w:p>
      <w:pPr>
        <w:spacing w:after="0" w:line="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Legislation or Regulations Restricting Emissions of Greenhouse Gases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73"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which set greenhouse gas emission reduction goals, every five years beginning in 2020. In November 2019, the Trump administration formally moved to exit the Paris Agreement, initiating the treaty-mandated one-year process at the end of which the United States can officially exit the agreement. 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The EPA has also finalized regulations targeting new sources of methane emissions from the oil and natural gas industry. However, in June 2017, the EPA proposed a two-year stay of certain requirements under this rule and in August 2019 proposed to eliminate the methane emissions limitations under the rule. Any future international agreements, federal or state laws or implementing regulations that may be adopted to address greenhouse gas emissions could, and in all likelihood would, require us to incur increased operating costs, adversely affecting our profits, and could adversely affect demand for the oil and natural gas we produce, depressing the prices we receive for oil and natural gas.</w:t>
      </w:r>
    </w:p>
    <w:p>
      <w:pPr>
        <w:spacing w:after="0" w:line="6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an interpretative guidance on climate change disclosures, the SEC indicated that climate change could have an effect on the severity of weather (including hurricanes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“—If We Are Unable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6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Consequently, legislation and regulatory programs to reduce emissions of greenhouse gases could have an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Additionally, the threat of climate change has resulted in increasing political risk in the United States as various policy makers, regulatory agencies and political candidates at the federal, state and local levels, including candidates seeking the office of the President of the United States in 2020, have proposed bans of new leases for production of minerals on federal properties and various restrictions on hydraulic fracturing, including its outright prohibition. Any such restrictions or prohibitions, if enacted, could have an adverse impact on our business, financial condition, results of operations and cash flows. Finally,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Regulations on All Emissions from Our Operations Could Cause Us to Incur Significant Costs.</w:t>
      </w:r>
    </w:p>
    <w:p>
      <w:pPr>
        <w:spacing w:after="0" w:line="11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In recent years, the EPA issued final rules to subject oil and natural gas operations to regulation under the New Source Performance Standards (“NSPS”) and National Emission Standards for Hazardous Air Pollutants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The EPA finalized a more stringent National Ambient Air Quality Standard (“NAAQS”)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our customers’ operations. Generally, it takes states several years to develop compliance plans for their non-attainment areas. In November 2016, the Department of the Interior issued final rules relating to the venting, flaring and leaking of natural gas by oil and natural gas producers who operate on federal and Indian lands. The rules limit routine flaring of natural gas, require the payment of royalties on avoidable natural gas losses and require plans or programs relating to natural gas capture and leak detection and repair. The BLM then finalized a revised rule in 2018 that scaled back the waste-prevention requirements of the 2016 rule. Environmental groups as well as California and New Mexico have sued in federal district court to challenge the legality of aspects of the revised rule, and the outcome of this litigation is currently uncertain. If not withdrawn or significantly revised, these rules are expected to result in an increase to our operating costs and changes in our operations. In addition, several states are pursuing similar measures to regulate emissions of methane from new and existing sources within the oil and natural gas source category. As a result of this continued regulatory focus, future federal and state regulations of the oil and natural gas industry remain a possibility and could result in increased compliance costs for our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and Liabilities Resulting from Compliance with Pipeline Safety Regulations.</w:t>
      </w:r>
    </w:p>
    <w:p>
      <w:pPr>
        <w:spacing w:after="0" w:line="11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is subject to such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PHMSA also recently proposed rulemaking that would expand existing integrity management requirements to natural gas transmission and gathering lines in areas with medium population densities. Additional action by PHMSA with respect to pipeline integrity management requirements may occur in the future. At this time, we cannot predict the cost of such requirements, but they could be significant. Moreover, violations of pipeline safety regulations can result in the imposition of significant penalties.</w:t>
      </w:r>
    </w:p>
    <w:p>
      <w:pPr>
        <w:spacing w:after="0" w:line="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Several states have also passed legislation or promulgated rules to address pipeline safety. Compliance with pipeline integrity laws and other pipeline safety regulations issued by state agencies such as the TRC and the New Mexico Oil Conservation Division could result in substantial expenditures for testing, repairs and replacement. Due to the possibility of new 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 Change in the Jurisdictional Characterization of Some of Our Assets by FERC or a Change in Policy by FERC May Result in Increased Regulation of Our Assets, Which May Cause Our Revenues to Decline and Operating Expenses to Increase.</w:t>
      </w:r>
    </w:p>
    <w:p>
      <w:pPr>
        <w:spacing w:after="0" w:line="62"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In December 2018, San Mateo placed into service the Rustler Breaks Oil Pipeline System, which is subject to FERC jurisdiction and includes crude oil gathering and transportation pipelines from origin points in Eddy County, New Mexico to an interconnect with Plains Pipeline, L.P.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Rates of Our Regulated Assets are Subject to Review and Reporting by Federal Regulators, Which Could Adversely Affect Our Revenues.</w:t>
      </w:r>
    </w:p>
    <w:p>
      <w:pPr>
        <w:spacing w:after="0" w:line="129"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5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In addition, FERC’s ratemaking policies are subject to change and may impact the rates charged and revenues received on the Rustler Breaks Oil Pipeline System and any other natural gas or crude oil pipeline that is determined to be under the jurisdiction of FERC.</w:t>
      </w:r>
    </w:p>
    <w:p>
      <w:pPr>
        <w:spacing w:after="0" w:line="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Should We Fail to Comply with All Applicable FERC-Administered Statutes, Rules, Regulations and Orders, We Could Be Subject to Substantial Penalties and Fines.</w:t>
      </w:r>
    </w:p>
    <w:p>
      <w:pPr>
        <w:spacing w:after="0" w:line="6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Under the Energy Policy Act, FERC has civil penalty authority under the NGA to impose penalties for current violations of up to approximately $1.2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121"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Derivatives Legislation Adopted by Congress Could Have an Adverse Impact on Our Ability to Hedge Risks Associated with Our Business.</w:t>
      </w:r>
    </w:p>
    <w:p>
      <w:pPr>
        <w:spacing w:after="0" w:line="117" w:lineRule="exact"/>
        <w:rPr>
          <w:sz w:val="20"/>
          <w:szCs w:val="20"/>
          <w:color w:val="auto"/>
        </w:rPr>
      </w:pPr>
    </w:p>
    <w:p>
      <w:pPr>
        <w:ind w:right="400" w:firstLine="405"/>
        <w:spacing w:after="0" w:line="302" w:lineRule="auto"/>
        <w:rPr>
          <w:sz w:val="20"/>
          <w:szCs w:val="20"/>
          <w:color w:val="auto"/>
        </w:rPr>
      </w:pPr>
      <w:r>
        <w:rPr>
          <w:rFonts w:ascii="Arial" w:cs="Arial" w:eastAsia="Arial" w:hAnsi="Arial"/>
          <w:sz w:val="16"/>
          <w:szCs w:val="16"/>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w:t>
      </w:r>
    </w:p>
    <w:p>
      <w:pPr>
        <w:spacing w:after="0" w:line="46"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In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2012. However, in 2013, the CFTC proposed new rules that would place limits on positions in certain core futures and equivalent swaps contracts for or linked to certain physical commodities, subject to exceptions for certain bona fide hedging transactions. In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5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7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of these consequences could have a material adverse effect on our business, financial condition and results of operations.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Because of our size, growth in accordance with our business plans, if achieved, will place a significant strain on our financial, technical, operational and management resources. As and when we expand our activities, including our midstream business, through San Mateo or otherwise, there will be additional demands on our financial, technical and management resources. The failure to continue to upgrade our technical, administrative, operating and financial control systems or the occurrence of unexpected expansion difficulties, including the inability to recruit and retain experienced managers, geoscientists, petroleum engineers, landmen, midstream professionals, attorneys and financial and accounting professionals, could have a material adverse effect on our business, financial condition, results of operations and cash flows and our ability to execute our business plan in a timely fashion.</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Our Success Depends, to a Large Extent, on Our Ability to Retain Our Key Personnel, Including Our Chairman and Chief Executive Officer, Management and Technical Team, the Members of Our Board of Directors and Our Special Board Advisors, and the Loss of Any Key Personnel, Board Member or Special Board Advisor Could Disrupt Our Business Operations.</w:t>
      </w:r>
    </w:p>
    <w:p>
      <w:pPr>
        <w:spacing w:after="0" w:line="7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Investors in our common stock must rely upon the ability, expertise, judgment and discretion of our management and the success of our technical team in identifying, evaluating and developing prospects and reserves. Our performance and success are dependent to a large extent on the efforts and continued employment of our management and technical personnel, including our Chairman and Chief Executive Officer, Joseph Wm. Foran. 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 if they are not adequately replaced, our business operations could be adversely affected. With the exception of Mr. Foran, we do not maintain, nor do we plan to obtain, any insurance against the loss of any of these individuals.</w:t>
      </w:r>
    </w:p>
    <w:p>
      <w:pPr>
        <w:spacing w:after="0" w:line="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an active Board of Directors that meets at least quarterly throughout the year and is closely involved in our business and the determination of our operational strategies. Members of our Board of Directors work closely with management to identify potential prospects, acquisitions and areas for further development. If any of our directors resign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become unable to continue in their present role, it may be difficult to find replacements with the same knowledge and experience and, as a result, our operations may be adversely affected.</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our Board of Directors consults regularly with our special Board advisors regarding our business and the evaluation, exploration, engineering and development of our prospects and properties. Due to the knowledge and experience of our special advisors, they play a key role in our multi-disciplined approach to making decisions regarding prospects, acquisitions and development. If any of our special advisors resign or become unable to continue in their present role, our operations may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Cyber Incident Could Occur and Result in Information Theft, Data Corruption, Operational Disruption or Financial Loss.</w:t>
      </w:r>
    </w:p>
    <w:p>
      <w:pPr>
        <w:spacing w:after="0" w:line="11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oil and natural gas industry is dependent on digital technologies to conduct certain exploration, development, production, gathering, processing and financial activities. We depend on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supervisory control and data acquisition (SCADA) systems, control important processes and facilities that are critical to our operations. If any of such programs or systems were to fail or create erroneous information in our hardware or software network infrastructure or we were subject to cyberspace breaches, phishing schemes or attacks, possible consequences include financial losses and the inability to engage in any of the aforementioned activities. Any such consequence could have a material adverse effect on our business.</w:t>
      </w:r>
    </w:p>
    <w:p>
      <w:pPr>
        <w:spacing w:after="0" w:line="84" w:lineRule="exact"/>
        <w:rPr>
          <w:sz w:val="20"/>
          <w:szCs w:val="20"/>
          <w:color w:val="auto"/>
        </w:rPr>
      </w:pPr>
    </w:p>
    <w:p>
      <w:pPr>
        <w:ind w:right="260" w:firstLine="432"/>
        <w:spacing w:after="0" w:line="297" w:lineRule="auto"/>
        <w:rPr>
          <w:sz w:val="20"/>
          <w:szCs w:val="20"/>
          <w:color w:val="auto"/>
        </w:rPr>
      </w:pPr>
      <w:r>
        <w:rPr>
          <w:rFonts w:ascii="Arial" w:cs="Arial" w:eastAsia="Arial" w:hAnsi="Arial"/>
          <w:sz w:val="16"/>
          <w:szCs w:val="16"/>
          <w:color w:val="auto"/>
        </w:rPr>
        <w:t>While we have experienced certain phishing schemes and efforts to access our network, we have not experienced any material losses due to cyber incidents. However, we may suffer such losses in the future. If our systems for protecting against cyber incidents prove to be insufficient, we could be adversely affected by unauthorized access to proprietary information, which could lead to data corruption, communication interruption, exposure of our or third parties’ confidential or proprietary information, operational disruptions or financial loss. As cyber threats continue to evolve, we may be required to expend additional resources to continue to modify and enhance our protective systems or to investigate and remediate any vulnerabilities.</w:t>
      </w:r>
    </w:p>
    <w:p>
      <w:pPr>
        <w:spacing w:after="0" w:line="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Operate in a Litigious Environment and May Be Involved in Legal Proceedings That Could Have an Adverse Effect on Our Results of Operations and Financial Condition.</w:t>
      </w:r>
    </w:p>
    <w:p>
      <w:pPr>
        <w:spacing w:after="0" w:line="6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Like many oil and natural gas companies, we are from time to time involved in various legal and other proceedings, such as title, royalty or contractual disputes, regulatory compliance matters and personal injury or property damage matters, in the ordinary course of our business. Such legal proceedings are inherently uncertain and their results cannot be predicted. Regardless of the outcome, such proceedings could have an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Fluctuated Substantially and May Fluctuate Substantially in the Future.</w:t>
      </w:r>
    </w:p>
    <w:p>
      <w:pPr>
        <w:spacing w:after="0" w:line="11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stock price has experienced volatility and could vary significantly as a result of a number of factors. In 2019, our stock price fluctuated between a high of $22.25 and a low of $12.16.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that could affect our stock price or result in fluctuations in the market price or trading volume of our common stock include:</w:t>
      </w:r>
    </w:p>
    <w:p>
      <w:pPr>
        <w:spacing w:after="0" w:line="117"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actual or anticipated operating and financial performance and drilling locations, including oil and natural gas reserves estimates;</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net income per share, net income and cash flows, or those of companies that are perceived to be similar to us;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revenue, cash flows or earnings estimates or publication of reports by equity research analysts;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1"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or consummation of acquisitions, dispositions or joint ventures by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reaction to our operations or plans, press releases, announcements and filings with the SEC;</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publication of research or reports by industry analysts regarding the Company, its competitors or our industry;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the Company, directors, officers or other shareholders, or the perception that such sales may occur;</w:t>
      </w:r>
    </w:p>
    <w:p>
      <w:pPr>
        <w:spacing w:after="0" w:line="117"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financial market conditions and oil and natural gas industry market conditions, including fluctuations in the price of oil, natural gas and NGLs;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domestic or global health concerns, including the outbreak of contagious or pandemic diseases, such as the recent coronavirus;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of, involvement in or unfavorable resolution of litigation;</w:t>
      </w:r>
    </w:p>
    <w:p>
      <w:pPr>
        <w:spacing w:after="0" w:line="117"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exploration and development operations, our midstream business (including San Mateo) and the marketing of any oil, natural gas and NGLs we produce;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ours;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Conservation Measures and a Negative Shift in Market Perception towards the Oil and Natural Gas Industry Could Adversely Affect Demand for Oil and Natural Gas and Our Stock Price.</w:t>
      </w:r>
    </w:p>
    <w:p>
      <w:pPr>
        <w:spacing w:after="0" w:line="6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Some investors, including certain pension funds, university endowments and family foundations, have stated policies to reduce or eliminate their investments in the oil and natural gas sector based on social and environmental considerations. Furthermore, fuel conservation measures, alternative fuel requirements, increasing consumer demand for alternatives to oil and natural gas, technological advances in fuel economy and energy generation devices could reduce demand for oil and natural gas. Such developments could result in downward pressure on the stock prices of oil and natural gas companies, including ours.</w:t>
      </w:r>
    </w:p>
    <w:p>
      <w:pPr>
        <w:spacing w:after="0" w:line="5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other stakeholders have pressured commercial and investment banks to stop funding oil and gas projects. With the continued volatility in oil and natural gas prices, and the possibility that interest rates will rise in the near term, increasing the cost of borrowing, certain investors have emphasized capital efficiency and free cash flow from earnings as key drivers for energy companies, especially those primarily focused in the shale play arena. This may also result in a reduction of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If We Fail to Maintain Effective Internal Control over Financial Reporting in the Future, Our Ability to Accurately Report Our Financial Results Could Be Adversely Affected.</w:t>
      </w:r>
    </w:p>
    <w:p>
      <w:pPr>
        <w:spacing w:after="0" w:line="6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As a public company with listed equity securities, we are required to comply with laws, regulations and requirements, certain corporate governance provisions of the Sarbanes-Oxley Act of 2002, related regulations of the SEC and the requirements of the NYSE. Complying with these statutes, regulations and requirements is difficult and costly and occupies a significant amount of time of our Board of Directors and management.</w:t>
      </w:r>
    </w:p>
    <w:p>
      <w:pPr>
        <w:spacing w:after="0" w:line="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Pursuant to the Sarbanes-Oxley Act, we are required to maintain internal control over financial reporting. Our efforts to maintain our internal controls may not be successful, and we may be unable to maintain effective controls over our financial processes and reporting in the future and comply with the certification and reporting obligations under Sections 302 and 404 of the Sarbanes-Oxley Act. Our management does not expect that our internal controls and disclosure controls will prevent all possible error or all fraud. Any failure to maintain effective controls could result in material misstatements that are not prevented or detected and corrected on a timely basis, which could potentially subject us to sanction or investigation by the SEC, the NYSE or other regulatory authorities. Ineffective internal controls could also cause investors to lose confidence in our reported financial information and adversely affect our business and our stock price.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Presently Intend to Pay Any Cash Dividends on or Repurchase Any Shares of Our Common Stock.</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do not presently intend to pay any cash dividends on or repurchase any shares of our common stock. Any payment of future dividends will be at the discretion of our Board of Directors and will depend on, among other things, our earnings, financial condition, capital requirements, level of indebtedness, statutory and contractual restrictions applicable to the payment of dividends and other considerations that our Board of Directors deems relevant. Cash dividend payments in the future may only be made out of legally available funds and, if we experience substantial losses, such funds may not be available. In addition, certain covenants in our Credit Agreement, the San Mateo Credit Facility and the indenture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Future Sales of Shares of Our Common Stock by Existing Shareholders and Future Offerings of Our Common Stock by Us Could Depress the Price of Our Common Stock.</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8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 of shares of our common stock or convertible securities would have on the market price of our common stock.</w:t>
      </w:r>
    </w:p>
    <w:p>
      <w:pPr>
        <w:spacing w:after="0" w:line="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Provisions of Our Certificate of Formation, Bylaws and Texas Law May Have Anti-Takeover Effects That Could Prevent a Change in Control Even if It Might Be Beneficial to Our Shareholders.</w:t>
      </w:r>
    </w:p>
    <w:p>
      <w:pPr>
        <w:spacing w:after="0" w:line="6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certificate of formation and bylaws contain certain provisions that may discourage, delay or prevent a merger or acquisition that our shareholders may consider favorable. These provisions include:</w:t>
      </w:r>
    </w:p>
    <w:p>
      <w:pPr>
        <w:spacing w:after="0" w:line="62"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authorization for our Board of Directors to issue preferred stock without shareholder approval;</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limitation on the ability of shareholders to call special meetings to those owning at least 25% of our outstanding shares of common stock.</w:t>
      </w:r>
    </w:p>
    <w:p>
      <w:pPr>
        <w:spacing w:after="0" w:line="1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 of the transaction by our Board of Directors before this person became an affiliated shareholder or approval of the holders of at least two-thirds of our outstanding voting shares not beneficially owned by the affiliated shareholder.</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Directors and Executive Officers Own a Significant Percentage of Our Equity, Which Could Give Them Influence in Corporate Transactions and Other Matters, and the Interests of Our Directors and Executive Officers Could Differ from Other Shareholders.</w:t>
      </w:r>
    </w:p>
    <w:p>
      <w:pPr>
        <w:spacing w:after="0" w:line="62"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As of February 28, 2020, our directors and executive officers beneficially owned approximately 7%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1"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Board of Directors Can Authorize the Issuance of Preferred Stock, Which Could Diminish the Rights of Holders of Our Common Stock and Make a Change of Control of the Company More Difficult Even if It Might Benefit Our Shareholders.</w:t>
      </w:r>
    </w:p>
    <w:p>
      <w:pPr>
        <w:spacing w:after="0" w:line="62"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3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7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November 4, 2019, the Company received a Notice of Violation and Finding of Violation from the EPA and a Notice of Violation from the New Mexico Environment Department (the “NMED”) alleging violations of the CAA and New Mexico State Implementation Plan at certain of its operated locations in New Mexico. The Company has provided information to the EPA and NMED and is engaged in discussions regarding a resolution of the alleged violations. The Company believes it is remote that the resolution of this matter will have a material adverse impact on the Company’s financial condition, results of operations or cash flows. Resolution of the matter may result in monetary sanctions of more than $100,000.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121"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right="210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General Market Information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of our common stock are traded on the NYSE under the symbol “MTDR.” Our shares have been traded on the NYSE since February 2,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to trading on the NYSE, there was no established public trading market for our common stock.</w:t>
      </w:r>
    </w:p>
    <w:p>
      <w:pPr>
        <w:spacing w:after="0" w:line="10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On February 28, 2020, we had 116,569,389 shares of common stock outstanding held by approximately 360 record holders, excluding shareholders for whom shares are held in “nominee” or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securities authorized for issuance under our equity compensation plans as of December 31, 2019.</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 to be</w:t>
            </w:r>
          </w:p>
        </w:tc>
        <w:tc>
          <w:tcPr>
            <w:tcW w:w="140" w:type="dxa"/>
            <w:vAlign w:val="bottom"/>
          </w:tcPr>
          <w:p>
            <w:pPr>
              <w:spacing w:after="0"/>
              <w:rPr>
                <w:sz w:val="14"/>
                <w:szCs w:val="14"/>
                <w:color w:val="auto"/>
              </w:rPr>
            </w:pPr>
          </w:p>
        </w:tc>
        <w:tc>
          <w:tcPr>
            <w:tcW w:w="1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92"/>
        </w:trPr>
        <w:tc>
          <w:tcPr>
            <w:tcW w:w="6080" w:type="dxa"/>
            <w:vAlign w:val="bottom"/>
            <w:vMerge w:val="continue"/>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 Rights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6"/>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8"/>
                <w:szCs w:val="8"/>
                <w:color w:val="auto"/>
              </w:rPr>
              <w:t>(1) (2)</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3,956,574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22.64</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2,801,761</w:t>
            </w: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1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3,956,574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22.64</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2,801,761</w:t>
            </w:r>
          </w:p>
        </w:tc>
        <w:tc>
          <w:tcPr>
            <w:tcW w:w="0" w:type="dxa"/>
            <w:vAlign w:val="bottom"/>
          </w:tcPr>
          <w:p>
            <w:pPr>
              <w:spacing w:after="0"/>
              <w:rPr>
                <w:sz w:val="1"/>
                <w:szCs w:val="1"/>
                <w:color w:val="auto"/>
              </w:rPr>
            </w:pPr>
          </w:p>
        </w:tc>
      </w:tr>
      <w:tr>
        <w:trPr>
          <w:trHeight w:val="60"/>
        </w:trPr>
        <w:tc>
          <w:tcPr>
            <w:tcW w:w="6080" w:type="dxa"/>
            <w:vAlign w:val="bottom"/>
            <w:tcBorders>
              <w:bottom w:val="single" w:sz="8" w:color="CCEEFF"/>
            </w:tcBorders>
            <w:shd w:val="clear" w:color="auto" w:fill="CCEEFF"/>
          </w:tcPr>
          <w:p>
            <w:pPr>
              <w:spacing w:after="0"/>
              <w:rPr>
                <w:sz w:val="5"/>
                <w:szCs w:val="5"/>
                <w:color w:val="auto"/>
              </w:rPr>
            </w:pPr>
          </w:p>
        </w:tc>
        <w:tc>
          <w:tcPr>
            <w:tcW w:w="1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5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right="100" w:hanging="330"/>
        <w:spacing w:after="0" w:line="273"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Board of Directors has determined not to make any additional grants of awards under the Matador Resources Company 2003 Stock and Incentive Plan (the “2003 Plan”) or the Matador Resources Company Amended and Restated 2012 Long-Term Incentive Plan (the “2012 Incentive Plan”).</w:t>
      </w:r>
    </w:p>
    <w:p>
      <w:pPr>
        <w:spacing w:after="0" w:line="65" w:lineRule="exact"/>
        <w:rPr>
          <w:rFonts w:ascii="Arial" w:cs="Arial" w:eastAsia="Arial" w:hAnsi="Arial"/>
          <w:sz w:val="14"/>
          <w:szCs w:val="14"/>
          <w:color w:val="auto"/>
        </w:rPr>
      </w:pPr>
    </w:p>
    <w:p>
      <w:pPr>
        <w:ind w:left="460" w:right="240" w:hanging="330"/>
        <w:spacing w:after="0" w:line="273"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Matador Resources Company 2019 Long-Term Incentive Plan (the “2019 Incentive Plan”) was adopted by our Board of Directors in April 2019 and approved by our shareholders on June 6, 2019. For a description of our 2019 Incentive Plan, see Note 9 to the consolidated financial statements in this Annual Report.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graph compares the cumulative return on a $100 investment in our common stock from December 31, 2014 through December 31, 2019, to that of the cumulative return on a $100 investment in the Russell 2000 Index and the Russell 2000 Energy Index for the same period. In calculating the cumulative return, reinvestment of dividends, if any, is assumed.</w:t>
      </w:r>
    </w:p>
    <w:p>
      <w:pPr>
        <w:spacing w:after="0" w:line="7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This graph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 Among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Matador Resources Company, the Russell 2000 Index</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5715</wp:posOffset>
            </wp:positionV>
            <wp:extent cx="584898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21"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by the Company or Affiliates</w:t>
      </w:r>
    </w:p>
    <w:p>
      <w:pPr>
        <w:spacing w:after="0" w:line="17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During the quarter ended December 31, 2019,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 Number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of Shares that May</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as Part of Publicly</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Number of</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 Price Paid</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8"/>
                <w:szCs w:val="18"/>
                <w:b w:val="1"/>
                <w:bCs w:val="1"/>
                <w:color w:val="auto"/>
                <w:w w:val="87"/>
              </w:rPr>
              <w:t>Shares Purchased</w:t>
            </w:r>
            <w:r>
              <w:rPr>
                <w:rFonts w:ascii="Arial" w:cs="Arial" w:eastAsia="Arial" w:hAnsi="Arial"/>
                <w:sz w:val="25"/>
                <w:szCs w:val="25"/>
                <w:b w:val="1"/>
                <w:bCs w:val="1"/>
                <w:color w:val="auto"/>
                <w:w w:val="87"/>
                <w:vertAlign w:val="superscript"/>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to October 31, 2019</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November 1, 2019 to November 30, 2019</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2019 to December 31, 2019</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hanging="330"/>
        <w:spacing w:after="0" w:line="273"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121"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following selected financial information is summarized from our results of operations for the five-year period ended December 31, 2019 and selected consolidated balance sheet and cash flow data at December 31, 2019, 2018, 2017, 2016 and 2015. You should read the following selected financial data in conjunction with “Management’s Discussion and Analysis of Financial Condition and Results of Operations” and our consolidated financial statements and related notes thereto included elsewhere in this Annual Report. The financial information included in this Annual Report may not be indicative of our future results of operations, financial condition or cash flows.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 except per share data)</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Statement of operations data: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and natural gas 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Third-party midstream services revenues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Sales of purchased natural gas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Lease bonus - mineral acreage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Realized gain (loss) on derivatives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Unrealized (loss) gain on derivatives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Expenses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Production taxes, transportation and processing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Lease operating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Plant and other midstream services operating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Purchased natural gas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Accretion of asset retirement obligations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Full-cost ceiling impairment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(loss) gain on asset sales and inventory impairment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Prepayment premium on extinguishment of debt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other (expense) income</w:t>
      </w:r>
    </w:p>
    <w:p>
      <w:pPr>
        <w:spacing w:after="0" w:line="109"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Income (loss)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provision (benefit)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Deferred</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Total income tax provision (benefit)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 attributable to non-controlling interest in subsidiaries</w:t>
      </w:r>
    </w:p>
    <w:p>
      <w:pPr>
        <w:spacing w:after="0" w:line="109" w:lineRule="exact"/>
        <w:rPr>
          <w:sz w:val="20"/>
          <w:szCs w:val="20"/>
          <w:color w:val="auto"/>
        </w:rPr>
      </w:pPr>
    </w:p>
    <w:p>
      <w:pPr>
        <w:ind w:left="1460" w:right="40"/>
        <w:spacing w:after="0" w:line="253" w:lineRule="auto"/>
        <w:rPr>
          <w:sz w:val="20"/>
          <w:szCs w:val="20"/>
          <w:color w:val="auto"/>
        </w:rPr>
      </w:pPr>
      <w:r>
        <w:rPr>
          <w:rFonts w:ascii="Arial" w:cs="Arial" w:eastAsia="Arial" w:hAnsi="Arial"/>
          <w:sz w:val="14"/>
          <w:szCs w:val="14"/>
          <w:color w:val="auto"/>
        </w:rPr>
        <w:t>Net income (loss) attributable to Matador Resources Company shareholders</w:t>
      </w:r>
    </w:p>
    <w:p>
      <w:pPr>
        <w:spacing w:after="0" w:line="12" w:lineRule="exact"/>
        <w:rPr>
          <w:sz w:val="20"/>
          <w:szCs w:val="20"/>
          <w:color w:val="auto"/>
        </w:rPr>
      </w:pPr>
    </w:p>
    <w:p>
      <w:pPr>
        <w:ind w:left="80"/>
        <w:spacing w:after="0"/>
        <w:rPr>
          <w:sz w:val="20"/>
          <w:szCs w:val="20"/>
          <w:color w:val="auto"/>
        </w:rPr>
      </w:pPr>
      <w:r>
        <w:rPr>
          <w:rFonts w:ascii="Arial" w:cs="Arial" w:eastAsia="Arial" w:hAnsi="Arial"/>
          <w:sz w:val="14"/>
          <w:szCs w:val="14"/>
          <w:color w:val="auto"/>
        </w:rPr>
        <w:t>Earnings (loss) per common share</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p>
      <w:pPr>
        <w:ind w:left="380"/>
        <w:spacing w:after="0"/>
        <w:tabs>
          <w:tab w:leader="none" w:pos="1540" w:val="left"/>
          <w:tab w:leader="none" w:pos="2660" w:val="left"/>
          <w:tab w:leader="none" w:pos="3780" w:val="left"/>
          <w:tab w:leader="none" w:pos="49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375285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23495</wp:posOffset>
            </wp:positionV>
            <wp:extent cx="3542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892,325</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800,700</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528,684</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291,156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278,340</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59,110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21,920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10,198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1,864</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74,769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9,482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9,286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77,094</w:t>
            </w:r>
          </w:p>
        </w:tc>
      </w:tr>
      <w:tr>
        <w:trPr>
          <w:trHeight w:val="276"/>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(53,727)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65,085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(41,238)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(39,265)</w:t>
            </w:r>
          </w:p>
        </w:tc>
      </w:tr>
      <w:tr>
        <w:trPr>
          <w:trHeight w:val="244"/>
        </w:trPr>
        <w:tc>
          <w:tcPr>
            <w:tcW w:w="2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983,670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899,599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544,276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264,422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318,033</w:t>
            </w:r>
          </w:p>
        </w:tc>
      </w:tr>
      <w:tr>
        <w:trPr>
          <w:trHeight w:val="540"/>
        </w:trPr>
        <w:tc>
          <w:tcPr>
            <w:tcW w:w="2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92,273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76,138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58,275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43,046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35,650</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117,305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92,966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67,313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56,202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54,704</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36,798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24,609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13,039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3,489</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69,398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350,540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265,142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177,502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122,048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178,847</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734</w:t>
            </w:r>
          </w:p>
        </w:tc>
      </w:tr>
      <w:tr>
        <w:trPr>
          <w:trHeight w:val="270"/>
        </w:trPr>
        <w:tc>
          <w:tcPr>
            <w:tcW w:w="2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158,633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801,166</w:t>
            </w:r>
          </w:p>
        </w:tc>
      </w:tr>
      <w:tr>
        <w:trPr>
          <w:trHeight w:val="276"/>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80,054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69,308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66,016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55,089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50,105</w:t>
            </w:r>
          </w:p>
        </w:tc>
      </w:tr>
      <w:tr>
        <w:trPr>
          <w:trHeight w:val="250"/>
        </w:trPr>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748,190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536,328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383,435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441,589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1,124,695</w:t>
            </w:r>
          </w:p>
        </w:tc>
      </w:tr>
      <w:tr>
        <w:trPr>
          <w:trHeight w:val="244"/>
        </w:trPr>
        <w:tc>
          <w:tcPr>
            <w:tcW w:w="2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235,480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363,271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160,841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(806,662)</w:t>
            </w:r>
          </w:p>
        </w:tc>
      </w:tr>
      <w:tr>
        <w:trPr>
          <w:trHeight w:val="540"/>
        </w:trPr>
        <w:tc>
          <w:tcPr>
            <w:tcW w:w="2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107,277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908</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(73,873)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(41,327)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(34,565)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(28,199)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(21,754)</w:t>
            </w:r>
          </w:p>
        </w:tc>
      </w:tr>
      <w:tr>
        <w:trPr>
          <w:trHeight w:val="270"/>
        </w:trPr>
        <w:tc>
          <w:tcPr>
            <w:tcW w:w="2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(31,226)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w:t>
            </w:r>
          </w:p>
        </w:tc>
      </w:tr>
      <w:tr>
        <w:trPr>
          <w:trHeight w:val="244"/>
        </w:trPr>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(76,966)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79,074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(20,230)</w:t>
            </w:r>
          </w:p>
        </w:tc>
      </w:tr>
      <w:tr>
        <w:trPr>
          <w:trHeight w:val="270"/>
        </w:trPr>
        <w:tc>
          <w:tcPr>
            <w:tcW w:w="2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158,514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292,073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129,850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(98,093)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(826,892)</w:t>
            </w:r>
          </w:p>
        </w:tc>
      </w:tr>
      <w:tr>
        <w:trPr>
          <w:trHeight w:val="540"/>
        </w:trPr>
        <w:tc>
          <w:tcPr>
            <w:tcW w:w="2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2,959</w:t>
            </w:r>
          </w:p>
        </w:tc>
      </w:tr>
      <w:tr>
        <w:trPr>
          <w:trHeight w:val="276"/>
        </w:trPr>
        <w:tc>
          <w:tcPr>
            <w:tcW w:w="2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35,532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(7,236)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(150,327)</w:t>
            </w:r>
          </w:p>
        </w:tc>
      </w:tr>
      <w:tr>
        <w:trPr>
          <w:trHeight w:val="250"/>
        </w:trPr>
        <w:tc>
          <w:tcPr>
            <w:tcW w:w="2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35,532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(8,157)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(147,368)</w:t>
            </w:r>
          </w:p>
        </w:tc>
      </w:tr>
      <w:tr>
        <w:trPr>
          <w:trHeight w:val="244"/>
        </w:trPr>
        <w:tc>
          <w:tcPr>
            <w:tcW w:w="2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122,982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299,764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138,007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(679,524)</w:t>
            </w:r>
          </w:p>
        </w:tc>
      </w:tr>
      <w:tr>
        <w:trPr>
          <w:trHeight w:val="276"/>
        </w:trPr>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(35,205)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r>
      <w:tr>
        <w:trPr>
          <w:trHeight w:val="318"/>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87,777</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274,207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125,867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(97,421)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(679,785)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5"/>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270"/>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-5892165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-5548630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-5205730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-4862830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-4519930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-4177030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-3833495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-3490595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-3147695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-2804795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-2461260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-2118360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-1775460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-1432560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-1089660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-746125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-334645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At December 31,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40,024</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64,545</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96,505</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212,884</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16,732</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25,104</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19,439</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5,977</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1,258</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44,357</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property and equipment</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3,699,595</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3,122,864</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1,881,456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1,184,525</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1,012,406</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4,069,676</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3,455,518</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2,145,690</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1,464,665</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1,140,861</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399,772</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330,022</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282,606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169,505</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136,830</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1,700,452</w:t>
            </w:r>
          </w:p>
        </w:tc>
        <w:tc>
          <w:tcPr>
            <w:tcW w:w="12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1,345,839</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605,538</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603,715</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515,072</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Matador Resources Company shareholders’ equity</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1,833,654</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1,688,880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1,156,556</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690,125</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488,003</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8"/>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552,042</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608,523</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299,125</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134,086</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208,535</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(903,976)</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(1,515,253)</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(819,284)</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(448,739)</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(381,406)</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Oil and natural gas properties capital expenditures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(730,161)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(1,357,802)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(699,445)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(379,067)</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(432,715)</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380"/>
              <w:spacing w:after="0"/>
              <w:rPr>
                <w:sz w:val="20"/>
                <w:szCs w:val="20"/>
                <w:color w:val="auto"/>
              </w:rPr>
            </w:pPr>
            <w:r>
              <w:rPr>
                <w:rFonts w:ascii="Arial" w:cs="Arial" w:eastAsia="Arial" w:hAnsi="Arial"/>
                <w:sz w:val="14"/>
                <w:szCs w:val="14"/>
                <w:color w:val="auto"/>
              </w:rPr>
              <w:t>Midstream capital expenditures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(192,035)</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(163,222)</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(115,128)</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(74,845)</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(64,499)</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333,078</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888,232</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408,499</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467,706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224,944</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840" w:type="dxa"/>
            <w:vAlign w:val="bottom"/>
          </w:tcPr>
          <w:p>
            <w:pPr>
              <w:ind w:left="40"/>
              <w:spacing w:after="0"/>
              <w:rPr>
                <w:sz w:val="20"/>
                <w:szCs w:val="20"/>
                <w:color w:val="auto"/>
              </w:rPr>
            </w:pPr>
            <w:r>
              <w:rPr>
                <w:rFonts w:ascii="Arial" w:cs="Arial" w:eastAsia="Arial" w:hAnsi="Arial"/>
                <w:sz w:val="14"/>
                <w:szCs w:val="14"/>
                <w:color w:val="auto"/>
              </w:rPr>
              <w:t>Adjusted EBITDA attributable to Matador Resources Company shareholders</w:t>
            </w:r>
            <w:r>
              <w:rPr>
                <w:rFonts w:ascii="Arial" w:cs="Arial" w:eastAsia="Arial" w:hAnsi="Arial"/>
                <w:sz w:val="8"/>
                <w:szCs w:val="8"/>
                <w:color w:val="auto"/>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610,756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553,223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336,063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157,892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223,138</w:t>
            </w:r>
          </w:p>
        </w:tc>
        <w:tc>
          <w:tcPr>
            <w:tcW w:w="0" w:type="dxa"/>
            <w:vAlign w:val="bottom"/>
          </w:tcPr>
          <w:p>
            <w:pPr>
              <w:spacing w:after="0"/>
              <w:rPr>
                <w:sz w:val="1"/>
                <w:szCs w:val="1"/>
                <w:color w:val="auto"/>
              </w:rPr>
            </w:pPr>
          </w:p>
        </w:tc>
      </w:tr>
      <w:tr>
        <w:trPr>
          <w:trHeight w:val="230"/>
        </w:trPr>
        <w:tc>
          <w:tcPr>
            <w:tcW w:w="5840" w:type="dxa"/>
            <w:vAlign w:val="bottom"/>
          </w:tcPr>
          <w:p>
            <w:pPr>
              <w:ind w:left="60"/>
              <w:spacing w:after="0"/>
              <w:rPr>
                <w:sz w:val="20"/>
                <w:szCs w:val="20"/>
                <w:color w:val="auto"/>
              </w:rPr>
            </w:pPr>
            <w:r>
              <w:rPr>
                <w:rFonts w:ascii="Arial" w:cs="Arial" w:eastAsia="Arial" w:hAnsi="Arial"/>
                <w:sz w:val="18"/>
                <w:szCs w:val="18"/>
                <w:color w:val="auto"/>
              </w:rPr>
              <w:t>__________________</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340" w:hanging="330"/>
        <w:spacing w:after="0" w:line="273"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define Adjusted EBITDA attributable to Matador shareholders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prepayment premium on extinguishment of debt and net gain or loss on asset sales and inventory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1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following table presents our calculation of Adjusted EBITDA, on a consolidated basis, and the reconciliation of such Adjusted EBITDA to the GAAP financial measures of net income (loss) and net cash provided by operating activities, respectively.</w:t>
      </w:r>
    </w:p>
    <w:p>
      <w:pPr>
        <w:spacing w:after="0" w:line="176"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542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Unaudited Adjusted EBITDA Reconciliation to Net Income (Loss):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Net income (loss) attributable to Matador Resources Company shareholders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87,777</w:t>
            </w: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274,207</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125,867</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(97,421)</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(679,785)</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35,205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25,557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122,982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299,764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138,007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(97,057)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(679,524)</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73,873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41,327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28,199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21,754</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Total income tax provision (benefit)</w:t>
            </w:r>
          </w:p>
        </w:tc>
        <w:tc>
          <w:tcPr>
            <w:tcW w:w="2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35,532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(147,368)</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Depletion, depreciation and amortization</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350,540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265,142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177,502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122,048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178,847</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Accretion of asset retirement obligations</w:t>
            </w:r>
          </w:p>
        </w:tc>
        <w:tc>
          <w:tcPr>
            <w:tcW w:w="2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Full-cost ceiling impairment</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158,633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801,166</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Unrealized loss (gain) on derivatives</w:t>
            </w:r>
          </w:p>
        </w:tc>
        <w:tc>
          <w:tcPr>
            <w:tcW w:w="2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53,727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(65,085)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(9,715)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41,238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39,265</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18,505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17,200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9,450</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Net loss (gain) on asset sales and inventory impairment</w:t>
            </w:r>
          </w:p>
        </w:tc>
        <w:tc>
          <w:tcPr>
            <w:tcW w:w="2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(107,277)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Prepayment premium on extinguishment of debt</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40" w:type="dxa"/>
            <w:vAlign w:val="bottom"/>
          </w:tcPr>
          <w:p>
            <w:pPr>
              <w:ind w:left="720"/>
              <w:spacing w:after="0"/>
              <w:rPr>
                <w:sz w:val="20"/>
                <w:szCs w:val="20"/>
                <w:color w:val="auto"/>
              </w:rPr>
            </w:pPr>
            <w:r>
              <w:rPr>
                <w:rFonts w:ascii="Arial" w:cs="Arial" w:eastAsia="Arial" w:hAnsi="Arial"/>
                <w:sz w:val="14"/>
                <w:szCs w:val="14"/>
                <w:color w:val="auto"/>
              </w:rPr>
              <w:t>Consolidated Adjusted EBITDA</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657,948</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583,609</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350,123</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158,292</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223,416</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 attributable to non-controlling interest in subsidiaries</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(47,192)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840" w:type="dxa"/>
            <w:vAlign w:val="bottom"/>
          </w:tcPr>
          <w:p>
            <w:pPr>
              <w:ind w:left="720"/>
              <w:spacing w:after="0"/>
              <w:rPr>
                <w:sz w:val="20"/>
                <w:szCs w:val="20"/>
                <w:color w:val="auto"/>
              </w:rPr>
            </w:pPr>
            <w:r>
              <w:rPr>
                <w:rFonts w:ascii="Arial" w:cs="Arial" w:eastAsia="Arial" w:hAnsi="Arial"/>
                <w:sz w:val="14"/>
                <w:szCs w:val="14"/>
                <w:color w:val="auto"/>
              </w:rPr>
              <w:t>Adjusted EBITDA attributable to Matador Resources Company shareholders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610,756</w:t>
            </w:r>
          </w:p>
        </w:tc>
        <w:tc>
          <w:tcPr>
            <w:tcW w:w="12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553,223</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336,063</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157,892</w:t>
            </w:r>
          </w:p>
        </w:tc>
        <w:tc>
          <w:tcPr>
            <w:tcW w:w="100" w:type="dxa"/>
            <w:vAlign w:val="bottom"/>
          </w:tcPr>
          <w:p>
            <w:pPr>
              <w:spacing w:after="0"/>
              <w:rPr>
                <w:sz w:val="14"/>
                <w:szCs w:val="14"/>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223,138</w:t>
            </w:r>
          </w:p>
        </w:tc>
        <w:tc>
          <w:tcPr>
            <w:tcW w:w="0" w:type="dxa"/>
            <w:vAlign w:val="bottom"/>
          </w:tcPr>
          <w:p>
            <w:pPr>
              <w:spacing w:after="0"/>
              <w:rPr>
                <w:sz w:val="1"/>
                <w:szCs w:val="1"/>
                <w:color w:val="auto"/>
              </w:rPr>
            </w:pPr>
          </w:p>
        </w:tc>
      </w:tr>
      <w:tr>
        <w:trPr>
          <w:trHeight w:val="65"/>
        </w:trPr>
        <w:tc>
          <w:tcPr>
            <w:tcW w:w="584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58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Unaudited Adjusted EBITDA Reconciliation to Net Cash Provided by</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552,042</w:t>
            </w:r>
          </w:p>
        </w:tc>
        <w:tc>
          <w:tcPr>
            <w:tcW w:w="12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608,523</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299,125</w:t>
            </w:r>
          </w:p>
        </w:tc>
        <w:tc>
          <w:tcPr>
            <w:tcW w:w="1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134,086</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208,535</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operating assets and liabilities</w:t>
            </w:r>
          </w:p>
        </w:tc>
        <w:tc>
          <w:tcPr>
            <w:tcW w:w="2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Interest expense, net of non-cash portion</w:t>
            </w:r>
          </w:p>
        </w:tc>
        <w:tc>
          <w:tcPr>
            <w:tcW w:w="24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71,389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39,970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34,097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27,051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20,902</w:t>
            </w: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(benefit) provision</w:t>
            </w:r>
          </w:p>
        </w:tc>
        <w:tc>
          <w:tcPr>
            <w:tcW w:w="2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80"/>
        </w:trPr>
        <w:tc>
          <w:tcPr>
            <w:tcW w:w="5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Adjusted EBITDA attributable to non-controlling interest in subsidiaries</w:t>
            </w:r>
          </w:p>
        </w:tc>
        <w:tc>
          <w:tcPr>
            <w:tcW w:w="24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(47,192)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(30,386)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(14,060)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74"/>
        </w:trPr>
        <w:tc>
          <w:tcPr>
            <w:tcW w:w="58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 attributable to Matador Resources Company shareholders</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610,756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553,223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336,063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157,892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223,138</w:t>
            </w:r>
          </w:p>
        </w:tc>
        <w:tc>
          <w:tcPr>
            <w:tcW w:w="0" w:type="dxa"/>
            <w:vAlign w:val="bottom"/>
          </w:tcPr>
          <w:p>
            <w:pPr>
              <w:spacing w:after="0"/>
              <w:rPr>
                <w:sz w:val="1"/>
                <w:szCs w:val="1"/>
                <w:color w:val="auto"/>
              </w:rPr>
            </w:pPr>
          </w:p>
        </w:tc>
      </w:tr>
      <w:tr>
        <w:trPr>
          <w:trHeight w:val="60"/>
        </w:trPr>
        <w:tc>
          <w:tcPr>
            <w:tcW w:w="58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The following discussion contains “forward-looking statements” that reflect our future plans, estimates, beliefs and expected performance. We caution that assumptions, expectations, projections, intentions or beliefs about future events may, and often do, vary from actual results and the differences can be material. Some of the key factors that could cause actual results to vary from our expectations include changes in oil or natural gas prices, the timing of planned capital expenditures, availability under our Credit Agreement and the San Mateo Credit Facility, uncertainties in estimating proved reserves and forecasting production results, operational factors affecting our oil and natural gas and midstream operations, the condition of the capital markets generally, as well as our ability to access them, the proximity to and capacity of gathering, processing and transportation facilities, availability and integration of acquisitions, uncertainties regarding environmental regulations or litigation and other legal or regulatory developments affecting our business, as well as those factors discussed below and elsewhere in this Annual Report, all of which are difficult to predict. In light of these risks, uncertainties and assumptions, the forward-looking events discussed may not occur. See “Cautionary Note Regarding Forward-Looking Statements.”</w:t>
      </w:r>
    </w:p>
    <w:p>
      <w:pPr>
        <w:spacing w:after="0" w:line="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i w:val="1"/>
          <w:iCs w:val="1"/>
          <w:color w:val="auto"/>
        </w:rPr>
        <w:t>For a comparison of our results of operations for the years ended December 31, 2018 and December 31, 2017, see “Management’s Discussion and Analysis of Financial Condition and Results of Operations” in our Annual Report on Form 10-K for the year ended December 31, 2018, filed with the SEC on March 1,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Operational Highlights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the year ended December 31, 2019, we completed and began producing oil and natural gas from 76 gross (61.4 net) operated and 62 gross (4.3 net) non-operated wells in the Delaware Basin and from eight gross (7.9 net) operated wells in South Texas. We did not conduct any operated drilling and completion activities on our leasehold properties in Northwest Louisiana during 2019, although we did participate in the drilling and completion of 26 gross (1.7 net) non-operated Haynesville shale wells that began producing in 2019.</w:t>
      </w:r>
    </w:p>
    <w:p>
      <w:pPr>
        <w:spacing w:after="0" w:line="133"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6"/>
          <w:szCs w:val="16"/>
          <w:color w:val="auto"/>
        </w:rPr>
        <w:t>During 2019, we continued our focus on the exploration, delineation and development of our Delaware Basin acreage in Loving County, Texas and Lea and Eddy Counties, New Mexico. We operated six drilling rigs in the Delaware Basin throughout 2019. In October 2018, we commenced a drilling program in South Texas to drill nine wells, primarily in the Eagle Ford shale, to take advantage of higher oil and natural gas prices in South Texas, to conduct at least one exploratory test of the Austin Chalk formation and to validate and hold by production almost all of our remaining undeveloped acreage in South Texas.</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One of the Eagle Ford shale wells was completed and turned to sales during the fourth quarter of 2018, and the remaining eight wells, including one well drilled in the Austin Chalk formation, were completed and turned to sales in the first half of 2019.</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vast majority of our 2019 capital expenditures was directed to (i) the delineation and development of our leasehold position in the Delaware Basin,</w:t>
      </w:r>
    </w:p>
    <w:p>
      <w:pPr>
        <w:spacing w:after="0" w:line="46" w:lineRule="exact"/>
        <w:rPr>
          <w:sz w:val="20"/>
          <w:szCs w:val="20"/>
          <w:color w:val="auto"/>
        </w:rPr>
      </w:pPr>
    </w:p>
    <w:p>
      <w:pPr>
        <w:ind w:right="120" w:firstLine="8"/>
        <w:spacing w:after="0" w:line="273" w:lineRule="auto"/>
        <w:tabs>
          <w:tab w:leader="none" w:pos="2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development of certain midstream assets to support our operations there, (iii) our participation in non-operated wells drilled and completed in the Delaware Basin and (iv) the acquisition of additional leasehold and mineral interests prospective for the Wolfcamp, Bone Spring and other liquids-rich plays in the Delaware Basin. Our remaining capital expenditures were primarily directed to our short-term drilling and completion program in South Texas and to our participation in several non-operated wells drilled and completed in the Haynesville shale throughout 2019.</w:t>
      </w:r>
    </w:p>
    <w:p>
      <w:pPr>
        <w:spacing w:after="0" w:line="6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average daily oil equivalent production for the year ended December 31, 2019 was 66,203 BOE per day, including 38,312 Bbl of oil per day and 167.4 MMcf of natural gas per day, an increase of 27%, as compared to 52,128 BOE per day, including 30,524 Bbl of oil per day and 129.6 MMcf of natural gas per day, for the year ended December 31, 2018. Our average daily oil production in 2019 of 38,312 Bbl of oil per day increased 26% from 30,524 Bbl of oil per day in 2018. This increase in oil production was primarily a result of our ongoing delineation and development drilling activities in the Delaware Basin as well as from our nine-well program in South Texas concluded in the first half of 2019. Our average daily natural gas production of 167.4 MMcf per day in 2019 increased 29% from 129.6 MMcf per day in 2018. This increase in natural gas production was primarily attributable to our ongoing delineation and development drilling activities in the Delaware Basin as well as from non-operated Haynesville shale wells completed and turned to sales during the third quarter of 2019. Oil production comprised 58% of our total production for the year ended December 31, 2019, as compared to 59% for the year ended December 31, 2018.</w:t>
      </w:r>
    </w:p>
    <w:p>
      <w:pPr>
        <w:spacing w:after="0" w:line="89"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For the year ended December 31, 2019, our oil and natural gas revenues were $892.3 million, an increase of 11% from oil and natural gas revenues of $800.7 million for the year ended December 31, 2018. Our oil revenues increased 20% to approximately $759.8 million, as compared to $635.6 million for the year ended December 31, 2018. The increase in oil revenues resulted from the increase in oil production for the year ended December 31, 2019 noted above, partially offset by a lower weighted average realized oil price of $54.34 per Bbl in 2019, as compared to $57.04 per Bbl in 2018. Our natural gas revenues decreased 20% to approximately $132.5 million, as compared to $165.1 million for the year ended December 31, 2018. The decrease in natural gas revenues resulted from a lower weighted average realized natural gas price of $2.17 per Mcf in 2019, as compared to $3.49 per Mcf in 2018. This decrease was partially offset by the increase in our natural gas production noted above.</w:t>
      </w:r>
    </w:p>
    <w:p>
      <w:pPr>
        <w:spacing w:after="0" w:line="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reported net income attributable to Matador shareholders of approximately $87.8 million, or $0.75 per diluted common share, on a GAAP basis for the year ended December 31, 2019, as compared to net income of $274.2 million, or $2.41 per diluted common share, for the year ended December 31, 2018. Adjusted EBITDA for the year ended December 31, 2019 was $610.8 million, as compared to Adjusted EBITDA of $553.2 million for the year ended December 31, 2018. Adjusted EBITDA is a non-GAAP financial measure. For a definition of Adjusted EBITDA and a reconciliation of Adjusted EBITDA to our net income (loss) and net cash provided by operating activities, see “Selected Financial Data — Non-GAAP Financial Measures.”</w:t>
      </w:r>
    </w:p>
    <w:p>
      <w:pPr>
        <w:spacing w:after="0" w:line="5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At December 31, 2019, our estimated total proved oil and natural gas reserves were 252.5 million BOE, including 148.0 million Bbl of oil and 627.2 Bcf of natural gas, with a Standardized Measure of $2.03 billion and a PV-10 of $2.25 billion. At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December 31, 2018, our estimated total proved oil and natural gas reserves were 215.3 million BOE, including 123.4 million Bbl of oil and 551.5 Bcf of natural gas, with a Standardized Measure of $2.25 billion and a PV-10 of $2.58 billion. Our estimated total proved reserves of 252.5 million BOE at December 31, 2019 represented a 17% year-over-year increase, as compared to 215.3 million BOE at December 31, 2018. Our estimated proved oil reserves of 148.0 million Bbl at December 31, 2019 increased 20%, as compared to 123.4 million Bbl at December 31, 2018. Our proved oil and natural gas reserves in the Delaware Basin increased 22% to 232.8 million BOE at December 31, 2019, as compared to 191.5 million BOE at December 31, 2018, primarily as a result of our ongoing delineation and development operations there. At December 31, 2019, approximately 92% of our total proved oil and natural gas reserves were attributable to our properties in the Delaware Basin. Our proved oil reserves in the Delaware Basin increased 22% to 139.6 million Bbl at December 31, 2019, as compared to 114.8 million Bbl at December 31, 2018. Proved oil reserves comprised 59% of our total proved reserves at December 31, 2019, as compared to 57% at December 31, 2018.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per annum to reflect the timing of future cash flows. Standardized Measure is not an estimate of the fair market value of our properties. PV-10 is a non-GAAP financial measure. For a reconciliation of PV-10 to Standardized Measure, see “Business — Estimated Proved Reserves.”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Highlights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February 25, 2019, we announced the formation of San Mateo II, a strategic joint venture with a subsidiary of Five Point designed to expand our midstream operations in the Delaware Basin, specifically in Eddy County, New Mexico. San Mateo II is owned 51% by us and 49% by Five Point. As part of this transaction, we dedicated to San Mateo II acreage in the Greater Stebbins Area and the Stateline asset area pursuant to 15-year, fixed-fee agreements for oil, natural gas and salt water gathering, natural gas processing and salt water disposal. In addition, Five Point has committed to pay $125.0 million of the first $150.0 million of capital expenditures incurred by San Mateo II to develop facilities in the Greater Stebbins Area and the Stateline asset area. Five Point has also provided us the opportunity to earn deferred performance incentives of up to $150.0 million over the next several years as we execute our operational plans in and around the Greater Stebbins Area and the Stateline asset area, plus additional performance incentives for securing volumes from third-party customers.</w:t>
      </w:r>
    </w:p>
    <w:p>
      <w:pPr>
        <w:spacing w:after="0" w:line="219"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San Mateo achieved strong operating results in 2019, highlighted by (i) increased third-party midstream services revenues, (ii) increased natural gas gathering and processing volumes, (iii) increased water gathering and water disposal volumes and (iv) increased oil gathering volumes, all as compared to 2018. San Mateo initiated construction on an additional 200 MMcf per day of designed natural gas processing inlet capacity as part of the expansion of the Black River Processing Plant, which is anticipated to be placed in service during the summer of 2020 and would bring the total designed inlet capacity of the Black River Processing Plant to 460 MMcf of natural gas per day. San Mateo also initiated plans to construct large diameter natural gas gathering lines southward from the Greater Stebbins Area and northward from the Stateline asset area to connect these areas with the Black River Processing Plant. During 2019, San Mateo added four commercial salt water disposal wells, two in the Rustler Breaks asset area and two in the Greater Stebbins Area, and expects to place into service one additional commercial salt water disposal well in the Rustler Breaks asset area late in the first quarter of 2020, bringing San Mateo’s designed salt water disposal capacity to approximately 335,000 Bbl per day.</w:t>
      </w:r>
    </w:p>
    <w:p>
      <w:pPr>
        <w:spacing w:after="0" w:line="20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During 2019, San Mateo received an increased natural gas gathering and processing commitment from an existing natural gas customer, plus other interruptible volumes, obtained significant additional acreage dedications from existing salt water customers and added an acreage dedication from a new oil customer. At certain times near the end of the third quarter and in the fourth quarter of 2019, as a result of increased throughput from existing natural gas processing customers, San Mateo was operating the Black River Processing Plant at greater than 95% of the current designed inlet capacity of 260 MMcf per day.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Capital Expenditure Budget</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expect that development of our Delaware Basin assets will be the primary focus of our operations and capital expenditures in 2020. We plan to operate six contracted drilling rigs drilling primarily oil and natural gas wells in the Delaware Basin throughout 2020. Our 2020 estimated capital expenditure budget consists of $690.0 to $750.0 million for drilling, completing and equipping wells (“D/C/E capital expenditures”) and $85.0 to $105.0 million for midstream capital expenditures, which primarily reflects our proportionate share of San Mateo’s estimated combined 2020 capital expenditures of $190.0 to $235.0 million and also accounts for the remaining portions of the $50.0 million capital carry that Five Point agreed to provide to us in conjunction with the formation of San Mateo II. Substantially all of these 2020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2020 Delaware Basin drilling program is expected to focus on the continued development of our various asset areas throughout the Delaware Basin, with a particular emphasis on drilling and completing a higher percentage of longer horizontal wells in 2020, including 74% with anticipated completed lateral lengths of two miles.</w:t>
      </w:r>
    </w:p>
    <w:p>
      <w:pPr>
        <w:spacing w:after="0" w:line="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To narrow any potential difference between our 2020 capital expenditures and operating cash flows, we may divest portions of our non-core assets, particularly in the Haynesville shale and in our South Texas position (as we did in 2019),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2020. These monetizations, divestitures and expenditures are opportunity-specific, and purchase price multiples and per-acre prices can vary significantly based on the asset or prospect. As a result, it is difficult to estimate these 2020 monetizations, divestitures and capital expenditures with any degree of certainty; therefore, we have not provided estimated proceeds related to monetizations or divestitures or estimated capital expenditures related to acreage and mineral acquisitions for 2020.</w:t>
      </w:r>
    </w:p>
    <w:p>
      <w:pPr>
        <w:spacing w:after="0" w:line="7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6"/>
          <w:szCs w:val="16"/>
          <w:color w:val="auto"/>
        </w:rPr>
        <w:t>At December 31, 2019, we had $40.0 million in cash (excluding restricted cash) and $198.9 million in undrawn borrowing capacity under our Credit Agreement (after giving effect to outstanding letters of credit based upon our elected borrowing commitment of $500.0 million). The Credit Agreement was amended in February 2020 to increase our elected borrowing commitment from $500.0 million to $700.0 million, which increased our undrawn borrowing capacity to $399.0 million (after giving effect to then-outstanding letters of credit). Excluding any possible significant acquisitions, we expect to fund our 2020 capital expenditures through a combination of cash on hand, operating cash flows, performance incentives in connection with San Mateo, borrowings under our Credit Agreement (assuming availability under our borrowing base of $900.0 million) and borrowings under the San Mateo Credit Facility (assuming availability under the accordion feature of such facility to up to $400.0 million). In addition, in 2020, we expect to receive a portion of the $50.0 million capital carry Five Point agreed to provide to us in conjunction with the formation of San Mateo II. We continually evaluate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The aggregate amount of capital we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1"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revenues are derived primarily from the sale of oil, natural gas and NGL production. Our revenues may vary significantly from period to period as a result of changes in volumes of production sold or changes in oil, natural gas or NGL prices.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revenues and production data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Data:</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 (in thousands):</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oil and natural gas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Third-party midstream services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of purchased natural gas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Lease bonus - mineral 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Realized gain (loss) on derivatives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(loss)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revenues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Production Volumes:</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(MBbl)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 (Bcf)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oil equivalent (MBOE)</w:t>
      </w:r>
      <w:r>
        <w:rPr>
          <w:rFonts w:ascii="Arial" w:cs="Arial" w:eastAsia="Arial" w:hAnsi="Arial"/>
          <w:sz w:val="8"/>
          <w:szCs w:val="8"/>
          <w:color w:val="auto"/>
        </w:rPr>
        <w:t>(2)</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Average daily production (BOE/d)</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Average Sales Prices:</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without realized derivatives (per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Oil, with realized derivatives (per Bbl)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 without realized derivatives (per 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Natural gas, with realized derivatives (per Mcf)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655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3" w:lineRule="exact"/>
        <w:rPr>
          <w:sz w:val="20"/>
          <w:szCs w:val="20"/>
          <w:color w:val="auto"/>
        </w:rPr>
      </w:pPr>
    </w:p>
    <w:p>
      <w:pPr>
        <w:ind w:left="260"/>
        <w:spacing w:after="0"/>
        <w:tabs>
          <w:tab w:leader="none" w:pos="1160" w:val="left"/>
          <w:tab w:leader="none" w:pos="20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759,811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635,554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386,865</w:t>
            </w:r>
          </w:p>
        </w:tc>
      </w:tr>
      <w:tr>
        <w:trPr>
          <w:trHeight w:val="276"/>
        </w:trPr>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132,514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165,146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141,819</w:t>
            </w:r>
          </w:p>
        </w:tc>
      </w:tr>
      <w:tr>
        <w:trPr>
          <w:trHeight w:val="244"/>
        </w:trPr>
        <w:tc>
          <w:tcPr>
            <w:tcW w:w="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892,325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800,700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528,684</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59,110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21,920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10,198</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74,769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7,071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9,482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(4,321)</w:t>
            </w:r>
          </w:p>
        </w:tc>
      </w:tr>
      <w:tr>
        <w:trPr>
          <w:trHeight w:val="276"/>
        </w:trPr>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(53,727)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65,085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9,715</w:t>
            </w:r>
          </w:p>
        </w:tc>
      </w:tr>
      <w:tr>
        <w:trPr>
          <w:trHeight w:val="24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983,670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899,599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544,276</w:t>
            </w:r>
          </w:p>
        </w:tc>
      </w:tr>
      <w:tr>
        <w:trPr>
          <w:trHeight w:val="540"/>
        </w:trPr>
        <w:tc>
          <w:tcPr>
            <w:tcW w:w="16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13,984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11,141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7,851</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38.2</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24,164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14,212</w:t>
            </w:r>
          </w:p>
        </w:tc>
      </w:tr>
      <w:tr>
        <w:trPr>
          <w:trHeight w:val="270"/>
        </w:trPr>
        <w:tc>
          <w:tcPr>
            <w:tcW w:w="16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66,203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52,128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38,936</w:t>
            </w:r>
          </w:p>
        </w:tc>
      </w:tr>
      <w:tr>
        <w:trPr>
          <w:trHeight w:val="54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54.34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49.28</w:t>
            </w: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48.81</w:t>
            </w: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3.70</w:t>
            </w:r>
          </w:p>
        </w:tc>
      </w:tr>
    </w:tbl>
    <w:p>
      <w:pPr>
        <w:spacing w:after="0" w:line="1" w:lineRule="exact"/>
        <w:rPr>
          <w:sz w:val="20"/>
          <w:szCs w:val="20"/>
          <w:color w:val="auto"/>
        </w:rPr>
      </w:pPr>
    </w:p>
    <w:p>
      <w:pPr>
        <w:sectPr>
          <w:pgSz w:w="11900" w:h="16838" w:orient="portrait"/>
          <w:cols w:equalWidth="0" w:num="2">
            <w:col w:w="8100" w:space="720"/>
            <w:col w:w="260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w:t>
      </w:r>
    </w:p>
    <w:p>
      <w:pPr>
        <w:spacing w:after="0" w:line="110" w:lineRule="exact"/>
        <w:rPr>
          <w:sz w:val="20"/>
          <w:szCs w:val="20"/>
          <w:color w:val="auto"/>
        </w:rPr>
      </w:pPr>
    </w:p>
    <w:p>
      <w:pPr>
        <w:ind w:left="460" w:right="380" w:hanging="330"/>
        <w:spacing w:after="0" w:line="273"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Year Ended December 31, 2019 as Compared to Year Ended December 31, 2018</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Oil and natural gas revenues</w:t>
      </w:r>
      <w:r>
        <w:rPr>
          <w:rFonts w:ascii="Arial" w:cs="Arial" w:eastAsia="Arial" w:hAnsi="Arial"/>
          <w:sz w:val="16"/>
          <w:szCs w:val="16"/>
          <w:color w:val="auto"/>
        </w:rPr>
        <w:t>. Our oil and natural gas revenues increased $91.6 million, or 11%, to $892.3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compared to $800.7 million for the year ended December 31, 2018. Our oil revenues increased $124.3 million, or 20%, to $759.8 million for the year ended December 31, 2019, as compared to $635.6 million for the year ended December 31, 2018. This increase in our oil revenues resulted primarily from the 26% increase in our oil production to 14.0 million Bbl of oil for the year ended December 31, 2019, as compared to 11.1 million Bbl of oil for the year ended December 31, 2018. The increase in oil production was primarily attributable to our ongoing delineation and development drilling activities in the Delaware Basin, as well as our nine-well program in the Eagle Ford shale play concluded in the first half of 2019. This increase was partially offset by a 5% decrease in the weighted average oil price realized for the year ended December 31, 2019 to $54.34 per Bbl, as compared to $57.04 per Bbl realized for the year ended December 31, 2018. Our natural gas revenues decreased by $32.6 million, or 20%, to $132.5 million for the year ended December 31, 2019, as compared to $165.1 million for the year ended December 31, 2018. The decrease in natural gas revenues resulted primarily from a 38% decrease in realized natural gas prices to $2.17 per Mcf for the year ended December 31, 2019, as compared to $3.49 per Mcf realized for the year ended December 31, 2018. This decrease was partially offset by the 29% increase in our natural gas production to 61.1 Bcf for the year ended December 31, 2019, as compared to 47.3 Bcf for the year ended December 31, 2018. The increase in natural gas production was primarily attributable to our ongoing delineation and development drilling activities in the Delaware Basin as well as from non-operated Haynesville shale wells completed and turned to sales during the year ended December 31, 2019.</w:t>
      </w:r>
    </w:p>
    <w:p>
      <w:pPr>
        <w:spacing w:after="0" w:line="121"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i w:val="1"/>
          <w:iCs w:val="1"/>
          <w:color w:val="auto"/>
        </w:rPr>
        <w:t xml:space="preserve">Third-party midstream services revenues. </w:t>
      </w:r>
      <w:r>
        <w:rPr>
          <w:rFonts w:ascii="Arial" w:cs="Arial" w:eastAsia="Arial" w:hAnsi="Arial"/>
          <w:sz w:val="18"/>
          <w:szCs w:val="18"/>
          <w:color w:val="auto"/>
        </w:rPr>
        <w:t>Our third-party midstream services revenues increased $37.2 million, or 170%, to $59.1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as compared to $21.9 million for the year ended December 31, 2018. Third-party midstream services revenues are those revenues from midstream operations related to third parties, including working interest owners in our operated wells. This increase was primarily attributable to (i) an increase in our third-party</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natural gas gathering, transportation and processing revenues to approximately $27.0 million for the year ended December 31, 2019, as compared to $10.7 million for the year ended December 31, 2018, (ii) an increase in third-party salt water gathering and disposal revenues to approximately $24.9 million for the year ended December 31, 2019, as compared to approximately $10.5 million for the year ended December 31, 2018, and (iii) an increase in our third-party oil transportation revenues to approximately $7.2 million for the year ended December 31, 2019, as compared to $0.7 million for the year ended December 31, 2018.</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Our sales of purchased natural gas were $74.8 million for the year ended December 31, 2019, as compared to $7.1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2018. Sales of purchased natural gas primarily reflect those natural gas purchase transactions that we periodically enter into with third parties whereby we purchase natural gas, process the natural gas at the Black River Processing Plant and subsequently sell the residue gas and NGLs to other purchasers. These revenues, and the expenses related to these transactions included in “Purchased natural gas,” are presented on a gross basis in our consolidated statement of operations.</w:t>
      </w:r>
    </w:p>
    <w:p>
      <w:pPr>
        <w:spacing w:after="0" w:line="13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i w:val="1"/>
          <w:iCs w:val="1"/>
          <w:color w:val="auto"/>
        </w:rPr>
        <w:t xml:space="preserve">Lease bonus - mineral acreage. </w:t>
      </w:r>
      <w:r>
        <w:rPr>
          <w:rFonts w:ascii="Arial" w:cs="Arial" w:eastAsia="Arial" w:hAnsi="Arial"/>
          <w:sz w:val="18"/>
          <w:szCs w:val="18"/>
          <w:color w:val="auto"/>
        </w:rPr>
        <w:t>Our lease bonus - mineral acreage revenues were $1.7 million for the year ended December 31, 2019,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for the year ended December 31, 2018. Lease bonus - mineral acreage revenues reflect the payments we receive to enter into or extend leases to third-party lessees to develop the oil and natural gas attributable to certain of our mineral interests.</w:t>
      </w:r>
    </w:p>
    <w:p>
      <w:pPr>
        <w:spacing w:after="0" w:line="12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i w:val="1"/>
          <w:iCs w:val="1"/>
          <w:color w:val="auto"/>
        </w:rPr>
        <w:t>Realized gain on derivatives</w:t>
      </w:r>
      <w:r>
        <w:rPr>
          <w:rFonts w:ascii="Arial" w:cs="Arial" w:eastAsia="Arial" w:hAnsi="Arial"/>
          <w:sz w:val="16"/>
          <w:szCs w:val="16"/>
          <w:color w:val="auto"/>
        </w:rPr>
        <w:t>. Our realized net gain on derivatives was $9.5 million for the year ended December 31, 2019, as compared to a realized net</w:t>
      </w:r>
      <w:r>
        <w:rPr>
          <w:rFonts w:ascii="Arial" w:cs="Arial" w:eastAsia="Arial" w:hAnsi="Arial"/>
          <w:sz w:val="16"/>
          <w:szCs w:val="16"/>
          <w:i w:val="1"/>
          <w:iCs w:val="1"/>
          <w:color w:val="auto"/>
        </w:rPr>
        <w:t xml:space="preserve"> </w:t>
      </w:r>
      <w:r>
        <w:rPr>
          <w:rFonts w:ascii="Arial" w:cs="Arial" w:eastAsia="Arial" w:hAnsi="Arial"/>
          <w:sz w:val="16"/>
          <w:szCs w:val="16"/>
          <w:color w:val="auto"/>
        </w:rPr>
        <w:t>gain of approximately $2.3 million for the year ended December 31, 2018. We realized a net gain of $8.9 million and $0.5 million from our oil and natural gas costless collar contracts, respectively, for the year ended December 31, 2019, resulting from oil and natural gas prices that were below the floor prices of certain of our oil and natural gas costless collar contracts. We realized a net gain of $0.1 million from our oil basis swap contracts for the year ended December 31, 2019, resulting from oil basis prices that were lower than the swap prices on certain of our oil basis swap contracts. We realized a net gain of $29.5 million from our oil basis swap contracts for the year ended December 31, 2018, resulting from oil basis prices that were lower than the swap prices on certain of our oil basis swap contracts. This net gain was significantly offset by net losses of $25.7 million and $1.4 million from our oil and natural gas costless collar contracts, respectively, for the year ended December 31, 2018, resulting from oil and natural gas prices that were above the short call/ceiling prices of certain of our oil and natural gas costless collar contracts. We realized an average gain on our oil derivatives of approximately $0.64 per Bbl of oil produced during the year ended December 31, 2019, as compared to an average gain of $0.34 per Bbl of oil produced during the year ended December 31, 2018. Our total oil volumes hedged for the year ended December 31, 2019 represented 59% of our total oil production, as compared to 49% of our total oil production for the year ended December 31, 2018. We realized an average gain on our natural gas derivatives of approximately $0.01 per Mcf produced during the year ended December 31, 2019, as compared to an average loss of approximately $0.03 per Mcf produced for the year ended December 31, 2018. Our total natural gas volumes hedged for the year ended December 31, 2019 represented 12% of our total natural gas production, as compared to 36% of our total natural gas production for the year ended December 31, 2018.</w:t>
      </w:r>
    </w:p>
    <w:p>
      <w:pPr>
        <w:spacing w:after="0" w:line="11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Unrealized (loss) gain on derivatives. </w:t>
      </w:r>
      <w:r>
        <w:rPr>
          <w:rFonts w:ascii="Arial" w:cs="Arial" w:eastAsia="Arial" w:hAnsi="Arial"/>
          <w:sz w:val="18"/>
          <w:szCs w:val="18"/>
          <w:color w:val="auto"/>
        </w:rPr>
        <w:t>Our unrealized loss on derivatives was approximately $53.7 million for the year ended December 31,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unrealized gain of $65.1 million for the year ended December 31, 2018. During the year ended December 31, 2019, the aggregate net fair value of our open oil and natural gas derivatives and oil basis swap contracts decreased from a net asset of approximately $49.8 million to a net liability of approximately $3.9 million, resulting in an unrealized loss on derivatives of approximately $53.7 million for the year ended December 31, 2019. During the year ended December 31, 2018, the aggregate net fair value of our open oil and natural gas derivative contracts increased from a net liability of approximately $15.2 million to a net asset of approximately $49.8 million, resulting in an unrealized gain on derivatives of approximately $65.1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operating expenses and other income (expense)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Production taxes, transportation and 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58,275</w:t>
            </w:r>
          </w:p>
        </w:tc>
      </w:tr>
      <w:tr>
        <w:trPr>
          <w:trHeight w:val="264"/>
        </w:trPr>
        <w:tc>
          <w:tcPr>
            <w:tcW w:w="8700" w:type="dxa"/>
            <w:vAlign w:val="bottom"/>
          </w:tcPr>
          <w:p>
            <w:pPr>
              <w:ind w:left="600"/>
              <w:spacing w:after="0"/>
              <w:rPr>
                <w:sz w:val="20"/>
                <w:szCs w:val="20"/>
                <w:color w:val="auto"/>
              </w:rPr>
            </w:pPr>
            <w:r>
              <w:rPr>
                <w:rFonts w:ascii="Arial" w:cs="Arial" w:eastAsia="Arial" w:hAnsi="Arial"/>
                <w:sz w:val="14"/>
                <w:szCs w:val="14"/>
                <w:color w:val="auto"/>
              </w:rPr>
              <w:t>Lease operating</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117,305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92,966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67,313</w:t>
            </w: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Plant and other midstream services operating</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13,039</w:t>
            </w:r>
          </w:p>
        </w:tc>
      </w:tr>
      <w:tr>
        <w:trPr>
          <w:trHeight w:val="264"/>
        </w:trPr>
        <w:tc>
          <w:tcPr>
            <w:tcW w:w="8700" w:type="dxa"/>
            <w:vAlign w:val="bottom"/>
          </w:tcPr>
          <w:p>
            <w:pPr>
              <w:ind w:left="600"/>
              <w:spacing w:after="0"/>
              <w:rPr>
                <w:sz w:val="20"/>
                <w:szCs w:val="20"/>
                <w:color w:val="auto"/>
              </w:rPr>
            </w:pPr>
            <w:r>
              <w:rPr>
                <w:rFonts w:ascii="Arial" w:cs="Arial" w:eastAsia="Arial" w:hAnsi="Arial"/>
                <w:sz w:val="14"/>
                <w:szCs w:val="14"/>
                <w:color w:val="auto"/>
              </w:rPr>
              <w:t>Purchased natural gas</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69,398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6,635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Depletion, depreciation and amortization</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350,540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265,142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177,502</w:t>
            </w:r>
          </w:p>
        </w:tc>
      </w:tr>
      <w:tr>
        <w:trPr>
          <w:trHeight w:val="264"/>
        </w:trPr>
        <w:tc>
          <w:tcPr>
            <w:tcW w:w="8700" w:type="dxa"/>
            <w:vAlign w:val="bottom"/>
          </w:tcPr>
          <w:p>
            <w:pPr>
              <w:ind w:left="600"/>
              <w:spacing w:after="0"/>
              <w:rPr>
                <w:sz w:val="20"/>
                <w:szCs w:val="20"/>
                <w:color w:val="auto"/>
              </w:rPr>
            </w:pPr>
            <w:r>
              <w:rPr>
                <w:rFonts w:ascii="Arial" w:cs="Arial" w:eastAsia="Arial" w:hAnsi="Arial"/>
                <w:sz w:val="14"/>
                <w:szCs w:val="14"/>
                <w:color w:val="auto"/>
              </w:rPr>
              <w:t>Accretion of asset retirement obligations</w:t>
            </w:r>
          </w:p>
        </w:tc>
        <w:tc>
          <w:tcPr>
            <w:tcW w:w="1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1,290</w:t>
            </w:r>
          </w:p>
        </w:tc>
      </w:tr>
      <w:tr>
        <w:trPr>
          <w:trHeight w:val="270"/>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80,054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66,016</w:t>
            </w:r>
          </w:p>
        </w:tc>
      </w:tr>
      <w:tr>
        <w:trPr>
          <w:trHeight w:val="250"/>
        </w:trPr>
        <w:tc>
          <w:tcPr>
            <w:tcW w:w="8700" w:type="dxa"/>
            <w:vAlign w:val="bottom"/>
          </w:tcPr>
          <w:p>
            <w:pPr>
              <w:ind w:left="1040"/>
              <w:spacing w:after="0"/>
              <w:rPr>
                <w:sz w:val="20"/>
                <w:szCs w:val="20"/>
                <w:color w:val="auto"/>
              </w:rPr>
            </w:pPr>
            <w:r>
              <w:rPr>
                <w:rFonts w:ascii="Arial" w:cs="Arial" w:eastAsia="Arial" w:hAnsi="Arial"/>
                <w:sz w:val="14"/>
                <w:szCs w:val="14"/>
                <w:color w:val="auto"/>
              </w:rPr>
              <w:t>Total expenses</w:t>
            </w:r>
          </w:p>
        </w:tc>
        <w:tc>
          <w:tcPr>
            <w:tcW w:w="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748,190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536,328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383,435</w:t>
            </w:r>
          </w:p>
        </w:tc>
      </w:tr>
      <w:tr>
        <w:trPr>
          <w:trHeight w:val="276"/>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235,480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363,271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160,841</w:t>
            </w: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(loss) gain on asset sales and inventory impairment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8700" w:type="dxa"/>
            <w:vAlign w:val="bottom"/>
          </w:tcPr>
          <w:p>
            <w:pPr>
              <w:ind w:left="60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(73,873)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(41,327)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(34,565)</w:t>
            </w: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Prepayment premium on extinguishment of debt</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7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3,551</w:t>
            </w:r>
          </w:p>
        </w:tc>
      </w:tr>
      <w:tr>
        <w:trPr>
          <w:trHeight w:val="250"/>
        </w:trPr>
        <w:tc>
          <w:tcPr>
            <w:tcW w:w="87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Total other (expense) income</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(76,966)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(30,991)</w:t>
            </w:r>
          </w:p>
        </w:tc>
      </w:tr>
      <w:tr>
        <w:trPr>
          <w:trHeight w:val="250"/>
        </w:trPr>
        <w:tc>
          <w:tcPr>
            <w:tcW w:w="87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158,514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292,073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129,850</w:t>
            </w:r>
          </w:p>
        </w:tc>
      </w:tr>
      <w:tr>
        <w:trPr>
          <w:trHeight w:val="276"/>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income tax provision (benefit)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(8,157)</w:t>
            </w:r>
          </w:p>
        </w:tc>
      </w:tr>
      <w:tr>
        <w:trPr>
          <w:trHeight w:val="264"/>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(12,140)</w:t>
            </w:r>
          </w:p>
        </w:tc>
      </w:tr>
      <w:tr>
        <w:trPr>
          <w:trHeight w:val="256"/>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Matador Resources Company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274,207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125,867</w:t>
            </w:r>
          </w:p>
        </w:tc>
      </w:tr>
      <w:tr>
        <w:trPr>
          <w:trHeight w:val="264"/>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Expenses per BOE:</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Production taxes, transportation and 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r>
      <w:tr>
        <w:trPr>
          <w:trHeight w:val="264"/>
        </w:trPr>
        <w:tc>
          <w:tcPr>
            <w:tcW w:w="8700" w:type="dxa"/>
            <w:vAlign w:val="bottom"/>
          </w:tcPr>
          <w:p>
            <w:pPr>
              <w:ind w:left="600"/>
              <w:spacing w:after="0"/>
              <w:rPr>
                <w:sz w:val="20"/>
                <w:szCs w:val="20"/>
                <w:color w:val="auto"/>
              </w:rPr>
            </w:pPr>
            <w:r>
              <w:rPr>
                <w:rFonts w:ascii="Arial" w:cs="Arial" w:eastAsia="Arial" w:hAnsi="Arial"/>
                <w:sz w:val="14"/>
                <w:szCs w:val="14"/>
                <w:color w:val="auto"/>
              </w:rPr>
              <w:t>Lease operating</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4.74</w:t>
            </w: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Plant and other midstream services operating</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0.92</w:t>
            </w:r>
          </w:p>
        </w:tc>
      </w:tr>
      <w:tr>
        <w:trPr>
          <w:trHeight w:val="264"/>
        </w:trPr>
        <w:tc>
          <w:tcPr>
            <w:tcW w:w="8700" w:type="dxa"/>
            <w:vAlign w:val="bottom"/>
          </w:tcPr>
          <w:p>
            <w:pPr>
              <w:ind w:left="600"/>
              <w:spacing w:after="0"/>
              <w:rPr>
                <w:sz w:val="20"/>
                <w:szCs w:val="20"/>
                <w:color w:val="auto"/>
              </w:rPr>
            </w:pPr>
            <w:r>
              <w:rPr>
                <w:rFonts w:ascii="Arial" w:cs="Arial" w:eastAsia="Arial" w:hAnsi="Arial"/>
                <w:sz w:val="14"/>
                <w:szCs w:val="14"/>
                <w:color w:val="auto"/>
              </w:rPr>
              <w:t>Depletion, depreciation and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12.49</w:t>
            </w:r>
          </w:p>
        </w:tc>
      </w:tr>
      <w:tr>
        <w:trPr>
          <w:trHeight w:val="276"/>
        </w:trPr>
        <w:tc>
          <w:tcPr>
            <w:tcW w:w="87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Year Ended December 31, 2019 as Compared to Year Ended December 31, 2018</w:t>
      </w:r>
    </w:p>
    <w:p>
      <w:pPr>
        <w:spacing w:after="0" w:line="9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and transportation and processing expenses increased $16.1 million, or 21%, to</w:t>
      </w:r>
      <w:r>
        <w:rPr>
          <w:rFonts w:ascii="Arial" w:cs="Arial" w:eastAsia="Arial" w:hAnsi="Arial"/>
          <w:sz w:val="16"/>
          <w:szCs w:val="16"/>
          <w:i w:val="1"/>
          <w:iCs w:val="1"/>
          <w:color w:val="auto"/>
        </w:rPr>
        <w:t xml:space="preserve"> </w:t>
      </w:r>
      <w:r>
        <w:rPr>
          <w:rFonts w:ascii="Arial" w:cs="Arial" w:eastAsia="Arial" w:hAnsi="Arial"/>
          <w:sz w:val="16"/>
          <w:szCs w:val="16"/>
          <w:color w:val="auto"/>
        </w:rPr>
        <w:t>$92.3 million for the year ended December 31, 2019, as compared to $76.1 million for the year ended December 31, 2018. This increase was primarily attributable to the $5.3 million increase in our production taxes to $63.3 million for the year ended December 31, 2019, as compared to $58.0 million for the year ended December 31, 2018, resulting from the $91.6 million increase in oil and natural gas revenues for the year ended December 31, 2019, as compared to the year ended December 31, 2018. Transportation and processing expenses increased to $29.0 million for the year ended December 31, 2019, as compared to $18.2 million for the year ended December 31, 2018, primarily resulting from the 27% increase in total oil equivalent production between the respective periods. On a unit-of-production basis, our production taxes and transportation and processing expenses decreased to $3.82 per BOE for the year ended December 31, 2019, as compared to $4.00 per BOE for the year ended December 31, 2018, as the 27% increase in total oil equivalent production between the respective periods more than offset the 21% increase in our production taxes, transportation and processing expenses.</w:t>
      </w:r>
    </w:p>
    <w:p>
      <w:pPr>
        <w:spacing w:after="0" w:line="32"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i w:val="1"/>
          <w:iCs w:val="1"/>
          <w:color w:val="auto"/>
        </w:rPr>
        <w:t xml:space="preserve">Lease operating expenses. </w:t>
      </w:r>
      <w:r>
        <w:rPr>
          <w:rFonts w:ascii="Arial" w:cs="Arial" w:eastAsia="Arial" w:hAnsi="Arial"/>
          <w:sz w:val="17"/>
          <w:szCs w:val="17"/>
          <w:color w:val="auto"/>
        </w:rPr>
        <w:t>Our lease operating expenses increased $24.3 million, or 26%, to $117.3 million for the year ended December 31, 2019,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$93.0 million for the year ended December 31, 2018. The increase in lease operating expenses for the year ended December 31, 2019 was primarily attributable to an increase in the costs of services and equipment related to the increased number of wells we operated during the year ended December 31, 2019. Our lease operating expenses on a unit-of-production basis decreased 1% to $4.85 per BOE for the year ended December 31, 2019, as compared to $4.89 per BOE for the year ended December 31, 2018, as the 26% increase in total lease operating expenses was approximately offset by the 27% increase in total equivalent oil production between the respective periods.</w:t>
      </w:r>
    </w:p>
    <w:p>
      <w:pPr>
        <w:spacing w:after="0" w:line="1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Plant and other midstream services operating. </w:t>
      </w:r>
      <w:r>
        <w:rPr>
          <w:rFonts w:ascii="Arial" w:cs="Arial" w:eastAsia="Arial" w:hAnsi="Arial"/>
          <w:sz w:val="18"/>
          <w:szCs w:val="18"/>
          <w:color w:val="auto"/>
        </w:rPr>
        <w:t>Our plant and other midstream services operating expenses increased $12.2 million, or 50%, to $36.8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2019, as compared to $24.6 million for the year ended December 31, 2018. This increase was primarily attributable to (i) increased expenses associated with our expanded commercial salt water disposal operations of $18.1 million for the year ended December 31, 2019, as compared to $13.1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for the year ended December 31, 2018, (ii) increased expenses associated with the Black River Processing Plant, which was expanded late in the first quarter of 2018, of $11.0 million for the year ended December 31, 2019, as compared to $7.6 million for the year ended December 31, 2018, and (iii) increased expenses associated with pipeline operations of $7.9 million for the year ended December 31, 2019, as compared to $3.5 million for the year ended December 31, 2018.</w:t>
      </w:r>
    </w:p>
    <w:p>
      <w:pPr>
        <w:spacing w:after="0" w:line="13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Depletion, depreciation and amortization. </w:t>
      </w:r>
      <w:r>
        <w:rPr>
          <w:rFonts w:ascii="Arial" w:cs="Arial" w:eastAsia="Arial" w:hAnsi="Arial"/>
          <w:sz w:val="17"/>
          <w:szCs w:val="17"/>
          <w:color w:val="auto"/>
        </w:rPr>
        <w:t>Our depletion, depreciation and amortization expenses increased $85.4 million, or 32%, to $350.5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2019, as compared to $265.1 million for the year ended December 31, 2018. On a unit-of-production basis, our depletion, depreciation and amortization expenses increased 4% to $14.51 per BOE for the year ended December 31, 2019, as compared to $13.94 per BOE for the year ended December 31, 2018. These increases were primarily attributable to (i) a somewhat higher depletion rate in 2019 as compared to 2018, resulting from our total equivalent oil production growth being slightly greater than the growth in our total proved oil and natural gas reserves, and (ii) increased depreciation expenses associated with our expanded midstream assets of approximately $16.1 million for the year ended December 31, 2019, as compared to $10.5 million for the year ended December 31, 2018.</w:t>
      </w:r>
    </w:p>
    <w:p>
      <w:pPr>
        <w:spacing w:after="0" w:line="12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$10.7 million, or 16%, to $80.1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as compared to $69.3 million for the year ended December 31, 2018. The increase in our general and administrative expenses was primarily attributable to increased payroll expenses of approximately $13.8 million associated with additional employees to support our increased land, geoscience, drilling, completion, production, midstream, accounting and administration functions as a result of our continued growth. This increase was partially offset by an increase of capitalized general and administrative expenses of $3.1 million for the year ended December 31, 2019. Our general and administrative expenses decreased 9% on a unit-of-production basis to $3.31 per BOE for the year ended December 31, 2019, as compared to $3.64 per BOE for the year ended December 31, 2018, as the 27% increase in total oil equivalent production between the respective periods more than offset the 9% increase in our general and administrative expenses.</w:t>
      </w:r>
    </w:p>
    <w:p>
      <w:pPr>
        <w:spacing w:after="0" w:line="13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For the year ended December 31, 2019, we incurred total interest expense of approximately $82.4 million. We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$8.5 million of our interest expense on certain qualifying projects for the year ended December 31, 2019 and expensed the remaining $73.9 million to operations. For the year ended December 31, 2018, we incurred total interest expense of approximately $50.2 million. We capitalized $8.8 million of our interest expense on certain qualifying projects for the year ended December 31, 2018 and expensed the remaining $41.3 million to operations. The increase in total interest expense for the year ended December 31, 2019, as compared to the year ended December 31, 2018, was primarily attributable to an increase in our average debt outstanding. In August and September 2018, we completed a tender offer and redemption of our $575.0 million aggregate principal amount of 6.875% senior notes due 2023 (the “2023 Notes”). In August 2018, we issued $750.0 million aggregate principal amount of 5.875% notes due 2026 (the “Original 2026 Notes”), and in October 2018, we issued an additional $300.0 million aggregate principal amount of 5.875% notes due 2026 (the “Additional 2026 Notes” and, together with the Original 2026 Notes, the “2026 Notes”), increasing our total senior notes outstanding to $1.05 billion at December 31, 2018.</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i w:val="1"/>
          <w:iCs w:val="1"/>
          <w:color w:val="auto"/>
        </w:rPr>
        <w:t xml:space="preserve">Prepayment premium on extinguishment of debt. </w:t>
      </w:r>
      <w:r>
        <w:rPr>
          <w:rFonts w:ascii="Arial" w:cs="Arial" w:eastAsia="Arial" w:hAnsi="Arial"/>
          <w:sz w:val="18"/>
          <w:szCs w:val="18"/>
          <w:color w:val="auto"/>
        </w:rPr>
        <w:t>For the year ended December 31, 2018, we incurred a prepayment premium on extinguishment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of $31.2 million resulting from the tender offer to purchase for cash and subsequent redemption of all of our 2023 Notes. There was no similar expense incurred for the year ended December 31, 2019.</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 xml:space="preserve">Total income tax provision (benefit). </w:t>
      </w:r>
      <w:r>
        <w:rPr>
          <w:rFonts w:ascii="Arial" w:cs="Arial" w:eastAsia="Arial" w:hAnsi="Arial"/>
          <w:sz w:val="17"/>
          <w:szCs w:val="17"/>
          <w:color w:val="auto"/>
        </w:rPr>
        <w:t>We recorded a total income tax provision of $35.5 million for the year ended December 31, 2019. Total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the year ended December 31, 2019 differed from amounts computed by applying the U.S. federal statutory tax rates to pre-tax income due primarily to the impact of permanent differences between book and taxable income and state taxes, primarily in New Mexico.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Our primary use of capital has been, and we expect will continue to be during 2020 and for the foreseeable future, for the acquisition, exploration and development of oil and natural gas properties and for midstream investments. Excluding any possible significant acquisitions, we expect to fund our 2020 capital expenditures through a combination of cash on hand, operating cash flows, performance incentives in connection with San Mateo, borrowings under our Credit Agreement (assuming availability under our borrowing base of $900.0 million) and borrowings under the San Mateo Credit Facility (assuming availability under the accordion feature of such facility to up to $400.0 million). In addition, in 2020, we expect to receive a portion of the $50.0 million capital carry Five Point agreed to provide to us in conjunction with the formation of San Mateo II. We continually evaluate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December 31, 2019, we had cash totaling approximately $40.0 million and restricted cash totaling approximately $25.1 million, most of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5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October 2018, the lenders under our Credit Agreement, led by Royal Bank of Canada, completed their review of our proved oil and natural gas reserves at June 30, 2018. In connection with such review, we amended the Credit Agreement to, among other items, increase the maximum facility amount to $1.5 billion, increase the borrowing base to $850.0 million, increase the elected borrowing commitment to $500.0 million, extend the maturity to October 31, 2023, reduce borrowing rates by 0.25% per annum and set the maximum leverage ratio at 4.00 to 1.00. Borrowings under the Credit Agreement are limited to the lowest of the borrowing base, the maximum facility amount and the elected borrowing commitment.</w:t>
      </w:r>
    </w:p>
    <w:p>
      <w:pPr>
        <w:spacing w:after="0" w:line="64"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In April 2019, the lenders under our Credit Agreement completed their review of our proved oil and natural gas reserves at December 31, 2018, and as a result, the borrowing base was increased to $900.0 million with the elected borrowing commitment remaining at $500.0 million. In October 2019, the lenders under our Credit Agreement completed their review of our proved oil and natural gas reserves at June 30, 2019, and as a result, the borrowing base was affirmed at $900.0 million with the elected borrowing commitment remaining at $500.0 million.</w:t>
      </w:r>
    </w:p>
    <w:p>
      <w:pPr>
        <w:spacing w:after="0" w:line="79" w:lineRule="exact"/>
        <w:rPr>
          <w:sz w:val="20"/>
          <w:szCs w:val="20"/>
          <w:color w:val="auto"/>
        </w:rPr>
      </w:pPr>
    </w:p>
    <w:p>
      <w:pPr>
        <w:ind w:right="100" w:firstLine="392"/>
        <w:spacing w:after="0" w:line="264" w:lineRule="auto"/>
        <w:rPr>
          <w:sz w:val="20"/>
          <w:szCs w:val="20"/>
          <w:color w:val="auto"/>
        </w:rPr>
      </w:pPr>
      <w:r>
        <w:rPr>
          <w:rFonts w:ascii="Arial" w:cs="Arial" w:eastAsia="Arial" w:hAnsi="Arial"/>
          <w:sz w:val="18"/>
          <w:szCs w:val="18"/>
          <w:color w:val="auto"/>
        </w:rPr>
        <w:t>In February 2020, the lenders under our Credit Agreement completed their review of our proved oil and natural gas reserves at December 31, 2019, and as a result, the borrowing base was again affirmed at $900.0 million, and we increased the elected borrowing commitment from $500.0 million to $700.0 million.</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December 2018, San Mateo I entered into the San Mateo Credit Facility, a $250.0 million credit facility led by The Bank of Nova Scotia, as administrative agent, and including all lenders in the Credit Agreement at that time. The San Mateo Credit Facility, which matures December 19, 2023, includes an accordion feature, which provides for potential increases to up to $400.0 million. The San Mateo Credit Facility is guaranteed by San Mateo I’s subsidiaries, secured by substantially all of San Mateo I’s assets, including real property, and is non-recourse to Matador and its wholly-owned subsidiaries, as well as San Mateo II and its subsidiaries.</w:t>
      </w:r>
    </w:p>
    <w:p>
      <w:pPr>
        <w:spacing w:after="0" w:line="8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June and October 2019, pursuant to the accordion feature, the lender commitments under the San Mateo Credit Facility were increased to $325.0 million and $375.0 million, respectively.</w:t>
      </w:r>
    </w:p>
    <w:p>
      <w:pPr>
        <w:spacing w:after="0" w:line="6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 2019, we converted approximately $21.9 million of non-core assets to cash. These properties were primarily located in South Texas and Northwest Louisiana and East Texas but included a small portion of our leasehold in a non-operated area of the Delaware Basin.</w:t>
      </w:r>
    </w:p>
    <w:p>
      <w:pPr>
        <w:spacing w:after="0" w:line="6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At December 31, 2019, we had (i) $1.05 billion of outstanding 2026 Notes, (ii) $255.0 million in borrowings outstanding under the Credit Agreement and (iii) approximately $46.1 million in outstanding letters of credit issued pursuant to the Credit Agreement, and San Mateo I had $288.0 million in borrowings outstanding under the San Mateo Credit Facility and approximately $16.2 million in outstanding letters of credit issued pursuant to the San Mateo Credit Facility. At February 25, 2020, we had (x) $1.05 billion of outstanding 2026 Notes, (y) $255.0 million in borrowings outstanding under the Credit Agreement and (z) approximately $46.0 million in outstanding letters of credit issued pursuant to the Credit Agreement, and San Mateo I had $288.0 million in borrowings outstanding and approximately $16.2 million in outstanding letters of credit issued pursuant to the San Mateo Credit Facility.</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expect that development of our Delaware Basin assets will be the primary focus of our operations and capital expenditures in 2020. We plan to operate six contracted drilling rigs drilling primarily oil and natural gas wells in the Delaware Basin throughout 2020. Our 2020 estimated capital expenditure budget consists of $690.0 to $750.0 million for D/C/E capital expenditures and $85.0 to $105.0 million for midstream capital expenditures, which primarily reflects our proportionate share of San Mateo’s estimated combined 2020 capital expenditures of $190.0 to $235.0 million and also accounts for the remaining portions of the $50.0 million capital carry that Five Point agreed to provide to us in conjunction with the formation of San Mateo II. Substantially all of these 2020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2020 Delaware Basin drilling program is expected to focus on the continued development of our various asset areas throughout the Delaware Basin, with a particular emphasis on drilling and completing a higher percentage of longer horizontal wells in 2020, including 74% with anticipated completed lateral lengths of two miles. We have continued to build significant optionality into our drilling program. Three of our rigs operate on longer-term contracts with remaining average terms of approximately 19 months. The other three rigs are on short-term contracts with remaining obligations of 12 months or less. This affords us the ability to modify our drilling program as we may deem necessary based on changing commodity prices and other factors.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To narrow any potential difference between our 2020 capital expenditures and operating cash flows, we may divest portions of our non-core assets, particularly in the Haynesville shale and in parts of our South Texas positions (as we did in 2019, converting $21.9 million of non-core assets to cash),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2020. These monetizations, divestitures and expenditures are opportunity-specific, and purchase price multiples and per-acre prices can vary significantly based on the asset or prospect. As a result, it is difficult to estimate these 2020 monetizations, divestitures and capital expenditures with any degree of certainty; therefore, we have not provided estimated proceeds related to monetizations or divestitures or estimated capital expenditures related to acreage and mineral acquisitions for 2020.</w:t>
      </w:r>
    </w:p>
    <w:p>
      <w:pPr>
        <w:spacing w:after="0" w:line="5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2020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9" w:lineRule="exact"/>
        <w:rPr>
          <w:sz w:val="20"/>
          <w:szCs w:val="20"/>
          <w:color w:val="auto"/>
        </w:rPr>
      </w:pPr>
    </w:p>
    <w:p>
      <w:pPr>
        <w:ind w:right="40" w:firstLine="432"/>
        <w:spacing w:after="0" w:line="283" w:lineRule="auto"/>
        <w:rPr>
          <w:sz w:val="20"/>
          <w:szCs w:val="20"/>
          <w:color w:val="auto"/>
        </w:rPr>
      </w:pPr>
      <w:r>
        <w:rPr>
          <w:rFonts w:ascii="Arial" w:cs="Arial" w:eastAsia="Arial" w:hAnsi="Arial"/>
          <w:sz w:val="16"/>
          <w:szCs w:val="16"/>
          <w:color w:val="auto"/>
        </w:rPr>
        <w:t>Exploration and development activities are subject to a number of risks and uncertainties, which could cause these activities to be less successful than we anticipate. A significant portion of our anticipated cash flows from operations for 2020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2020 and the hedges we currently have in place.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2019. See “Risk Factors</w:t>
      </w:r>
    </w:p>
    <w:p>
      <w:pPr>
        <w:spacing w:after="0" w:line="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 — Drilling for and Producing Oil and Natural Gas Are Highly Speculative and Involve a High Degree of Operational and Financial Risk, with Many Uncertainties That Could Adversely Affect Our Business” and “Risk Factors — Our Identified Drilling Locations Are Scheduled over Several Years, Making Them Susceptible to Uncertainties That Could Materially Alter the Occurrence or Timing of Their Drilling.”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440" w:type="dxa"/>
            <w:vAlign w:val="bottom"/>
            <w:gridSpan w:val="2"/>
          </w:tcPr>
          <w:p>
            <w:pPr>
              <w:ind w:left="440"/>
              <w:spacing w:after="0"/>
              <w:rPr>
                <w:sz w:val="20"/>
                <w:szCs w:val="20"/>
                <w:color w:val="auto"/>
              </w:rPr>
            </w:pPr>
            <w:r>
              <w:rPr>
                <w:rFonts w:ascii="Arial" w:cs="Arial" w:eastAsia="Arial" w:hAnsi="Arial"/>
                <w:sz w:val="18"/>
                <w:szCs w:val="18"/>
                <w:color w:val="auto"/>
                <w:w w:val="93"/>
              </w:rPr>
              <w:t>Our cash flows for the years ended December 31, 2019, 2018 and 2017 are presented below.</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3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299,125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(903,976)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(1,515,253)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(819,284)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333,078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888,232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408,499</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change in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(111,660)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Net cash provided by operating activities decreased by $56.5 million to $552.0 million for the year ended December 31, 2019, as compared to net cash provided by operating activities of $608.5 million for the year ended December 31, 2018. Excluding changes in operating assets and liabilities, net cash provided by operating activities increased to $586.6 million for the year ended December 31, 2019 from $544.1 million for the year ended December 31, 2018. This increase was primarily attributable to higher oil and natural gas production, which was partially offset by lower oil and natural gas prices realized during the year ended December 31, 2019, as compared to the year ended December 31, 2018. Changes in our operating assets and liabilities between December 31, 2018 and December 31, 2019 resulted in a net decrease of approximately $98.9 million in net cash provided by operating activities for the year ended December 31, 2019, as compared to the year ended December 31, 2018.</w:t>
      </w:r>
    </w:p>
    <w:p>
      <w:pPr>
        <w:spacing w:after="0" w:line="70" w:lineRule="exact"/>
        <w:rPr>
          <w:sz w:val="20"/>
          <w:szCs w:val="20"/>
          <w:color w:val="auto"/>
        </w:rPr>
      </w:pPr>
    </w:p>
    <w:p>
      <w:pPr>
        <w:ind w:right="380" w:firstLine="432"/>
        <w:spacing w:after="0" w:line="291" w:lineRule="auto"/>
        <w:rPr>
          <w:sz w:val="20"/>
          <w:szCs w:val="20"/>
          <w:color w:val="auto"/>
        </w:rPr>
      </w:pPr>
      <w:r>
        <w:rPr>
          <w:rFonts w:ascii="Arial" w:cs="Arial" w:eastAsia="Arial" w:hAnsi="Arial"/>
          <w:sz w:val="16"/>
          <w:szCs w:val="16"/>
          <w:color w:val="auto"/>
        </w:rPr>
        <w:t>Our operating cash flows are sensitive to a number of variables, including changes in our production and the volatility of oil and natural gas prices between reporting periods. Regional and worldwide economic activity, the actions of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Net cash used in investing activities decreased by $611.3 million to $904.0 million for the year ended December 31, 2019 from $1.52 billion for the year ended December 31, 2018. This decrease in net cash used in investing activities was attributable to (i) a decrease of $627.6 million in oil and natural gas properties capital expenditures and (ii) an increase of $13.6 million in proceeds from sales of assets for the year ended December 31, 2019, both as compared to the year ended December 31, 2018. This decrease in oil and natural gas properties expenditures was partially offset by an increase of approximately $28.8 million in expenditures for midstream support equipment and facilities, which included the construction of a further expansion of the Black River Processing Plant and associated infrastructure, additional salt water disposal wells and additional pipeline infrastructure. Cash used for oil and natural gas properties capital expenditures for the year ended December 31, 2019 was primarily attributable to our operated and non-operated drilling and completion activities in the Delaware Basin and our nine-well program in South Texas concluded in the first half of 2019. In 2018, we completed the BLM Acquisition, through which we acquired 8,400 gross and net leasehold acres in Lea and Eddy Counties, New Mexico for approximately $387 million. The absence of an acquisition of similar magnitude in 2019 was the primary reason for the significant decrease in net cash used in investing activities in 2019, as compared to 2018.</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Net cash provided by financing activities was $333.1 million for the year ended December 31, 2019, as compared to net cash provided by financing activities of $888.2 million for the year ended December 31, 2018. The net cash provided by financing activities for the year ended December 31, 2019 was primarily attributable to net borrowings under our Credit Agreement of $215.0 million, borrowings under the San Mateo Credit Facility of $68.0 million, contributions from non-controlling interest owners of less-than-wholly-owned subsidiaries of $77.3 million and contributions related to the formation of San Mateo I of $14.7 million. These cash inflows were partially offset by distributions to non-controlling interest owners of less-than-wholly-owned subsidiaries of $39.2 million. We conducted no equity or senior notes offerings during the year ended December 31, 2019, as compared to the year ended December 31, 2018, during which we conducted an equity offering and two senior notes offerings, which was the primary reason for the significant change in cash provided by financing activities between the respective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08"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See Note 7 to the consolidated financial statements in this Annual Report for a summary of our debt, including our Credit Agreement, the San Mateo Credit Facility and the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2019, the material off-balance sheet arrangements and transactions that we have entered into include (i) non-operated drilling commitments,</w:t>
      </w:r>
    </w:p>
    <w:p>
      <w:pPr>
        <w:spacing w:after="0" w:line="32" w:lineRule="exact"/>
        <w:rPr>
          <w:sz w:val="20"/>
          <w:szCs w:val="20"/>
          <w:color w:val="auto"/>
        </w:rPr>
      </w:pPr>
    </w:p>
    <w:p>
      <w:pPr>
        <w:ind w:right="20" w:firstLine="8"/>
        <w:spacing w:after="0" w:line="269"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firm transportation, gathering, processing and disposal commitments and (iii) contractual obligations for which the ultimate settlement amounts are not fixed and determinable, such as derivative contracts that are sensitive to future changes in commodity prices or interest rates, gathering, treating and transportation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3"/>
                <w:szCs w:val="13"/>
                <w:color w:val="auto"/>
              </w:rPr>
            </w:pPr>
          </w:p>
        </w:tc>
        <w:tc>
          <w:tcPr>
            <w:tcW w:w="92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Revolving credit borrowings, including letters of credit</w:t>
            </w:r>
            <w:r>
              <w:rPr>
                <w:rFonts w:ascii="Arial" w:cs="Arial" w:eastAsia="Arial" w:hAnsi="Arial"/>
                <w:sz w:val="8"/>
                <w:szCs w:val="8"/>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605,351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605,351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unsecured notes</w:t>
            </w:r>
            <w:r>
              <w:rPr>
                <w:rFonts w:ascii="Arial" w:cs="Arial" w:eastAsia="Arial" w:hAnsi="Arial"/>
                <w:sz w:val="8"/>
                <w:szCs w:val="8"/>
                <w:color w:val="auto"/>
              </w:rPr>
              <w:t>(2)</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Office leases</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8,013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Non-operated drilling commitments</w:t>
            </w:r>
            <w:r>
              <w:rPr>
                <w:rFonts w:ascii="Arial" w:cs="Arial" w:eastAsia="Arial" w:hAnsi="Arial"/>
                <w:sz w:val="8"/>
                <w:szCs w:val="8"/>
                <w:color w:val="auto"/>
              </w:rPr>
              <w:t>(3)</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Drilling rig contracts</w:t>
            </w:r>
            <w:r>
              <w:rPr>
                <w:rFonts w:ascii="Arial" w:cs="Arial" w:eastAsia="Arial" w:hAnsi="Arial"/>
                <w:sz w:val="8"/>
                <w:szCs w:val="8"/>
                <w:color w:val="auto"/>
              </w:rPr>
              <w:t>(4)</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41,681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28,195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r>
              <w:rPr>
                <w:rFonts w:ascii="Arial" w:cs="Arial" w:eastAsia="Arial" w:hAnsi="Arial"/>
                <w:sz w:val="8"/>
                <w:szCs w:val="8"/>
                <w:color w:val="auto"/>
              </w:rPr>
              <w:t>(5)</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36,211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30,831</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Natural gas transportation, gathering and processing agreements with non-affiliates</w:t>
            </w:r>
            <w:r>
              <w:rPr>
                <w:rFonts w:ascii="Arial" w:cs="Arial" w:eastAsia="Arial" w:hAnsi="Arial"/>
                <w:sz w:val="8"/>
                <w:szCs w:val="8"/>
                <w:color w:val="auto"/>
              </w:rPr>
              <w:t>(6)</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645,984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134,857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134,888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320,838</w:t>
            </w:r>
          </w:p>
        </w:tc>
        <w:tc>
          <w:tcPr>
            <w:tcW w:w="0" w:type="dxa"/>
            <w:vAlign w:val="bottom"/>
          </w:tcPr>
          <w:p>
            <w:pPr>
              <w:spacing w:after="0"/>
              <w:rPr>
                <w:sz w:val="1"/>
                <w:szCs w:val="1"/>
                <w:color w:val="auto"/>
              </w:rPr>
            </w:pPr>
          </w:p>
        </w:tc>
      </w:tr>
      <w:tr>
        <w:trPr>
          <w:trHeight w:val="276"/>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Gathering, processing and disposal agreements with San Mateo</w:t>
            </w:r>
            <w:r>
              <w:rPr>
                <w:rFonts w:ascii="Arial" w:cs="Arial" w:eastAsia="Arial" w:hAnsi="Arial"/>
                <w:sz w:val="8"/>
                <w:szCs w:val="8"/>
                <w:color w:val="auto"/>
              </w:rPr>
              <w:t>(7)</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516,646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287,765</w:t>
            </w:r>
          </w:p>
        </w:tc>
        <w:tc>
          <w:tcPr>
            <w:tcW w:w="0" w:type="dxa"/>
            <w:vAlign w:val="bottom"/>
          </w:tcPr>
          <w:p>
            <w:pPr>
              <w:spacing w:after="0"/>
              <w:rPr>
                <w:sz w:val="1"/>
                <w:szCs w:val="1"/>
                <w:color w:val="auto"/>
              </w:rPr>
            </w:pPr>
          </w:p>
        </w:tc>
      </w:tr>
      <w:tr>
        <w:trPr>
          <w:trHeight w:val="264"/>
        </w:trPr>
        <w:tc>
          <w:tcPr>
            <w:tcW w:w="5840" w:type="dxa"/>
            <w:vAlign w:val="bottom"/>
          </w:tcPr>
          <w:p>
            <w:pPr>
              <w:ind w:left="40"/>
              <w:spacing w:after="0"/>
              <w:rPr>
                <w:sz w:val="20"/>
                <w:szCs w:val="20"/>
                <w:color w:val="auto"/>
              </w:rPr>
            </w:pPr>
            <w:r>
              <w:rPr>
                <w:rFonts w:ascii="Arial" w:cs="Arial" w:eastAsia="Arial" w:hAnsi="Arial"/>
                <w:sz w:val="14"/>
                <w:szCs w:val="14"/>
                <w:color w:val="auto"/>
              </w:rPr>
              <w:t>Natural gas engineering, construction and installation contract</w:t>
            </w:r>
            <w:r>
              <w:rPr>
                <w:rFonts w:ascii="Arial" w:cs="Arial" w:eastAsia="Arial" w:hAnsi="Arial"/>
                <w:sz w:val="8"/>
                <w:szCs w:val="8"/>
                <w:color w:val="auto"/>
              </w:rPr>
              <w:t>(8)</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contractual cash obligations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2,989,444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1,695,265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hanging="330"/>
        <w:spacing w:after="0" w:line="273" w:lineRule="auto"/>
        <w:tabs>
          <w:tab w:leader="none" w:pos="4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At December 31, 2019, we had $255.0 million of borrowings outstanding under the Credit Agreement and approximately $46.1 million in outstanding letters of credit issued pursuant to the Credit Agreement. The Credit Agreement matures in October 2023. At December 31, 2019 San Mateo I had $288.0 million of borrowings outstanding under the San Mateo Credit Facility and approximately $16.2 million in outstanding letters of credit issued pursuant to the San Mateo Credit Facility. The San Mateo Credit Facility matures in December 2023. Assuming the amounts outstanding and interest rates of 3.28% and 3.55% (for the Credit Agreement and the San Mateo Credit Facility), respectively, at December 31, 2019, the interest expense is expected to be approximately $8.4 million and $10.4 million each year until maturity.</w:t>
      </w:r>
    </w:p>
    <w:p>
      <w:pPr>
        <w:spacing w:after="0" w:line="68" w:lineRule="exact"/>
        <w:rPr>
          <w:rFonts w:ascii="Arial" w:cs="Arial" w:eastAsia="Arial" w:hAnsi="Arial"/>
          <w:sz w:val="13"/>
          <w:szCs w:val="13"/>
          <w:color w:val="auto"/>
        </w:rPr>
      </w:pPr>
    </w:p>
    <w:p>
      <w:pPr>
        <w:ind w:left="460" w:right="180" w:hanging="330"/>
        <w:spacing w:after="0" w:line="273" w:lineRule="auto"/>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December 31, 2019 is expected to be approximately $61.7 million each year until maturity.</w:t>
      </w:r>
    </w:p>
    <w:p>
      <w:pPr>
        <w:spacing w:after="0" w:line="65" w:lineRule="exact"/>
        <w:rPr>
          <w:rFonts w:ascii="Arial" w:cs="Arial" w:eastAsia="Arial" w:hAnsi="Arial"/>
          <w:sz w:val="14"/>
          <w:szCs w:val="14"/>
          <w:color w:val="auto"/>
        </w:rPr>
      </w:pPr>
    </w:p>
    <w:p>
      <w:pPr>
        <w:ind w:left="460" w:right="80" w:hanging="330"/>
        <w:spacing w:after="0" w:line="257" w:lineRule="auto"/>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At December 31, 2019, we had outstanding commitments to participate in the drilling and completion of various non-operated wells. Our working interests in these wells are typically small, and certain of these wells were in progress at December 31, 2019. If all of these wells are drilled and completed, we will have minimum outstanding aggregate commitments for our participation in these wells of approximately $26.9 million at December 31, 2019, which we expect to incur within the next year.</w:t>
      </w:r>
    </w:p>
    <w:p>
      <w:pPr>
        <w:spacing w:after="0" w:line="77" w:lineRule="exact"/>
        <w:rPr>
          <w:rFonts w:ascii="Arial" w:cs="Arial" w:eastAsia="Arial" w:hAnsi="Arial"/>
          <w:sz w:val="14"/>
          <w:szCs w:val="14"/>
          <w:color w:val="auto"/>
        </w:rPr>
      </w:pPr>
    </w:p>
    <w:p>
      <w:pPr>
        <w:ind w:left="460" w:right="40" w:hanging="330"/>
        <w:spacing w:after="0" w:line="273" w:lineRule="auto"/>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65" w:lineRule="exact"/>
        <w:rPr>
          <w:rFonts w:ascii="Arial" w:cs="Arial" w:eastAsia="Arial" w:hAnsi="Arial"/>
          <w:sz w:val="14"/>
          <w:szCs w:val="14"/>
          <w:color w:val="auto"/>
        </w:rPr>
      </w:pPr>
    </w:p>
    <w:p>
      <w:pPr>
        <w:ind w:left="460" w:hanging="330"/>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December 31, 2019.</w:t>
      </w:r>
    </w:p>
    <w:p>
      <w:pPr>
        <w:spacing w:after="0" w:line="109" w:lineRule="exact"/>
        <w:rPr>
          <w:rFonts w:ascii="Arial" w:cs="Arial" w:eastAsia="Arial" w:hAnsi="Arial"/>
          <w:sz w:val="14"/>
          <w:szCs w:val="14"/>
          <w:color w:val="auto"/>
        </w:rPr>
      </w:pPr>
    </w:p>
    <w:p>
      <w:pPr>
        <w:ind w:left="460" w:hanging="330"/>
        <w:spacing w:after="0" w:line="246" w:lineRule="auto"/>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late 2015, we entered into a 15-year fixed-fee natural gas gathering and processing agreement for a significant portion of our operated natural gas production in Loving County, Texas. In late 2017, we entered into an 18-year fixed-fee natural gas transportation agreement whereby we committed to deliver a portion of the residue gas production at the tailgate of the Black River Processing Plant to transport through the counterparty’s pipeline in Eddy County, New Mexico. In late 2017, we also entered into a fixed-fee NGL transportation and fractionation agreement whereby we committed to deliver our NGL production at the tailgate of the Black River Processing Plant. We have committed to deliver a minimum amount of NGLs to the counterparty upon construction and completion of a pipeline expansion and a fractionation facility by the counterparty, which is currently expected to be completed in 2020. We have no rights to compel the counterparty to construct this pipeline extension or fractionation facility. If the counterparty does not construct the pipeline extension and fractionation facility, then we do not have any minimum volume commitments under the agreement. If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460"/>
        <w:spacing w:after="0" w:line="352" w:lineRule="auto"/>
        <w:rPr>
          <w:sz w:val="20"/>
          <w:szCs w:val="20"/>
          <w:color w:val="auto"/>
        </w:rPr>
      </w:pPr>
      <w:r>
        <w:rPr>
          <w:rFonts w:ascii="Arial" w:cs="Arial" w:eastAsia="Arial" w:hAnsi="Arial"/>
          <w:sz w:val="13"/>
          <w:szCs w:val="13"/>
          <w:color w:val="auto"/>
        </w:rPr>
        <w:t>counterparty constructs the pipeline extension and fractionation facility on or prior to February 28, 2021, then we will have a commitment to deliver a minimum amount of NGLs for seven years following the completion of the pipeline extension and fractionation facility. If we do not meet our NGL volume commitment in any quarter during the seven-year commitment period, we will be required to pay a deficiency fee per gallon of NGL deficiency. The amounts in the table assume that the seven-year period containing minimum NGL volume commitments begins in 2020. In the second quarter of 2018, we entered into a 16-year, fixed-fee natural gas transportation agreement that begins on October 1, 2019 whereby we committed to deliver a portion of the residue gas production at the tailgate of the Black River Processing Plant to transport through the counterparty’s pipeline. Additionally, in the second quarter of 2018, we entered into a short-term natural gas transportation agreement whereby we committed to deliver a portion of the residue gas production at the tailgate of the Black River Processing Plant to transport through the counterparty’s pipeline. In the second quarter of 2018, we entered into a 10-year, fixed-fee natural gas sales agreement whereby we committed to deliver residue gas through the counterparty’s pipeline to the Texas Gulf Coast beginning on the in-service date for such pipeline, which became operational in late September 2019. Lastly, in October 2019, we entered into a 15-year, fixed-fee natural gas transportation agreement whereby we committed to deliver a portion of the residue gas production at the tailgate of the Black River Processing Plant to transport through the counterparty’s pipeline. See Note 14 to the consolidated financial statements in this Annual Report for more information regarding these contractual commitments.</w:t>
      </w:r>
    </w:p>
    <w:p>
      <w:pPr>
        <w:spacing w:after="0" w:line="49" w:lineRule="exact"/>
        <w:rPr>
          <w:sz w:val="20"/>
          <w:szCs w:val="20"/>
          <w:color w:val="auto"/>
        </w:rPr>
      </w:pPr>
    </w:p>
    <w:p>
      <w:pPr>
        <w:ind w:left="460" w:right="40" w:hanging="330"/>
        <w:spacing w:after="0" w:line="247"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February 2017, in connection with the formation of San Mateo I, we dedicated our current and certain future leasehold interests in the Rustler Breaks and Wolf asset areas pursuant to 15-year, fixed-fee natural gas, oil and salt water gathering agreements and salt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salt water gathering, natural gas processing and salt water disposal. See Note 14 to the consolidated financial statements in this Annual Report for more information regarding these contractual commitments.</w:t>
      </w:r>
    </w:p>
    <w:p>
      <w:pPr>
        <w:spacing w:after="0" w:line="86" w:lineRule="exact"/>
        <w:rPr>
          <w:rFonts w:ascii="Arial" w:cs="Arial" w:eastAsia="Arial" w:hAnsi="Arial"/>
          <w:sz w:val="14"/>
          <w:szCs w:val="14"/>
          <w:color w:val="auto"/>
        </w:rPr>
      </w:pPr>
    </w:p>
    <w:p>
      <w:pPr>
        <w:ind w:left="460" w:hanging="330"/>
        <w:spacing w:after="0" w:line="257"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Beginning in June 2019, a subsidiary of San Mateo II entered into an agreement with third parties for the engineering, procurement, construction and installation of an expansion of the Black River Processing Plant, including required compression. See Note 14 to the consolidated financial statements in this Annual Report for more information regarding these contractual commitments.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and results of operations. Commodity prices are affected by changes in market supply and demand, which are impacted by overall economic activity, the actions of OPEC, weather, pipeline capacity constraints, inventory storage levels, oil and natural gas price differentials and other factors.</w:t>
      </w:r>
    </w:p>
    <w:p>
      <w:pPr>
        <w:spacing w:after="0" w:line="6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2019, oil prices generally declined from the prices we experienced in 2018 and remained significantly below their most recent highs in 2014. For the year ended December 31, 2019, oil prices averaged $57.01 per Bbl, as compared to $64.89 per Bbl for the year ended December 31, 2018, based upon the NYMEX West Texas Intermediate oil futures contract price for the earliest delivery date. During 2019, oil prices began the year at $45.41 per Bbl, which was the low for the year, and increased steadily, reaching a high of $66.30 per Bbl in late April. Oil prices declined during the third quarter of 2019 before increasing again during the fourth quarter of 2019 to finish the year at $61.06 per Bbl. In early 2020, oil prices have been particularly volatile, ranging from a high of $65.00 per Bbl in early January to below $45.00 per Bbl in late February.</w:t>
      </w:r>
    </w:p>
    <w:p>
      <w:pPr>
        <w:spacing w:after="0" w:line="7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We realized a weighted average oil price of $54.34 per Bbl ($54.98 per Bbl including realized gains from oil derivatives) for our oil production for the year ended December 31, 2019, as compared to $57.04 per Bbl ($57.38 per Bbl including realized gains from oil derivatives) for the year ended December 31, 2018. At February 25, 2020, the NYMEX West Texas Intermediate oil futures contract price for the earliest delivery date had declined from year-end 2019, closing at $49.90 per Bbl, and was lower compared to $55.48 per Bbl on February 25, 2019.</w:t>
      </w:r>
    </w:p>
    <w:p>
      <w:pPr>
        <w:spacing w:after="0" w:line="6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Natural gas prices dropped significantly during much of 2019. For the year ended December 31, 2019, natural gas prices averaged $2.53 per MMBtu, as compared to $3.07 per MMbtu for the year ended December 31, 2018, based upon the NYMEX Henry Hub natural gas futures contract price for the earliest delivery date. During 2019, natural gas prices began the year at $2.94 per MMBtu and reached a high of $3.59 per MMBtu in mid-January, before declining to low of $2.07 per MMBtu in early August and finishing the year at $2.19 per MMBtu.</w:t>
      </w:r>
    </w:p>
    <w:p>
      <w:pPr>
        <w:spacing w:after="0" w:line="7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realized a weighted average natural gas price of $2.17 per Mcf ($2.18 per Mcf including realized gains from natural gas derivatives) for our natural gas production for the year ended December 31, 2019, as compared to $3.49 per Mcf ($3.46 per Mcf including realized losses from natural gas derivatives) for the year ended December 31, 2018. As a two-stream reporter, the revenues associated with our NGL production are included in the weighted average natural gas price. NGL prices were weaker in 2019, as compared to 2018. At February 25, 2020, the NYMEX Henry Hub natural gas futures contract price for the earliest delivery date had declined further from year-end 2019, closing at $1.85 per MMBtu, and was significantly lower as compared to $2.84 per MMBtu at February 25, 2019.</w:t>
      </w:r>
    </w:p>
    <w:p>
      <w:pPr>
        <w:spacing w:after="0" w:line="8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Recently, oil prices have experienced a significant decrease as a result of the perceived impact upon global demand for oil due to the outbreak of the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coronavirus. Declines in oil, natural gas or NGL prices not only reduce our revenues, but could also reduce the amount of oil, natural gas and NGLs we can produce economically, and, as a result, could have an adverse effect on our financial condition, results of operations, cash flows and reserves. We are uncertain if oil and natural gas prices may rise from their current levels, and in fact, oil and natural gas prices may decrease in future periods. See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w:t>
      </w:r>
    </w:p>
    <w:p>
      <w:pPr>
        <w:spacing w:after="0" w:line="64" w:lineRule="exact"/>
        <w:rPr>
          <w:sz w:val="20"/>
          <w:szCs w:val="20"/>
          <w:color w:val="auto"/>
        </w:rPr>
      </w:pPr>
    </w:p>
    <w:p>
      <w:pPr>
        <w:jc w:val="both"/>
        <w:ind w:right="160" w:firstLine="405"/>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6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addition, the prices we receive for oil and natural gas production often reflect a discount to the relevant benchmark prices, such as the NYMEX West Texas Intermediate oil price or the NYMEX Henry Hub natural gas price. The difference between the benchmark price and the price we receive is called a differential. At December 31, 2019, most of our oil production from the Delaware Basin was sold based on prices established in Midland, Texas. For the first nine months of 2019, most of our natural gas production from the Delaware Basin was sold based on prices established at the Waha Hub in far West Texas. At the end of September 2019, the GCX Pipeline became operational. We have secured firm natural gas transportation and sales on the GCX Pipeline for an average of approximately 110,000 to 115,000 MMBtu per day at a natural gas price based upon Houston Ship Channel pricing.</w:t>
      </w:r>
    </w:p>
    <w:p>
      <w:pPr>
        <w:spacing w:after="0" w:line="5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During the second quarter of 2018, the price differentials for oil sold in Midland and natural gas sold at Waha compared to the benchmark prices for oil and natural gas, respectively, began to widen significantly and continued to widen throughout most of the year. These widening basis differentials negatively impacted our oil and natural gas revenues in 2018 and throughout most of 2019.</w:t>
      </w:r>
    </w:p>
    <w:p>
      <w:pPr>
        <w:spacing w:after="0" w:line="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During 2018, the Midland-Cushing (Oklahoma) oil price differential increased substantially from essentially no difference in the first quarter to as much as $16.00 per Bbl in late September but narrowed to about $5.00 per Bbl at the beginning of 2019. The Midland-Cushing (Oklahoma) oil price differential narrowed further to less than $1.00 per Bbl during the first quarter of 2019 but widened again during the second quarter to levels experienced at the beginning of the year. The Midland-Cushing (Oklahoma) oil price differential narrowed again in the third quarter of 2019, became positive late in the third quarter and remained positive throughout the fourth quarter of 2019. As of February 25, 2020, this oil price differential had remained positive in 2020, although it is possible that this differential could turn negative again at certain times during the remainder of 2020.</w:t>
      </w:r>
    </w:p>
    <w:p>
      <w:pPr>
        <w:spacing w:after="0" w:line="7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realized price for a portion of our Delaware Basin natural gas production is exposed to the Waha-Henry Hub basis differential. This natural gas price differential increased significantly throughout 2018 from about $0.50 per MMBtu at the beginning of the year to between $1.00 and $2.00 per MMBtu for most of 2018, but reaching highs of greater than $4.00 per MMBtu for a brief period near the end of the year. The natural gas price differential narrowed to between $1.00 and $2.00 per MMBtu at the beginning of 2019 and remained there throughout much of the first quarter.</w:t>
      </w:r>
    </w:p>
    <w:p>
      <w:pPr>
        <w:spacing w:after="0" w:line="6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natural gas basis differentials widened significantly in April 2019 for a short period of time, including a few days when natural gas was being sold at Waha for negative prices as high as ($7.00) to ($9.00) per MMBtu on a daily market basis, resulting, in part, from a number of simultaneous outages and maintenance projects impacting major pipelines in the area. Natural gas prices at Waha were positive for most of the latter part of April 2019, but daily market prices for natural gas sold at Waha reached negative levels of ($2.00) to ($3.00) per MMBtu in late May. In response to these basis differentials, we temporarily shut in certain high gas-oil ratio wells and took other actions to mitigate the impact of these negative prices on our results.</w:t>
      </w:r>
    </w:p>
    <w:p>
      <w:pPr>
        <w:spacing w:after="0" w:line="5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During the second half of 2019, the Waha basis differentials improved, and natural gas prices at the Waha hub averaged approximately $1.00 per MMBtu for the final six months of the year. As a result, we did not need to shut in certain high gas-to-oil ratio wells or take other actions to curtail our Delaware Basin natural gas production during this period. Despite improving during the second half of 2019, beginning in the fourth quarter, the Waha basis differentials widened further at times, and natural gas prices at the Waha hub were slightly negative on certain days in late December 2019. In early 2020, the outlook for the Waha basis differentials has deteriorated further, with the futures markets indicating Waha basis differentials between $1.20 and $2.00 per MMBtu throughout 2020 as of mid-February.</w:t>
      </w:r>
    </w:p>
    <w:p>
      <w:pPr>
        <w:spacing w:after="0" w:line="8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Beginning in late September 2019, as the GCX Pipeline became operational, we began selling a majority of our produced Delaware Basin natural gas at Houston Ship Channel pricing, and we realized an improvement in the natural gas pricing received despite higher transportation charges incurred to transport the natural gas to the Gulf Coast. Further, approximately 32% of our reported natural gas production in the third and fourth quarters of 2019 was attributable to the Haynesville and Eagle Ford shale plays, which are not exposed to Waha pricing. In addition, as a two-stream reporter, most of our natural gas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volumes in the Delaware Basin are processed for NGLs, resulting in a further reduction in the reported natural gas volumes exposed to Waha pricing.</w:t>
      </w:r>
    </w:p>
    <w:p>
      <w:pPr>
        <w:spacing w:after="0" w:line="1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These widening oil and natural gas basis differentials are largely attributable to industry concerns regarding the near-term sufficiency of pipeline takeaway capacity for oil, natural gas and NGL production in the Delaware Basin. At February 25, 2020,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8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anticipate that the volatility in these oil and natural gas price differentials could persist throughout 2020 or longer until additional oil and natural gas pipeline capacity from West Texas to the Texas Gulf Coast and other end markets is completed. We can provide no assurances as to how long these volatile differentials may persist, and as noted above, these price differentials could widen further in future periods. Should we experience future periods of negative pricing for natural gas as we did during the second quarter of 2019, we may temporarily shut in certain high gas-oil ratio wells and take other actions to mitigate the impact on our realized natural gas prices and results. In addition, we have no derivative contracts in place to mitigate our exposure to these natural gas price differentials during 2020.</w:t>
      </w:r>
    </w:p>
    <w:p>
      <w:pPr>
        <w:spacing w:after="0" w:line="139"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in 2019 and 2020, separate bills were introduced in the New Mexico Senate proposing to add a surtax on natural gas processors and proposing to place a moratorium on hydraulic fracturing. In 2019, New Mexico’s governor also signed an executive order requiring a regulatory framework to ensure reductions of methane emissions. Although such bills have not passed,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addition,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6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 —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 or estimates by our management. See Note 2 to the consolidated financial statements in this Annual Report for further details on our accounting policies at December 31, 2019.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Natural Gas Properties</w:t>
      </w:r>
    </w:p>
    <w:p>
      <w:pPr>
        <w:spacing w:after="0" w:line="117" w:lineRule="exact"/>
        <w:rPr>
          <w:sz w:val="20"/>
          <w:szCs w:val="20"/>
          <w:color w:val="auto"/>
        </w:rPr>
      </w:pPr>
    </w:p>
    <w:p>
      <w:pPr>
        <w:ind w:right="180" w:firstLine="432"/>
        <w:spacing w:after="0" w:line="293" w:lineRule="auto"/>
        <w:rPr>
          <w:sz w:val="20"/>
          <w:szCs w:val="20"/>
          <w:color w:val="auto"/>
        </w:rPr>
      </w:pPr>
      <w:r>
        <w:rPr>
          <w:rFonts w:ascii="Arial" w:cs="Arial" w:eastAsia="Arial" w:hAnsi="Arial"/>
          <w:sz w:val="16"/>
          <w:szCs w:val="16"/>
          <w:color w:val="auto"/>
        </w:rPr>
        <w:t>We use the full-cost method of accounting for our investments in oil and natural gas properties. Under this method of accounting, all costs associated with the acquisition, exploration and development of oil and natural gas properties and reserves, including unproved and unevaluated property costs, are capitalized as incurred and accumulated in 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5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spacing w:after="0" w:line="57"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Ceiling Test</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right="340" w:firstLine="440"/>
        <w:spacing w:after="0" w:line="277" w:lineRule="auto"/>
        <w:tabs>
          <w:tab w:leader="none" w:pos="6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62" w:lineRule="exact"/>
        <w:rPr>
          <w:rFonts w:ascii="Arial" w:cs="Arial" w:eastAsia="Arial" w:hAnsi="Arial"/>
          <w:sz w:val="18"/>
          <w:szCs w:val="18"/>
          <w:color w:val="auto"/>
        </w:rPr>
      </w:pPr>
    </w:p>
    <w:p>
      <w:pPr>
        <w:ind w:left="700" w:hanging="26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17" w:lineRule="exact"/>
        <w:rPr>
          <w:rFonts w:ascii="Arial" w:cs="Arial" w:eastAsia="Arial" w:hAnsi="Arial"/>
          <w:sz w:val="18"/>
          <w:szCs w:val="18"/>
          <w:color w:val="auto"/>
        </w:rPr>
      </w:pPr>
    </w:p>
    <w:p>
      <w:pPr>
        <w:ind w:left="680" w:hanging="240"/>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17" w:lineRule="exact"/>
        <w:rPr>
          <w:rFonts w:ascii="Arial" w:cs="Arial" w:eastAsia="Arial" w:hAnsi="Arial"/>
          <w:sz w:val="18"/>
          <w:szCs w:val="18"/>
          <w:color w:val="auto"/>
        </w:rPr>
      </w:pPr>
    </w:p>
    <w:p>
      <w:pPr>
        <w:ind w:left="700" w:hanging="260"/>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11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Any excess of our net capitalized costs above the cost center ceiling as described above is charged to operations as a full-cost ceiling impairment. The fair value of our derivative instruments is not included in the ceiling test computation as we do not designate these instruments as hedge instruments for accounting purposes.</w:t>
      </w:r>
    </w:p>
    <w:p>
      <w:pPr>
        <w:spacing w:after="0" w:line="7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escalations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Because the cost center ceiling calculation is based on the average of historical prices, which may or may not be representative of future prices, and requires a 10% discount factor, the resulting estimated value may not be indicative of the fair market value of our properties. Any impairment related to the excess of our net capitalized costs above the resulting cost center ceiling should not be viewed as an absolute indicator of a reduction in the ultimate value of the related oil and natural gas reserves.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From time to time, we use derivative financial instruments to mitigate our exposure to commodity price risk associated with oil, natural gas and NGL prices. These instruments typically consist of put and call options in the form of costless (or zero-cost) collars and swap contracts.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call option. The purchase of both the put option and call option are financed through the sale of a call option. Because the proceeds from the call option sale are used to offset the cost of the purchased put and call options, these arrangements are also initially “costless” to us.</w:t>
      </w:r>
    </w:p>
    <w:p>
      <w:pPr>
        <w:spacing w:after="0" w:line="6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6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Prior to settlement, our derivative financial instruments are recorded on the balance sheet as either an asset or a liability measured at fair value. We have elected not to apply hedge accounting for our existing derivative financial instruments, and as a result, we recognize the change in derivative fair value between reporting periods currently in our consolidated statements of operations. Such changes in fair value are reported under Revenues as “Unrealized gain (loss) on derivatives.” Changes in the fair value of these open derivative financial instruments can have a significant impact on our reported results from period to period but do not impact our cash flows from operations, liquidity or capital resources. The fair value of our open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w:t>
      </w:r>
    </w:p>
    <w:p>
      <w:pPr>
        <w:spacing w:after="0" w:line="5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Realized gains and realized losses from the settlement of derivative financial instruments do have a direct impact on our cash flow from operations and liquidity. The impact of these settlements is also reported under Revenues as “Realized gain (loss) on derivatives.”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the first quarter of 2018, we adopted Accounting Standards Update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specifies how and when to recognize revenue. This standard requires expanded disclosures surrounding revenue recognition and is intended to improve the financial reporting requirements for revenue from contracts with customers and converge these requirements with international standards. We adopted the new guidance using the modified retrospective approach. The adoption did not require an adjustment to opening accumulated deficit for any cumulative effect adjustment and did not have a material impact on our consolidated balance sheets, statements of operations, statement of shareholders’ equity or statements of cash flows.</w:t>
      </w:r>
    </w:p>
    <w:p>
      <w:pPr>
        <w:spacing w:after="0" w:line="8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Prior to the adoption of ASC 606, we recorded oil and natural gas revenues at the time of physical transfer of such products to the purchaser. We followed the sales method of accounting for oil and natural gas sales, recognizing revenues based on our actual proceeds from the oil and natural gas sold to purchasers.</w:t>
      </w:r>
    </w:p>
    <w:p>
      <w:pPr>
        <w:spacing w:after="0" w:line="73"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We enter into contracts with customers to sell our oil and natural gas production. With the adoption of ASC 606, revenue from these contracts is recognized in accordance with the five-step revenue recognition model prescribed in ASC 606. Specifically, revenue is recognized when our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we expect to receive in accordance with the price specified in the contract. Consideration under the oil and natural gas marketing contracts is typically received from the purchaser one to two months after production.</w:t>
      </w:r>
    </w:p>
    <w:p>
      <w:pPr>
        <w:spacing w:after="0" w:line="7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majority of our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our consolidated statements of operations, as they represent payment for services performed outside of the contract with the customer.</w:t>
      </w:r>
    </w:p>
    <w:p>
      <w:pPr>
        <w:spacing w:after="0" w:line="57"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Our natural gas is sold at the lease location, at the inlet or outlet of a natural gas processing plant or at an interconnect near a marketing hub following transportation from a processing plant. The majority of our natural gas is sold under fee-based contracts. When the natural gas is sold at the lease, the purchaser gathers the natural gas and transports the natural gas via pipeline to natural gas processing plants where, if necessary, NGLs are extracted. The NGLs and remaining residue gas are then sold by the purchaser, or if we elect to take in-kind the natural gas or NGLs, we sell the natural gas or NGLs to a third party. Under the fee-based contracts, we receive NGL and residue gas value, less the fee component, or are invoiced the fee component. To the extent control of the natural gas transfers upstream of the transportation and processing activities, revenue is recognized as the net amount received from the purchaser. To the extent that control transfers downstream of those services,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revenue is recognized on a gross basis, and the related costs are included in production taxes, transportation and processing expenses on our consolidated statements of operations.</w:t>
      </w:r>
    </w:p>
    <w:p>
      <w:pPr>
        <w:spacing w:after="0" w:line="6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recognize midstream services revenues at the time services have been rendered and the price is fixed and determinable. Third-party midstream services revenues are those revenues from midstream operations related to third parties, including working interest owners in our operated wells. All midstream services revenues related to our working interest are eliminated in consolidation. Since we have a right to payment from our customers in amounts that correspond directly to the value that the customer receives from the performance completed on each contract, we apply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70"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We periodically enter into natural gas purchase transactions with third parties whereby we process a third party’s natural gas at the Black River Processing Plant and then purchase, and subsequently sell, the residue gas and NGLs to other purchasers. Revenues and expenses from these transactions are presented on a gross basis on our consolidated statements of operations as we act as a principal in the transactions by assuming the risk and rewards of ownership, including credit risk, of the natural gas purchased and by assuming the responsibility to deliver and process the natural gas volumes to be sold.</w:t>
      </w:r>
    </w:p>
    <w:p>
      <w:pPr>
        <w:spacing w:after="0" w:line="4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From time to time, we, as an owner of mineral interests, may enter into or extend a lease to a third-party lessee to develop the oil and natural gas attributable to certain of our mineral interests in return for a specified payment or lease bonus. In those instances, revenue is recognized in the period when the lease is signed, and we have no further obligation to the lessee. We record these payments as “Lease bonus - mineral acreage” revenues on our consolidated statements of operations.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may grant equity-based and liability-based common stock, stock options, restricted stock, restricted stock units, performance stock units and other awards permitted under any long-term incentive plan then in effect to members of our Board of Directors and certain employees, contractors and advisors. We use the fair value method to measure and recognize the liability associated with our outstanding liability-based stock options (all of which were settled in the first quarter of 2020) and to measure and recognize the equity associated with our equity-based stock options. Stock options typically vest over three or four years, and the associated compensation expense is recognized on a straight-line basis over the vesting period. Restricted stock and restricted stock units typically vest over a period of one to four years, and compensation expense is recognized on a straight line basis over the vesting period. We use our own historical volatility to estimate the future volatility of our stock.</w:t>
      </w:r>
    </w:p>
    <w:p>
      <w:pPr>
        <w:spacing w:after="0" w:line="70"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We have adopted the “simplified method” as outlined in Staff Accounting Bulletin Topic 14 for estimating the expected term of awards. The risk free interest rate is the rate for constant yield U.S. Treasury securities with a term to maturity that is consistent with the expected term of the award.</w:t>
      </w:r>
    </w:p>
    <w:p>
      <w:pPr>
        <w:spacing w:after="0" w:line="38"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Assumptions are reviewed each time new equity-based option awards are granted and were reviewed quarterly for outstanding liability-based option awards. The assumptions used may be impacted by actual fluctuations in our stock price, movements in market interest rates and option terms. The use of different assumptions produces a different fair value for equity-based option awards and outstanding liability-based option awards and can significantly impact the amount of stock compensation expense recognized in our consolidated statement of operations or capitalized in accordance with our policy on capitalizing general and administrative expenses for employees involved in acquisition, exploration and development activities. We use the Black Scholes Merton model to determine the fair value of service-based option awards and the Monte Carlo method to determine the fair value of awards that contain a market condition. The fair value of restricted stock and restricted stock unit awards is recognized based on the closing price of our common stock on the date of the grant for awards issued under the 2003 Plan and on the trading day prior to the date of grant for awards issued under the 2019 Incentive Plan. See Note 9 to the consolidated financial statements in this Annual Report for further details on our stock-based compensation at December 31, 2019.</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8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account for uncertainty in income taxes by recognizing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 See Note 8 to the consolidated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1"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financial statements in this Annual Report for additional information of the impact of the 2017 Tax Cuts and Jobs Act to our consolidated financial statements.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Natural Gas Reserves Quantities and Standardized Measure of Future Net Revenue</w:t>
      </w:r>
    </w:p>
    <w:p>
      <w:pPr>
        <w:spacing w:after="0" w:line="11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 — 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On January 1, 2019, the Company began recording in the consolidated balance sheet certain of the Company’s compressor leases, drilling rig leases and office leases, which were previously considered operating leases and not reported on the Company’s consolidated balance sheets. The present value of the related lease payments is recorded as a liability and an equal amount is capitalized as a right of use asset on the Company’s consolidated balance sheet.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For these purposes, the lease term includes options to extend the lease when it is reasonably certain that the Company will exercise such option. Leases with terms of 12 months or less at inception are not recorded on the consolidated balance sheet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the consolidated financial statements in this Annual Report for a description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73"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1"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December 31, 2019, The Bank of Nova Scotia and BMO Harris Financing (Bank of Montreal) (or affiliates thereof) were the counterparties for all of our derivative instruments. We have considered the credit standing of the counterparties in determining the fair value of our derivative financial instruments.</w:t>
      </w:r>
    </w:p>
    <w:p>
      <w:pPr>
        <w:spacing w:after="0" w:line="79"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At December 31, 2019, we had entered into various costless collar contracts to mitigate our exposure to fluctuations in oil prices, each with an established price floor and ceiling. When the settlement price is below the price floor established by one or more of these collars, we receive from our counterparty an amount equal to the difference between the settlement price and the price floor multiplied by the contract oil volume. When the settlement price is above the price ceiling established by one or more of the costless collars, we pay our counterparty an amount equal to the difference between the settlement price and the price ceiling multiplied by the contract oil volume.</w:t>
      </w:r>
    </w:p>
    <w:p>
      <w:pPr>
        <w:spacing w:after="0" w:line="8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During the year ended December 31, 2019, we entered into various swap contracts to mitigate our exposure to price differences between NYMEX West Texas Intermediate Cushing and Argus West Texas Intermediate Midland crude oil. When the settlement price is below the fixed price established by one or more of these swaps, we receive from the counterparty an amount equal to the difference between the settlement price and the fixed price multiplied by the contract oil volume. When the settlement price is above the fixed price established by one or more of these swaps, we pay to the counterparty an amount equal to the difference between the settlement price and the fixed price multiplied by the contract oil volume.</w:t>
      </w:r>
    </w:p>
    <w:p>
      <w:pPr>
        <w:spacing w:after="0" w:line="6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See Note 12 to the consolidated financial statements in this Annual Report for a summary of our open derivative financial instruments at December 31, 2019. Such information is incorporated herein by reference.</w:t>
      </w:r>
    </w:p>
    <w:p>
      <w:pPr>
        <w:spacing w:after="0" w:line="62"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i w:val="1"/>
          <w:iCs w:val="1"/>
          <w:color w:val="auto"/>
        </w:rPr>
        <w:t xml:space="preserve">Effect of Derivatives Legislation. </w:t>
      </w:r>
      <w:r>
        <w:rPr>
          <w:rFonts w:ascii="Arial" w:cs="Arial" w:eastAsia="Arial" w:hAnsi="Arial"/>
          <w:sz w:val="17"/>
          <w:szCs w:val="17"/>
          <w:color w:val="auto"/>
        </w:rPr>
        <w:t>The Dodd-Frank Act, among other things, established federal oversight and regulation of certain derivative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 — The Derivatives Legislation Adopted by Congress Could Have an Adverse Impact on Our Ability to Hedge Risks Associated with Our Business.”</w:t>
      </w:r>
    </w:p>
    <w:p>
      <w:pPr>
        <w:spacing w:after="0" w:line="74"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do not and have not used interest rate derivatives to alter interest rate exposure in an attempt to reduce interest rate expense on</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debt since we borrowed under our Credit Agreement for the first time in December 2010. At December 31, 2019, we had outstanding borrowings of $255.0 million at an interest rate of 3.28% per annum under our Credit Agreement, $1.05 billion in Notes outstanding at a coupon rate of 5.875% per annum and $288.0 million of outstanding borrowings under the San Mateo Credit Facility at an interest rate of 3.55% per annum.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7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 xml:space="preserve">Counterparty and customer credit risk. </w:t>
      </w:r>
      <w:r>
        <w:rPr>
          <w:rFonts w:ascii="Arial" w:cs="Arial" w:eastAsia="Arial" w:hAnsi="Arial"/>
          <w:sz w:val="17"/>
          <w:szCs w:val="17"/>
          <w:color w:val="auto"/>
        </w:rPr>
        <w:t>Joint interest receivables arise from billing entities that own partial interests in the wells we operate. These</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The inability or failure of our significant customers to meet their obligations to us or their insolvency or liquidation may adversely affect our financial condition, results of operations and cash flows. In addition, our derivative arrangements expose us to credit risk in the event of nonperformance by our counterparties.</w:t>
      </w:r>
    </w:p>
    <w:p>
      <w:pPr>
        <w:spacing w:after="0" w:line="6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1"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counterparties on our derivative financial instruments in place at February 25, 2020 were The Bank of Nova Scotia and BMO Harris Financing (Bank of Montreal) (or affiliates thereof), which are lenders (or affiliates thereof) under our Credit Agreement, and we are likely to enter into any future derivative instruments with such banks or other lenders (or affiliates thereof) party to the Credit Agreement.</w:t>
      </w:r>
    </w:p>
    <w:p>
      <w:pPr>
        <w:spacing w:after="0" w:line="5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i w:val="1"/>
          <w:iCs w:val="1"/>
          <w:color w:val="auto"/>
        </w:rPr>
        <w:t>Impact of Inflation</w:t>
      </w:r>
      <w:r>
        <w:rPr>
          <w:rFonts w:ascii="Arial" w:cs="Arial" w:eastAsia="Arial" w:hAnsi="Arial"/>
          <w:sz w:val="18"/>
          <w:szCs w:val="18"/>
          <w:color w:val="auto"/>
        </w:rPr>
        <w:t>. Inflation in the United States has been relatively low in recent years and did not have a material impact on our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2019, 2018 and 2017. Although the impact of inflation has been generally insignificant in recent years, it is still a factor in the U.S. economy and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See “Risk Factors — 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financial statements appear at the end of this Annual Report beginning on page F-1.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2019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During the quarter ended December 31, 2019, there were no changes in our internal controls that have materially affected or are reasonably likely to have a material effect on our internal control over financial reporting.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KPMG, our independent registered public accounting firm, has issued an attestation report on our controls over financial reporting as of December 31, 2019 as included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Important Considerations</w:t>
      </w:r>
    </w:p>
    <w:p>
      <w:pPr>
        <w:spacing w:after="0" w:line="11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4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Matador Resources Company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the related consolidated statements of operations, changes in shareholders’ equity, and cash flows for each of the years in the three-year period ended December 31, 2019, and the related notes (collectively, the consolidated financial statements), and our report dated March 2, 2020 expressed an unqualified opinion on those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KPMG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September 28, 2012, Matador, as a guarantor, along with certain other guarantors thereto, MRC Energy Company, a wholly-owned subsidiary of Matador (“MRC”), as borrower, the lenders party thereto (the “Lenders”) and Royal Bank of Canada, as administrative agent, entered into the Credit Agreement. For a summary of key terms of the Credit Agreement, see Note 7 to the consolidated financial statements in this Annual Report, which description is incorporated herein by reference. On February 27, 2020, MRC, as borrower, entered into an amendment (the “Amendment”) to the Credit Agreement, and Matador reaffirmed its guaranty of MRC’s obligations under the Credit Agreement. The Amendment affirmed the $900.0 million borrowing base, increased the elected borrowing commitment from $500.0 million to $700.0 million and added two lenders.</w:t>
      </w:r>
    </w:p>
    <w:p>
      <w:pPr>
        <w:spacing w:after="0" w:line="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which is included in this Annual Report as Exhibit 10.55 and is incorporated herein by reference.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20" w:firstLine="567"/>
        <w:spacing w:after="0" w:line="279" w:lineRule="auto"/>
        <w:rPr>
          <w:sz w:val="20"/>
          <w:szCs w:val="20"/>
          <w:color w:val="auto"/>
        </w:rPr>
      </w:pPr>
      <w:r>
        <w:rPr>
          <w:rFonts w:ascii="Arial" w:cs="Arial" w:eastAsia="Arial" w:hAnsi="Arial"/>
          <w:sz w:val="17"/>
          <w:szCs w:val="17"/>
          <w:color w:val="auto"/>
        </w:rPr>
        <w:t>The information required in response to this Item 10 is incorporated herein by reference to our definitive proxy statement for our 2020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The information required in response to this Item 11 is incorporated herein by reference to our Definitive Proxy Statement under the caption “Executive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Certain information regarding securities authorized for issuance under our equity compensation plans is included under the caption “Equity Compensation Plan Information” in Part II, Item 5 of this Annual Report and is incorporated herein by reference. Other information required in response to this Item 12 is incorporated herein by reference to our Definitive Proxy Statement under the caption “Security Ownership of Certain Beneficial Owners and Management.”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information required in response to this Item 14 is incorporated herein by reference to our Definitive Proxy Statement under the caption “Proposal 3 —Ratification of Appointment of KPMG LLP.”</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1"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firstLine="440"/>
        <w:spacing w:after="0" w:line="259" w:lineRule="auto"/>
        <w:tabs>
          <w:tab w:leader="none" w:pos="6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Index to Consolidated Financial Statements, Report of Independent Registered Public Accounting Firm, Consolidated Balance Sheets as of December 31, 2019 and 2018, Consolidated Statements of Operations for the Years Ended December 31, 2019, 2018 and 2017, Consolidated Statements of Changes in Shareholders’ Equity for the Years Ended December 31, 2019, 2018 and 2017 and Consolidated Statements of Cash Flows for the Years Ended December 31, 2019, 2018 and 2017.</w:t>
      </w:r>
    </w:p>
    <w:p>
      <w:pPr>
        <w:spacing w:after="0" w:line="78" w:lineRule="exact"/>
        <w:rPr>
          <w:rFonts w:ascii="Arial" w:cs="Arial" w:eastAsia="Arial" w:hAnsi="Arial"/>
          <w:sz w:val="18"/>
          <w:szCs w:val="18"/>
          <w:color w:val="auto"/>
        </w:rPr>
      </w:pPr>
    </w:p>
    <w:p>
      <w:pPr>
        <w:ind w:right="280" w:firstLine="440"/>
        <w:spacing w:after="0" w:line="342" w:lineRule="auto"/>
        <w:tabs>
          <w:tab w:leader="none" w:pos="612"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Financial Statement Schedules</w:t>
      </w:r>
      <w:r>
        <w:rPr>
          <w:rFonts w:ascii="Arial" w:cs="Arial" w:eastAsia="Arial" w:hAnsi="Arial"/>
          <w:sz w:val="16"/>
          <w:szCs w:val="16"/>
          <w:color w:val="auto"/>
        </w:rPr>
        <w:t>: All other schedules for which provision is made in the applicable accounting regulation of the SEC are omitted</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required information is either not applicable, not required or is shown in the respective financial statements or in the notes thereto.</w:t>
      </w:r>
    </w:p>
    <w:p>
      <w:pPr>
        <w:spacing w:after="0" w:line="15" w:lineRule="exact"/>
        <w:rPr>
          <w:rFonts w:ascii="Arial" w:cs="Arial" w:eastAsia="Arial" w:hAnsi="Arial"/>
          <w:sz w:val="16"/>
          <w:szCs w:val="16"/>
          <w:color w:val="auto"/>
        </w:rPr>
      </w:pPr>
    </w:p>
    <w:p>
      <w:pPr>
        <w:ind w:left="620" w:hanging="180"/>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required to be filed by this Item 15 are set forth in the Exhibit Index included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121" w:right="4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060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700"/>
        <w:spacing w:after="0"/>
        <w:rPr>
          <w:sz w:val="20"/>
          <w:szCs w:val="20"/>
          <w:color w:val="auto"/>
        </w:rPr>
      </w:pPr>
      <w:r>
        <w:rPr>
          <w:rFonts w:ascii="Arial" w:cs="Arial" w:eastAsia="Arial" w:hAnsi="Arial"/>
          <w:sz w:val="22"/>
          <w:szCs w:val="22"/>
          <w:b w:val="1"/>
          <w:bCs w:val="1"/>
          <w:color w:val="auto"/>
        </w:rPr>
        <w:t>EXHIBIT INDEX</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6543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182" w:lineRule="exact"/>
        <w:rPr>
          <w:sz w:val="20"/>
          <w:szCs w:val="20"/>
          <w:color w:val="auto"/>
        </w:rPr>
      </w:pPr>
    </w:p>
    <w:p>
      <w:pPr>
        <w:ind w:right="320"/>
        <w:spacing w:after="0" w:line="264" w:lineRule="auto"/>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Subscription and Contribution Agreement, dated as of February 17, 2017, by and among Longwood Midstream Holdings, LLC, FP MMP</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Holdings LLC and San Mateo Midstream, LLC (incorporated by reference to Exhibit 2.1 to the Current Report on Form 8-K filed on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February 24, 2017).*</w:t>
        </w:r>
      </w:hyperlink>
    </w:p>
    <w:p>
      <w:pPr>
        <w:spacing w:after="0" w:line="141" w:lineRule="exact"/>
        <w:rPr>
          <w:rFonts w:ascii="Arial" w:cs="Arial" w:eastAsia="Arial" w:hAnsi="Arial"/>
          <w:sz w:val="18"/>
          <w:szCs w:val="18"/>
          <w:u w:val="single" w:color="auto"/>
          <w:color w:val="0000FF"/>
        </w:rPr>
      </w:pPr>
    </w:p>
    <w:p>
      <w:pPr>
        <w:sectPr>
          <w:pgSz w:w="11900" w:h="16838" w:orient="portrait"/>
          <w:cols w:equalWidth="0" w:num="2">
            <w:col w:w="660" w:space="280"/>
            <w:col w:w="10240"/>
          </w:cols>
          <w:pgMar w:left="240" w:top="121" w:right="479" w:bottom="1440" w:gutter="0" w:footer="0" w:header="0"/>
          <w:type w:val="continuous"/>
        </w:sectPr>
      </w:pPr>
    </w:p>
    <w:p>
      <w:pPr>
        <w:ind w:left="940" w:right="220" w:hanging="64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50">
        <w:r>
          <w:rPr>
            <w:rFonts w:ascii="Arial" w:cs="Arial" w:eastAsia="Arial" w:hAnsi="Arial"/>
            <w:sz w:val="18"/>
            <w:szCs w:val="18"/>
            <w:u w:val="single" w:color="auto"/>
            <w:color w:val="0000FF"/>
          </w:rPr>
          <w:t>Amended and Restated Certificate of Formation of Matador Resources Company (incorporated by reference to Exhibit 3.2 to the Quarterly</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Report on Form 10-Q for the quarter ended June 30, 2017).</w:t>
        </w:r>
      </w:hyperlink>
    </w:p>
    <w:p>
      <w:pPr>
        <w:spacing w:after="0" w:line="130" w:lineRule="exact"/>
        <w:rPr>
          <w:sz w:val="20"/>
          <w:szCs w:val="20"/>
          <w:color w:val="auto"/>
        </w:rPr>
      </w:pPr>
    </w:p>
    <w:p>
      <w:pPr>
        <w:ind w:left="940" w:right="560" w:hanging="645"/>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3.2</w:t>
      </w:r>
      <w:r>
        <w:rPr>
          <w:sz w:val="20"/>
          <w:szCs w:val="20"/>
          <w:color w:val="auto"/>
        </w:rPr>
        <w:tab/>
      </w:r>
      <w:hyperlink r:id="rId51">
        <w:r>
          <w:rPr>
            <w:rFonts w:ascii="Arial" w:cs="Arial" w:eastAsia="Arial" w:hAnsi="Arial"/>
            <w:sz w:val="17"/>
            <w:szCs w:val="17"/>
            <w:u w:val="single" w:color="auto"/>
            <w:color w:val="0000FF"/>
          </w:rPr>
          <w:t>Certificate of Amendment to the Amended and Restated Certificate of Formation of Matador Resources Company dated April 2, 2015</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(incorporated by reference to Exhibit 3.3 to the Quarterly Report on Form 10-Q for the quarter ended June 30, 2017).</w:t>
        </w:r>
      </w:hyperlink>
    </w:p>
    <w:p>
      <w:pPr>
        <w:spacing w:after="0" w:line="106" w:lineRule="exact"/>
        <w:rPr>
          <w:sz w:val="20"/>
          <w:szCs w:val="20"/>
          <w:color w:val="auto"/>
        </w:rPr>
      </w:pPr>
    </w:p>
    <w:p>
      <w:pPr>
        <w:ind w:left="940" w:right="380" w:hanging="645"/>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hyperlink r:id="rId52">
        <w:r>
          <w:rPr>
            <w:rFonts w:ascii="Arial" w:cs="Arial" w:eastAsia="Arial" w:hAnsi="Arial"/>
            <w:sz w:val="17"/>
            <w:szCs w:val="17"/>
            <w:u w:val="single" w:color="auto"/>
            <w:color w:val="0000FF"/>
          </w:rPr>
          <w:t>Certificate of Amendment to the Amended and Restated Certificate of Formation of Matador Resources Company effective June 2, 2017</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(incorporated by reference to Exhibit 3.4 to the Quarterly Report on Form 10-Q for the quarter ended June 30, 2017).</w:t>
        </w:r>
      </w:hyperlink>
    </w:p>
    <w:p>
      <w:pPr>
        <w:spacing w:after="0" w:line="106" w:lineRule="exact"/>
        <w:rPr>
          <w:sz w:val="20"/>
          <w:szCs w:val="20"/>
          <w:color w:val="auto"/>
        </w:rPr>
      </w:pPr>
    </w:p>
    <w:p>
      <w:pPr>
        <w:ind w:left="940" w:right="120" w:hanging="64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53">
        <w:r>
          <w:rPr>
            <w:rFonts w:ascii="Arial" w:cs="Arial" w:eastAsia="Arial" w:hAnsi="Arial"/>
            <w:sz w:val="18"/>
            <w:szCs w:val="18"/>
            <w:u w:val="single" w:color="auto"/>
            <w:color w:val="0000FF"/>
          </w:rPr>
          <w:t>Amended and Restated Bylaws of Matador Resources Company, as amended (incorporated by reference to Exhibit 3.1 to the Current Report</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on Form 8-K filed on February 22, 2018).</w:t>
        </w:r>
      </w:hyperlink>
    </w:p>
    <w:p>
      <w:pPr>
        <w:spacing w:after="0" w:line="130" w:lineRule="exact"/>
        <w:rPr>
          <w:sz w:val="20"/>
          <w:szCs w:val="20"/>
          <w:color w:val="auto"/>
        </w:rPr>
      </w:pPr>
    </w:p>
    <w:p>
      <w:pPr>
        <w:ind w:left="940" w:right="40" w:hanging="64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54">
        <w:r>
          <w:rPr>
            <w:rFonts w:ascii="Arial" w:cs="Arial" w:eastAsia="Arial" w:hAnsi="Arial"/>
            <w:sz w:val="18"/>
            <w:szCs w:val="18"/>
            <w:u w:val="single" w:color="auto"/>
            <w:color w:val="0000FF"/>
          </w:rPr>
          <w:t>Form of Common Stock Certificate (incorporated by reference to Exhibit 4.1 to Amendment No. 4 to the Registration Statement on Form S-1</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filed on January 19, 2012).</w:t>
        </w:r>
      </w:hyperlink>
    </w:p>
    <w:p>
      <w:pPr>
        <w:spacing w:after="0" w:line="130" w:lineRule="exact"/>
        <w:rPr>
          <w:sz w:val="20"/>
          <w:szCs w:val="20"/>
          <w:color w:val="auto"/>
        </w:rPr>
      </w:pPr>
    </w:p>
    <w:p>
      <w:pPr>
        <w:ind w:left="940" w:hanging="645"/>
        <w:spacing w:after="0" w:line="342"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55">
        <w:r>
          <w:rPr>
            <w:rFonts w:ascii="Arial" w:cs="Arial" w:eastAsia="Arial" w:hAnsi="Arial"/>
            <w:sz w:val="16"/>
            <w:szCs w:val="16"/>
            <w:u w:val="single" w:color="auto"/>
            <w:color w:val="0000FF"/>
          </w:rPr>
          <w:t>Indenture, dated as of August 21, 2018, by and among Matador Resources Company, the subsidiary guarantors party thereto and Wells Fargo</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Bank, National Association, as trustee (incorporated by reference to Exhibit 4.1 to the Current Report on Form 8-K filed on August 21, 2018).</w:t>
        </w:r>
      </w:hyperlink>
    </w:p>
    <w:p>
      <w:pPr>
        <w:spacing w:after="0" w:line="83" w:lineRule="exact"/>
        <w:rPr>
          <w:sz w:val="20"/>
          <w:szCs w:val="20"/>
          <w:color w:val="auto"/>
        </w:rPr>
      </w:pPr>
    </w:p>
    <w:p>
      <w:pPr>
        <w:ind w:left="940" w:right="60" w:hanging="64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56">
        <w:r>
          <w:rPr>
            <w:rFonts w:ascii="Arial" w:cs="Arial" w:eastAsia="Arial" w:hAnsi="Arial"/>
            <w:sz w:val="18"/>
            <w:szCs w:val="18"/>
            <w:u w:val="single" w:color="auto"/>
            <w:color w:val="0000FF"/>
          </w:rPr>
          <w:t>First Supplemental Indenture, dated as of February 27, 2019, by and among Matador Resources Company, WR Permian, LLC, the subsidiary</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guarantors party thereto and Wells Fargo Bank, National Association, as trustee (incorporated by reference to Exhibit 4.3 to the Annual</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Report on Form 10-K for the year ended December 31, 2018).</w:t>
        </w:r>
      </w:hyperlink>
    </w:p>
    <w:p>
      <w:pPr>
        <w:spacing w:after="0" w:line="141" w:lineRule="exact"/>
        <w:rPr>
          <w:rFonts w:ascii="Arial" w:cs="Arial" w:eastAsia="Arial" w:hAnsi="Arial"/>
          <w:sz w:val="18"/>
          <w:szCs w:val="18"/>
          <w:u w:val="single" w:color="auto"/>
          <w:color w:val="0000FF"/>
        </w:rPr>
      </w:pPr>
    </w:p>
    <w:p>
      <w:pPr>
        <w:ind w:left="30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w:anchor="page156">
        <w:r>
          <w:rPr>
            <w:rFonts w:ascii="Arial" w:cs="Arial" w:eastAsia="Arial" w:hAnsi="Arial"/>
            <w:sz w:val="16"/>
            <w:szCs w:val="16"/>
            <w:u w:val="single" w:color="auto"/>
            <w:color w:val="0000FF"/>
          </w:rPr>
          <w:t>Description of Capital Stock (filed herewith).</w:t>
        </w:r>
      </w:hyperlink>
    </w:p>
    <w:p>
      <w:pPr>
        <w:spacing w:after="0" w:line="185" w:lineRule="exact"/>
        <w:rPr>
          <w:rFonts w:ascii="Arial" w:cs="Arial" w:eastAsia="Arial" w:hAnsi="Arial"/>
          <w:sz w:val="18"/>
          <w:szCs w:val="18"/>
          <w:u w:val="single" w:color="auto"/>
          <w:color w:val="0000FF"/>
        </w:rPr>
      </w:pPr>
    </w:p>
    <w:p>
      <w:pPr>
        <w:ind w:left="940" w:right="68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7">
        <w:r>
          <w:rPr>
            <w:rFonts w:ascii="Arial" w:cs="Arial" w:eastAsia="Arial" w:hAnsi="Arial"/>
            <w:sz w:val="18"/>
            <w:szCs w:val="18"/>
            <w:u w:val="single" w:color="auto"/>
            <w:color w:val="0000FF"/>
          </w:rPr>
          <w:t>Employment Agreement between Matador Resources Company and Joseph Wm. Foran (incorporated by reference to Exhibit 10.3 to</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Amendment No. 1 to the Registration Statement on Form S-1 filed on November 14, 2011).</w:t>
        </w:r>
      </w:hyperlink>
    </w:p>
    <w:p>
      <w:pPr>
        <w:spacing w:after="0" w:line="130" w:lineRule="exact"/>
        <w:rPr>
          <w:sz w:val="20"/>
          <w:szCs w:val="20"/>
          <w:color w:val="auto"/>
        </w:rPr>
      </w:pPr>
    </w:p>
    <w:p>
      <w:pPr>
        <w:ind w:left="940" w:right="64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58">
        <w:r>
          <w:rPr>
            <w:rFonts w:ascii="Arial" w:cs="Arial" w:eastAsia="Arial" w:hAnsi="Arial"/>
            <w:sz w:val="18"/>
            <w:szCs w:val="18"/>
            <w:u w:val="single" w:color="auto"/>
            <w:color w:val="0000FF"/>
          </w:rPr>
          <w:t>Employment Agreement between Matador Resources Company and David E. Lancaster (incorporated by reference to Exhibit 10.4 to</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Amendment No. 1 to the Registration Statement on Form S-1 filed on November 14, 2011).</w:t>
        </w:r>
      </w:hyperlink>
    </w:p>
    <w:p>
      <w:pPr>
        <w:spacing w:after="0" w:line="130" w:lineRule="exact"/>
        <w:rPr>
          <w:sz w:val="20"/>
          <w:szCs w:val="20"/>
          <w:color w:val="auto"/>
        </w:rPr>
      </w:pPr>
    </w:p>
    <w:p>
      <w:pPr>
        <w:ind w:left="940" w:right="72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9">
        <w:r>
          <w:rPr>
            <w:rFonts w:ascii="Arial" w:cs="Arial" w:eastAsia="Arial" w:hAnsi="Arial"/>
            <w:sz w:val="18"/>
            <w:szCs w:val="18"/>
            <w:u w:val="single" w:color="auto"/>
            <w:color w:val="0000FF"/>
          </w:rPr>
          <w:t>Employment Agreement between Matador Resources Company and Matthew Hairford (incorporated by reference to Exhibit 10.5 to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Amendment No. 1 to the Registration Statement on Form S-1 filed on November 14, 2011).</w:t>
        </w:r>
      </w:hyperlink>
    </w:p>
    <w:p>
      <w:pPr>
        <w:spacing w:after="0" w:line="130" w:lineRule="exact"/>
        <w:rPr>
          <w:sz w:val="20"/>
          <w:szCs w:val="20"/>
          <w:color w:val="auto"/>
        </w:rPr>
      </w:pPr>
    </w:p>
    <w:p>
      <w:pPr>
        <w:ind w:left="940" w:right="4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60">
        <w:r>
          <w:rPr>
            <w:rFonts w:ascii="Arial" w:cs="Arial" w:eastAsia="Arial" w:hAnsi="Arial"/>
            <w:sz w:val="18"/>
            <w:szCs w:val="18"/>
            <w:u w:val="single" w:color="auto"/>
            <w:color w:val="0000FF"/>
          </w:rPr>
          <w:t>First Amendment to the Employment Agreement between Matador Resources Company and Joseph Wm. Foran (incorporated by reference to</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Exhibit 10.8 to Amendment No. 1 to the Registration Statement on Form S-1 filed on November 14, 2011).</w:t>
        </w:r>
      </w:hyperlink>
    </w:p>
    <w:p>
      <w:pPr>
        <w:spacing w:after="0" w:line="130" w:lineRule="exact"/>
        <w:rPr>
          <w:sz w:val="20"/>
          <w:szCs w:val="20"/>
          <w:color w:val="auto"/>
        </w:rPr>
      </w:pPr>
    </w:p>
    <w:p>
      <w:pPr>
        <w:ind w:left="94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61">
        <w:r>
          <w:rPr>
            <w:rFonts w:ascii="Arial" w:cs="Arial" w:eastAsia="Arial" w:hAnsi="Arial"/>
            <w:sz w:val="18"/>
            <w:szCs w:val="18"/>
            <w:u w:val="single" w:color="auto"/>
            <w:color w:val="0000FF"/>
          </w:rPr>
          <w:t>First Amendment to the Employment Agreement between Matador Resources Company and David E. Lancaster (incorporated by reference to</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Exhibit 10.9 to Amendment No. 1 to the Registration Statement on Form S-1 filed on November 14, 2011).</w:t>
        </w:r>
      </w:hyperlink>
    </w:p>
    <w:p>
      <w:pPr>
        <w:spacing w:after="0" w:line="130" w:lineRule="exact"/>
        <w:rPr>
          <w:sz w:val="20"/>
          <w:szCs w:val="20"/>
          <w:color w:val="auto"/>
        </w:rPr>
      </w:pPr>
    </w:p>
    <w:p>
      <w:pPr>
        <w:ind w:left="940" w:right="8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62">
        <w:r>
          <w:rPr>
            <w:rFonts w:ascii="Arial" w:cs="Arial" w:eastAsia="Arial" w:hAnsi="Arial"/>
            <w:sz w:val="18"/>
            <w:szCs w:val="18"/>
            <w:u w:val="single" w:color="auto"/>
            <w:color w:val="0000FF"/>
          </w:rPr>
          <w:t>First Amendment to the Employment Agreement between Matador Resources Company and Matthew Hairford (incorporated by reference to</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Exhibit 10.10 to Amendment No. 1 to the Registration Statement on Form S-1 filed on November 14, 2011).</w:t>
        </w:r>
      </w:hyperlink>
    </w:p>
    <w:p>
      <w:pPr>
        <w:spacing w:after="0" w:line="130" w:lineRule="exact"/>
        <w:rPr>
          <w:sz w:val="20"/>
          <w:szCs w:val="20"/>
          <w:color w:val="auto"/>
        </w:rPr>
      </w:pPr>
    </w:p>
    <w:p>
      <w:pPr>
        <w:ind w:left="940" w:right="20" w:hanging="735"/>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63">
        <w:r>
          <w:rPr>
            <w:rFonts w:ascii="Arial" w:cs="Arial" w:eastAsia="Arial" w:hAnsi="Arial"/>
            <w:sz w:val="17"/>
            <w:szCs w:val="17"/>
            <w:u w:val="single" w:color="auto"/>
            <w:color w:val="0000FF"/>
          </w:rPr>
          <w:t>Second Amendment to the Employment Agreement between Matador Resources Company and Joseph Wm. Foran (incorporated by reference</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to Exhibit 10.12 to Amendment No. 2 to the Registration Statement on Form S-1 filed on December 30, 2011).</w:t>
        </w:r>
      </w:hyperlink>
    </w:p>
    <w:p>
      <w:pPr>
        <w:spacing w:after="0" w:line="106" w:lineRule="exact"/>
        <w:rPr>
          <w:sz w:val="20"/>
          <w:szCs w:val="20"/>
          <w:color w:val="auto"/>
        </w:rPr>
      </w:pPr>
    </w:p>
    <w:p>
      <w:pPr>
        <w:ind w:left="940" w:right="700" w:hanging="735"/>
        <w:spacing w:after="0" w:line="342"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64">
        <w:r>
          <w:rPr>
            <w:rFonts w:ascii="Arial" w:cs="Arial" w:eastAsia="Arial" w:hAnsi="Arial"/>
            <w:sz w:val="16"/>
            <w:szCs w:val="16"/>
            <w:u w:val="single" w:color="auto"/>
            <w:color w:val="0000FF"/>
          </w:rPr>
          <w:t>Second Amendment to the Employment Agreement between Matador Resources Company and David E. Lancaster (incorporated by</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reference to Exhibit 10.13 to Amendment No. 2 to the Registration Statement on Form S-1 filed on December 30, 2011).</w:t>
        </w:r>
      </w:hyperlink>
    </w:p>
    <w:p>
      <w:pPr>
        <w:spacing w:after="0" w:line="83" w:lineRule="exact"/>
        <w:rPr>
          <w:sz w:val="20"/>
          <w:szCs w:val="20"/>
          <w:color w:val="auto"/>
        </w:rPr>
      </w:pPr>
    </w:p>
    <w:p>
      <w:pPr>
        <w:ind w:left="940" w:right="60" w:hanging="735"/>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65">
        <w:r>
          <w:rPr>
            <w:rFonts w:ascii="Arial" w:cs="Arial" w:eastAsia="Arial" w:hAnsi="Arial"/>
            <w:sz w:val="18"/>
            <w:szCs w:val="18"/>
            <w:u w:val="single" w:color="auto"/>
            <w:color w:val="0000FF"/>
          </w:rPr>
          <w:t>Second Amendment to the Employment Agreement between Matador Resources Company and Matthew Hairford (incorporated by reference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to Exhibit 10.14 to Amendment No. 2 to the Registration Statement on Form S-1 filed on December 30, 2011).</w:t>
        </w:r>
      </w:hyperlink>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121" w:right="47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40" w:right="280" w:hanging="780"/>
        <w:spacing w:after="0" w:line="342"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66">
        <w:r>
          <w:rPr>
            <w:rFonts w:ascii="Arial" w:cs="Arial" w:eastAsia="Arial" w:hAnsi="Arial"/>
            <w:sz w:val="16"/>
            <w:szCs w:val="16"/>
            <w:u w:val="single" w:color="auto"/>
            <w:color w:val="0000FF"/>
          </w:rPr>
          <w:t>Form of Indemnification Agreement between Matador Resources Company and each of the directors and executive officers thereof</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(incorporated by reference to Exhibit 10.22 to Amendment No. 1 to the Registration Statement on Form S-1 filed on November 14, 2011).</w:t>
        </w:r>
      </w:hyperlink>
    </w:p>
    <w:p>
      <w:pPr>
        <w:spacing w:after="0" w:line="83" w:lineRule="exact"/>
        <w:rPr>
          <w:sz w:val="20"/>
          <w:szCs w:val="20"/>
          <w:color w:val="auto"/>
        </w:rPr>
      </w:pPr>
    </w:p>
    <w:p>
      <w:pPr>
        <w:ind w:left="940" w:right="300" w:hanging="732"/>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67">
        <w:r>
          <w:rPr>
            <w:rFonts w:ascii="Arial" w:cs="Arial" w:eastAsia="Arial" w:hAnsi="Arial"/>
            <w:sz w:val="18"/>
            <w:szCs w:val="18"/>
            <w:u w:val="single" w:color="auto"/>
            <w:color w:val="0000FF"/>
          </w:rPr>
          <w:t>Third Amended and Restated Credit Agreement, dated as of September 28, 2012, by and among MRC Energy Company, as Borrower, the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Lending Entities from time to time parties thereto, as Lenders, and Royal Bank of Canada, as Administrative Agent (incorporated by</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reference to Exhibit 10.1 to the Current Report on Form 8-K filed on October 4, 2012).</w:t>
        </w:r>
      </w:hyperlink>
    </w:p>
    <w:p>
      <w:pPr>
        <w:spacing w:after="0" w:line="141" w:lineRule="exact"/>
        <w:rPr>
          <w:rFonts w:ascii="Arial" w:cs="Arial" w:eastAsia="Arial" w:hAnsi="Arial"/>
          <w:sz w:val="18"/>
          <w:szCs w:val="18"/>
          <w:u w:val="single" w:color="auto"/>
          <w:color w:val="0000FF"/>
        </w:rPr>
      </w:pPr>
    </w:p>
    <w:p>
      <w:pPr>
        <w:jc w:val="both"/>
        <w:ind w:left="940" w:right="12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68">
        <w:r>
          <w:rPr>
            <w:rFonts w:ascii="Arial" w:cs="Arial" w:eastAsia="Arial" w:hAnsi="Arial"/>
            <w:sz w:val="18"/>
            <w:szCs w:val="18"/>
            <w:u w:val="single" w:color="auto"/>
            <w:color w:val="0000FF"/>
          </w:rPr>
          <w:t>Second Amended and Restated Pledge and Security Agreement, by and among MRC Energy Company, Longwood Gathering and Disposal</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Systems GP, Inc. and Royal Bank of Canada, as Administrative Agent, dated as of September 28, 2012 (incorporated by reference to Exhibit</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10.49 to the Annual Report on Form 10-K for the year ended December 31, 2012).</w:t>
        </w:r>
      </w:hyperlink>
    </w:p>
    <w:p>
      <w:pPr>
        <w:spacing w:after="0" w:line="141" w:lineRule="exact"/>
        <w:rPr>
          <w:rFonts w:ascii="Arial" w:cs="Arial" w:eastAsia="Arial" w:hAnsi="Arial"/>
          <w:sz w:val="18"/>
          <w:szCs w:val="18"/>
          <w:u w:val="single" w:color="auto"/>
          <w:color w:val="0000FF"/>
        </w:rPr>
      </w:pPr>
    </w:p>
    <w:p>
      <w:pPr>
        <w:ind w:left="940" w:right="360" w:hanging="735"/>
        <w:spacing w:after="0" w:line="279"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10.13</w:t>
      </w:r>
      <w:r>
        <w:rPr>
          <w:sz w:val="20"/>
          <w:szCs w:val="20"/>
          <w:color w:val="auto"/>
        </w:rPr>
        <w:tab/>
      </w:r>
      <w:hyperlink r:id="rId69">
        <w:r>
          <w:rPr>
            <w:rFonts w:ascii="Arial" w:cs="Arial" w:eastAsia="Arial" w:hAnsi="Arial"/>
            <w:sz w:val="17"/>
            <w:szCs w:val="17"/>
            <w:u w:val="single" w:color="auto"/>
            <w:color w:val="0000FF"/>
          </w:rPr>
          <w:t>Second Amended, Restated and Consolidated Unconditional Guaranty, by and among MRC Permian Company, MRC Rockies Company,</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Matador Production Company, Longwood Gathering and Disposal Systems GP, Inc., Longwood Gathering and Disposal Systems, LP,</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Matador Resources Company and Royal Bank of Canada, as Administrative Agent, dated as of September 28, 2012 (incorporated by</w:t>
        </w:r>
      </w:hyperlink>
      <w:r>
        <w:rPr>
          <w:rFonts w:ascii="Arial" w:cs="Arial" w:eastAsia="Arial" w:hAnsi="Arial"/>
          <w:sz w:val="17"/>
          <w:szCs w:val="17"/>
          <w:u w:val="single" w:color="auto"/>
          <w:color w:val="0000FF"/>
        </w:rPr>
        <w:t xml:space="preserve"> </w:t>
      </w:r>
      <w:hyperlink r:id="rId69">
        <w:r>
          <w:rPr>
            <w:rFonts w:ascii="Arial" w:cs="Arial" w:eastAsia="Arial" w:hAnsi="Arial"/>
            <w:sz w:val="17"/>
            <w:szCs w:val="17"/>
            <w:u w:val="single" w:color="auto"/>
            <w:color w:val="0000FF"/>
          </w:rPr>
          <w:t>reference to Exhibit 10.50 to the Annual Report on Form 10-K for the year ended December 31, 2012).</w:t>
        </w:r>
      </w:hyperlink>
    </w:p>
    <w:p>
      <w:pPr>
        <w:spacing w:after="0" w:line="131" w:lineRule="exact"/>
        <w:rPr>
          <w:rFonts w:ascii="Arial" w:cs="Arial" w:eastAsia="Arial" w:hAnsi="Arial"/>
          <w:sz w:val="17"/>
          <w:szCs w:val="17"/>
          <w:u w:val="single" w:color="auto"/>
          <w:color w:val="0000FF"/>
        </w:rPr>
      </w:pPr>
    </w:p>
    <w:p>
      <w:pPr>
        <w:jc w:val="both"/>
        <w:ind w:left="940" w:right="20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70">
        <w:r>
          <w:rPr>
            <w:rFonts w:ascii="Arial" w:cs="Arial" w:eastAsia="Arial" w:hAnsi="Arial"/>
            <w:sz w:val="18"/>
            <w:szCs w:val="18"/>
            <w:u w:val="single" w:color="auto"/>
            <w:color w:val="0000FF"/>
          </w:rPr>
          <w:t>First Amendment to Third Amended and Restated Credit Agreement dated as of March 11, 2013, by and among MRC Energy Company, as</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Borrower, the Lenders party thereto and Royal Bank of Canada, as Administrative Agent (incorporated by reference to Exhibit 10.51 to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Annual Report on Form 10-K for the year ended December 31, 2012).</w:t>
        </w:r>
      </w:hyperlink>
    </w:p>
    <w:p>
      <w:pPr>
        <w:spacing w:after="0" w:line="141" w:lineRule="exact"/>
        <w:rPr>
          <w:rFonts w:ascii="Arial" w:cs="Arial" w:eastAsia="Arial" w:hAnsi="Arial"/>
          <w:sz w:val="18"/>
          <w:szCs w:val="18"/>
          <w:u w:val="single" w:color="auto"/>
          <w:color w:val="0000FF"/>
        </w:rPr>
      </w:pPr>
    </w:p>
    <w:p>
      <w:pPr>
        <w:jc w:val="both"/>
        <w:ind w:left="940" w:right="22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71">
        <w:r>
          <w:rPr>
            <w:rFonts w:ascii="Arial" w:cs="Arial" w:eastAsia="Arial" w:hAnsi="Arial"/>
            <w:sz w:val="18"/>
            <w:szCs w:val="18"/>
            <w:u w:val="single" w:color="auto"/>
            <w:color w:val="0000FF"/>
          </w:rPr>
          <w:t>Second Amendment to Third Amended and Restated Credit Agreement dated as of June 4, 2013, by and among MRC Energy Company, as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Current Report on Form 8-K filed June 6, 2013).</w:t>
        </w:r>
      </w:hyperlink>
    </w:p>
    <w:p>
      <w:pPr>
        <w:spacing w:after="0" w:line="141" w:lineRule="exact"/>
        <w:rPr>
          <w:rFonts w:ascii="Arial" w:cs="Arial" w:eastAsia="Arial" w:hAnsi="Arial"/>
          <w:sz w:val="18"/>
          <w:szCs w:val="18"/>
          <w:u w:val="single" w:color="auto"/>
          <w:color w:val="0000FF"/>
        </w:rPr>
      </w:pPr>
    </w:p>
    <w:p>
      <w:pPr>
        <w:ind w:left="940" w:right="12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72">
        <w:r>
          <w:rPr>
            <w:rFonts w:ascii="Arial" w:cs="Arial" w:eastAsia="Arial" w:hAnsi="Arial"/>
            <w:sz w:val="18"/>
            <w:szCs w:val="18"/>
            <w:u w:val="single" w:color="auto"/>
            <w:color w:val="0000FF"/>
          </w:rPr>
          <w:t>Third Amendment to Third Amended and Restated Credit Agreement, dated as of August 7, 2013, by and among MRC Energy Company, as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Borrower, the Lenders party thereto and Royal Bank of Canada, as Administrative Agent (incorporated by reference to Exhibit 10.2 to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Quarterly Report on Form 10-Q for the quarter ended June 30, 2013).</w:t>
        </w:r>
      </w:hyperlink>
    </w:p>
    <w:p>
      <w:pPr>
        <w:spacing w:after="0" w:line="141" w:lineRule="exact"/>
        <w:rPr>
          <w:rFonts w:ascii="Arial" w:cs="Arial" w:eastAsia="Arial" w:hAnsi="Arial"/>
          <w:sz w:val="18"/>
          <w:szCs w:val="18"/>
          <w:u w:val="single" w:color="auto"/>
          <w:color w:val="0000FF"/>
        </w:rPr>
      </w:pPr>
    </w:p>
    <w:p>
      <w:pPr>
        <w:ind w:left="94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73">
        <w:r>
          <w:rPr>
            <w:rFonts w:ascii="Arial" w:cs="Arial" w:eastAsia="Arial" w:hAnsi="Arial"/>
            <w:sz w:val="18"/>
            <w:szCs w:val="18"/>
            <w:u w:val="single" w:color="auto"/>
            <w:color w:val="0000FF"/>
          </w:rPr>
          <w:t>Fourth Amendment to Third Amended and Restated Credit Agreement, dated as of March 12, 2014, by and among MRC Energy Company, as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Borrower, the Lenders party thereto and Royal Bank of Canada, as Administrative Agent (incorporated by reference to Exhibit 10.50 to the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Annual Report on Form 10-K for the year ended December 31, 2013).</w:t>
        </w:r>
      </w:hyperlink>
    </w:p>
    <w:p>
      <w:pPr>
        <w:spacing w:after="0" w:line="141" w:lineRule="exact"/>
        <w:rPr>
          <w:rFonts w:ascii="Arial" w:cs="Arial" w:eastAsia="Arial" w:hAnsi="Arial"/>
          <w:sz w:val="18"/>
          <w:szCs w:val="18"/>
          <w:u w:val="single" w:color="auto"/>
          <w:color w:val="0000FF"/>
        </w:rPr>
      </w:pPr>
    </w:p>
    <w:p>
      <w:pPr>
        <w:jc w:val="both"/>
        <w:ind w:left="940" w:right="10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74">
        <w:r>
          <w:rPr>
            <w:rFonts w:ascii="Arial" w:cs="Arial" w:eastAsia="Arial" w:hAnsi="Arial"/>
            <w:sz w:val="18"/>
            <w:szCs w:val="18"/>
            <w:u w:val="single" w:color="auto"/>
            <w:color w:val="0000FF"/>
          </w:rPr>
          <w:t>Fifth Amendment to Third Amended and Restated Credit Agreement, dated as of September 5, 2014, by and among MRC Energy Company,</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as 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Current Report on Form 8-K filed on September 8, 2014).</w:t>
        </w:r>
      </w:hyperlink>
    </w:p>
    <w:p>
      <w:pPr>
        <w:spacing w:after="0" w:line="141" w:lineRule="exact"/>
        <w:rPr>
          <w:rFonts w:ascii="Arial" w:cs="Arial" w:eastAsia="Arial" w:hAnsi="Arial"/>
          <w:sz w:val="18"/>
          <w:szCs w:val="18"/>
          <w:u w:val="single" w:color="auto"/>
          <w:color w:val="0000FF"/>
        </w:rPr>
      </w:pPr>
    </w:p>
    <w:p>
      <w:pPr>
        <w:ind w:left="940" w:right="18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75">
        <w:r>
          <w:rPr>
            <w:rFonts w:ascii="Arial" w:cs="Arial" w:eastAsia="Arial" w:hAnsi="Arial"/>
            <w:sz w:val="18"/>
            <w:szCs w:val="18"/>
            <w:u w:val="single" w:color="auto"/>
            <w:color w:val="0000FF"/>
          </w:rPr>
          <w:t>Sixth Amendment to Third Amended and Restated Credit Agreement, dated as of April 14, 2015, by and among MRC Energy Company, as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Borrower, the Lenders party thereto and Royal Bank of Canada, as Administrative Agent (incorporated by reference to Exhibit 10.2 to the</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Current Report on Form 8-K filed on April 14, 2015).</w:t>
        </w:r>
      </w:hyperlink>
    </w:p>
    <w:p>
      <w:pPr>
        <w:spacing w:after="0" w:line="141" w:lineRule="exact"/>
        <w:rPr>
          <w:rFonts w:ascii="Arial" w:cs="Arial" w:eastAsia="Arial" w:hAnsi="Arial"/>
          <w:sz w:val="18"/>
          <w:szCs w:val="18"/>
          <w:u w:val="single" w:color="auto"/>
          <w:color w:val="0000FF"/>
        </w:rPr>
      </w:pPr>
    </w:p>
    <w:p>
      <w:pPr>
        <w:ind w:left="940" w:right="14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76">
        <w:r>
          <w:rPr>
            <w:rFonts w:ascii="Arial" w:cs="Arial" w:eastAsia="Arial" w:hAnsi="Arial"/>
            <w:sz w:val="18"/>
            <w:szCs w:val="18"/>
            <w:u w:val="single" w:color="auto"/>
            <w:color w:val="0000FF"/>
          </w:rPr>
          <w:t>Seventh Amendment to Third Amended and Restated Credit Agreement, dated as of October 16, 2015, by and among MRC Energy</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Company, as Borrower, the Lenders party thereto and Royal Bank of Canada, as Administrative Agent (incorporated by reference to Exhibit</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10.1 to the Current Report on Form 8-K filed on October 21, 2015).</w:t>
        </w:r>
      </w:hyperlink>
    </w:p>
    <w:p>
      <w:pPr>
        <w:spacing w:after="0" w:line="141" w:lineRule="exact"/>
        <w:rPr>
          <w:rFonts w:ascii="Arial" w:cs="Arial" w:eastAsia="Arial" w:hAnsi="Arial"/>
          <w:sz w:val="18"/>
          <w:szCs w:val="18"/>
          <w:u w:val="single" w:color="auto"/>
          <w:color w:val="0000FF"/>
        </w:rPr>
      </w:pPr>
    </w:p>
    <w:p>
      <w:pPr>
        <w:jc w:val="both"/>
        <w:ind w:left="940" w:right="8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77">
        <w:r>
          <w:rPr>
            <w:rFonts w:ascii="Arial" w:cs="Arial" w:eastAsia="Arial" w:hAnsi="Arial"/>
            <w:sz w:val="18"/>
            <w:szCs w:val="18"/>
            <w:u w:val="single" w:color="auto"/>
            <w:color w:val="0000FF"/>
          </w:rPr>
          <w:t>Eighth Amendment to Third Amended and Restated Credit Agreement, dated as of October 31, 2016, by and among MRC Energy Company,</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as 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Current Report on Form 8-K filed on November 2, 2016).</w:t>
        </w:r>
      </w:hyperlink>
    </w:p>
    <w:p>
      <w:pPr>
        <w:spacing w:after="0" w:line="141" w:lineRule="exact"/>
        <w:rPr>
          <w:rFonts w:ascii="Arial" w:cs="Arial" w:eastAsia="Arial" w:hAnsi="Arial"/>
          <w:sz w:val="18"/>
          <w:szCs w:val="18"/>
          <w:u w:val="single" w:color="auto"/>
          <w:color w:val="0000FF"/>
        </w:rPr>
      </w:pPr>
    </w:p>
    <w:p>
      <w:pPr>
        <w:ind w:left="940" w:right="30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78">
        <w:r>
          <w:rPr>
            <w:rFonts w:ascii="Arial" w:cs="Arial" w:eastAsia="Arial" w:hAnsi="Arial"/>
            <w:sz w:val="18"/>
            <w:szCs w:val="18"/>
            <w:u w:val="single" w:color="auto"/>
            <w:color w:val="0000FF"/>
          </w:rPr>
          <w:t>Limited Consent and Ninth Amendment to Third Amended and Restated Credit Agreement, dated as of December 9, 2016, by and among</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MRC Energy Company, as Borrower, the Lenders party thereto and Royal Bank of Canada, as Administrative Agent (incorporated by</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reference to Exhibit 10.2 to the Current Report on Form 8-K filed on December 9, 2016).</w:t>
        </w:r>
      </w:hyperlink>
    </w:p>
    <w:p>
      <w:pPr>
        <w:spacing w:after="0" w:line="141" w:lineRule="exact"/>
        <w:rPr>
          <w:rFonts w:ascii="Arial" w:cs="Arial" w:eastAsia="Arial" w:hAnsi="Arial"/>
          <w:sz w:val="18"/>
          <w:szCs w:val="18"/>
          <w:u w:val="single" w:color="auto"/>
          <w:color w:val="0000FF"/>
        </w:rPr>
      </w:pPr>
    </w:p>
    <w:p>
      <w:pPr>
        <w:ind w:left="940" w:right="160" w:hanging="735"/>
        <w:spacing w:after="0" w:line="264" w:lineRule="auto"/>
        <w:tabs>
          <w:tab w:leader="none" w:pos="920" w:val="left"/>
        </w:tabs>
        <w:rPr>
          <w:rFonts w:ascii="Arial" w:cs="Arial" w:eastAsia="Arial" w:hAnsi="Arial"/>
          <w:sz w:val="18"/>
          <w:szCs w:val="18"/>
          <w:color w:val="0000FF"/>
        </w:rPr>
      </w:pPr>
      <w:r>
        <w:rPr>
          <w:rFonts w:ascii="Arial" w:cs="Arial" w:eastAsia="Arial" w:hAnsi="Arial"/>
          <w:sz w:val="18"/>
          <w:szCs w:val="18"/>
          <w:color w:val="auto"/>
        </w:rPr>
        <w:t>10.23</w:t>
      </w:r>
      <w:r>
        <w:rPr>
          <w:sz w:val="20"/>
          <w:szCs w:val="20"/>
          <w:color w:val="auto"/>
        </w:rPr>
        <w:tab/>
      </w:r>
      <w:hyperlink r:id="rId79">
        <w:r>
          <w:rPr>
            <w:rFonts w:ascii="Arial" w:cs="Arial" w:eastAsia="Arial" w:hAnsi="Arial"/>
            <w:sz w:val="18"/>
            <w:szCs w:val="18"/>
            <w:u w:val="single" w:color="auto"/>
            <w:color w:val="0000FF"/>
          </w:rPr>
          <w:t>Tenth Amendment to Third Amended and Restated Credit Agreement, dated as of April 28, 2017, by and among MRC Energy Company, as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Current Report on Form 8-K filed on May 4, 2017)</w:t>
        </w:r>
        <w:r>
          <w:rPr>
            <w:rFonts w:ascii="Arial" w:cs="Arial" w:eastAsia="Arial" w:hAnsi="Arial"/>
            <w:sz w:val="18"/>
            <w:szCs w:val="18"/>
            <w:color w:val="000000"/>
          </w:rPr>
          <w:t>.</w:t>
        </w:r>
      </w:hyperlink>
    </w:p>
    <w:p>
      <w:pPr>
        <w:spacing w:after="0" w:line="141" w:lineRule="exact"/>
        <w:rPr>
          <w:rFonts w:ascii="Arial" w:cs="Arial" w:eastAsia="Arial" w:hAnsi="Arial"/>
          <w:sz w:val="18"/>
          <w:szCs w:val="18"/>
          <w:u w:val="single" w:color="auto"/>
          <w:color w:val="0000FF"/>
        </w:rPr>
      </w:pPr>
    </w:p>
    <w:p>
      <w:pPr>
        <w:ind w:left="940" w:right="14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80">
        <w:r>
          <w:rPr>
            <w:rFonts w:ascii="Arial" w:cs="Arial" w:eastAsia="Arial" w:hAnsi="Arial"/>
            <w:sz w:val="18"/>
            <w:szCs w:val="18"/>
            <w:u w:val="single" w:color="auto"/>
            <w:color w:val="0000FF"/>
          </w:rPr>
          <w:t>Form of Employment Agreement between Matador Resources Company and Craig N. Adams (incorporated by reference to Exhibit 10.51 to</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the Annual Report on Form 10-K for the year ended December 31, 2013).</w:t>
        </w:r>
      </w:hyperlink>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121"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40" w:right="22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81">
        <w:r>
          <w:rPr>
            <w:rFonts w:ascii="Arial" w:cs="Arial" w:eastAsia="Arial" w:hAnsi="Arial"/>
            <w:sz w:val="18"/>
            <w:szCs w:val="18"/>
            <w:u w:val="single" w:color="auto"/>
            <w:color w:val="0000FF"/>
          </w:rPr>
          <w:t>Form of Employment Agreement between Matador Resources Company and Van H. Singleton, II, effective February 5, 2015 (incorporated</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by reference to Exhibit 10.52 to the Annual Report on Form 10-K for the year ended December 31, 2014).</w:t>
        </w:r>
      </w:hyperlink>
    </w:p>
    <w:p>
      <w:pPr>
        <w:spacing w:after="0" w:line="130" w:lineRule="exact"/>
        <w:rPr>
          <w:sz w:val="20"/>
          <w:szCs w:val="20"/>
          <w:color w:val="auto"/>
        </w:rPr>
      </w:pPr>
    </w:p>
    <w:p>
      <w:pPr>
        <w:ind w:left="940" w:right="20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82">
        <w:r>
          <w:rPr>
            <w:rFonts w:ascii="Arial" w:cs="Arial" w:eastAsia="Arial" w:hAnsi="Arial"/>
            <w:sz w:val="18"/>
            <w:szCs w:val="18"/>
            <w:u w:val="single" w:color="auto"/>
            <w:color w:val="0000FF"/>
          </w:rPr>
          <w:t>Form of Nonqualified Stock Option Agreement relating to the Matador Resources Company 2012 Long-Term Incentive Plan for employees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without employment agreements (incorporated by reference to Exhibit 10.54 to the Annual Report on Form 10-K for the year ended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December 31, 2014).</w:t>
        </w:r>
      </w:hyperlink>
    </w:p>
    <w:p>
      <w:pPr>
        <w:spacing w:after="0" w:line="141" w:lineRule="exact"/>
        <w:rPr>
          <w:rFonts w:ascii="Arial" w:cs="Arial" w:eastAsia="Arial" w:hAnsi="Arial"/>
          <w:sz w:val="18"/>
          <w:szCs w:val="18"/>
          <w:u w:val="single" w:color="auto"/>
          <w:color w:val="0000FF"/>
        </w:rPr>
      </w:pPr>
    </w:p>
    <w:p>
      <w:pPr>
        <w:ind w:left="940" w:right="8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83">
        <w:r>
          <w:rPr>
            <w:rFonts w:ascii="Arial" w:cs="Arial" w:eastAsia="Arial" w:hAnsi="Arial"/>
            <w:sz w:val="18"/>
            <w:szCs w:val="18"/>
            <w:u w:val="single" w:color="auto"/>
            <w:color w:val="0000FF"/>
          </w:rPr>
          <w:t>Form of Nonqualified Stock Option Agreement relating to the Matador Resources Company Amended and Restated 2012 Long-Term</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Incentive Plan for employees without employment agreements (incorporated by reference to Exhibit 10.53 to the Annual Report on Form 10-</w:t>
        </w:r>
      </w:hyperlink>
      <w:hyperlink r:id="rId83">
        <w:r>
          <w:rPr>
            <w:rFonts w:ascii="Arial" w:cs="Arial" w:eastAsia="Arial" w:hAnsi="Arial"/>
            <w:sz w:val="18"/>
            <w:szCs w:val="18"/>
            <w:u w:val="single" w:color="auto"/>
            <w:color w:val="0000FF"/>
          </w:rPr>
          <w:t>K for the year ended December 31, 2015).</w:t>
        </w:r>
      </w:hyperlink>
    </w:p>
    <w:p>
      <w:pPr>
        <w:spacing w:after="0" w:line="141" w:lineRule="exact"/>
        <w:rPr>
          <w:rFonts w:ascii="Arial" w:cs="Arial" w:eastAsia="Arial" w:hAnsi="Arial"/>
          <w:sz w:val="18"/>
          <w:szCs w:val="18"/>
          <w:u w:val="single" w:color="auto"/>
          <w:color w:val="0000FF"/>
        </w:rPr>
      </w:pPr>
    </w:p>
    <w:p>
      <w:pPr>
        <w:jc w:val="both"/>
        <w:ind w:left="940" w:right="14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84">
        <w:r>
          <w:rPr>
            <w:rFonts w:ascii="Arial" w:cs="Arial" w:eastAsia="Arial" w:hAnsi="Arial"/>
            <w:sz w:val="18"/>
            <w:szCs w:val="18"/>
            <w:u w:val="single" w:color="auto"/>
            <w:color w:val="0000FF"/>
          </w:rPr>
          <w:t>Form of Restricted Stock Award Agreement relating to the Matador Resources Company Amended and Restated 2012 Long-Term Incentive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Plan for employees without employment agreements (incorporated by reference to Exhibit 10.54 to the Annual Report on Form 10-K for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year ended December 31, 2015).</w:t>
        </w:r>
      </w:hyperlink>
    </w:p>
    <w:p>
      <w:pPr>
        <w:spacing w:after="0" w:line="141" w:lineRule="exact"/>
        <w:rPr>
          <w:rFonts w:ascii="Arial" w:cs="Arial" w:eastAsia="Arial" w:hAnsi="Arial"/>
          <w:sz w:val="18"/>
          <w:szCs w:val="18"/>
          <w:u w:val="single" w:color="auto"/>
          <w:color w:val="0000FF"/>
        </w:rPr>
      </w:pPr>
    </w:p>
    <w:p>
      <w:pPr>
        <w:ind w:left="940" w:right="24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85">
        <w:r>
          <w:rPr>
            <w:rFonts w:ascii="Arial" w:cs="Arial" w:eastAsia="Arial" w:hAnsi="Arial"/>
            <w:sz w:val="18"/>
            <w:szCs w:val="18"/>
            <w:u w:val="single" w:color="auto"/>
            <w:color w:val="0000FF"/>
          </w:rPr>
          <w:t>Amended and Restated 2012 Long-Term Incentive Plan (incorporated by reference to Exhibit 10.2 to the Current Report on Form 8-K filed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on June 11, 2015).</w:t>
        </w:r>
      </w:hyperlink>
    </w:p>
    <w:p>
      <w:pPr>
        <w:spacing w:after="0" w:line="130" w:lineRule="exact"/>
        <w:rPr>
          <w:sz w:val="20"/>
          <w:szCs w:val="20"/>
          <w:color w:val="auto"/>
        </w:rPr>
      </w:pPr>
    </w:p>
    <w:p>
      <w:pPr>
        <w:ind w:left="16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86">
        <w:r>
          <w:rPr>
            <w:rFonts w:ascii="Arial" w:cs="Arial" w:eastAsia="Arial" w:hAnsi="Arial"/>
            <w:sz w:val="16"/>
            <w:szCs w:val="16"/>
            <w:u w:val="single" w:color="auto"/>
            <w:color w:val="0000FF"/>
          </w:rPr>
          <w:t>Matador Resources Company Nonqualified Deferred Compensation Plan for Non-Employee Directors (incorporated by reference to Exhibit</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10.59 to the Annual Report on Form 10-K for the year ended December 31, 2015).</w:t>
        </w:r>
      </w:hyperlink>
    </w:p>
    <w:p>
      <w:pPr>
        <w:spacing w:after="0" w:line="170" w:lineRule="exact"/>
        <w:rPr>
          <w:sz w:val="20"/>
          <w:szCs w:val="20"/>
          <w:color w:val="auto"/>
        </w:rPr>
      </w:pPr>
    </w:p>
    <w:p>
      <w:pPr>
        <w:ind w:left="940" w:right="12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87">
        <w:r>
          <w:rPr>
            <w:rFonts w:ascii="Arial" w:cs="Arial" w:eastAsia="Arial" w:hAnsi="Arial"/>
            <w:sz w:val="18"/>
            <w:szCs w:val="18"/>
            <w:u w:val="single" w:color="auto"/>
            <w:color w:val="0000FF"/>
          </w:rPr>
          <w:t>Form of Restricted Stock Unit Award Agreement relating to the Matador Resources Company 2012 Long-Term Incentive Plan (incorporated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by reference to Exhibit 10.62 to the Annual Report on Form 10-K for the year ended December 31, 2016).</w:t>
        </w:r>
      </w:hyperlink>
    </w:p>
    <w:p>
      <w:pPr>
        <w:spacing w:after="0" w:line="130" w:lineRule="exact"/>
        <w:rPr>
          <w:sz w:val="20"/>
          <w:szCs w:val="20"/>
          <w:color w:val="auto"/>
        </w:rPr>
      </w:pPr>
    </w:p>
    <w:p>
      <w:pPr>
        <w:ind w:left="940" w:right="520" w:hanging="780"/>
        <w:spacing w:after="0" w:line="342"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88">
        <w:r>
          <w:rPr>
            <w:rFonts w:ascii="Arial" w:cs="Arial" w:eastAsia="Arial" w:hAnsi="Arial"/>
            <w:sz w:val="16"/>
            <w:szCs w:val="16"/>
            <w:u w:val="single" w:color="auto"/>
            <w:color w:val="0000FF"/>
          </w:rPr>
          <w:t>Form of Restricted Stock Unit Award Agreement for deferred delivery relating to the Matador Resources Company 2012 Long-Term</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Incentive Plan (incorporated by reference to Exhibit 10.63 to the Annual Report on Form 10-K for the year ended December 31, 2016).</w:t>
        </w:r>
      </w:hyperlink>
    </w:p>
    <w:p>
      <w:pPr>
        <w:spacing w:after="0" w:line="83" w:lineRule="exact"/>
        <w:rPr>
          <w:sz w:val="20"/>
          <w:szCs w:val="20"/>
          <w:color w:val="auto"/>
        </w:rPr>
      </w:pPr>
    </w:p>
    <w:p>
      <w:pPr>
        <w:ind w:left="940" w:right="180" w:hanging="780"/>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89">
        <w:r>
          <w:rPr>
            <w:rFonts w:ascii="Arial" w:cs="Arial" w:eastAsia="Arial" w:hAnsi="Arial"/>
            <w:sz w:val="17"/>
            <w:szCs w:val="17"/>
            <w:u w:val="single" w:color="auto"/>
            <w:color w:val="0000FF"/>
          </w:rPr>
          <w:t>Form of Letter Agreement between Matador Resources Company and certain directors modifying Restricted Stock Unit Award Agreements</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(incorporated by reference to Exhibit 10.64 to the Annual Report on Form 10-K for the year ended December 31, 2016).</w:t>
        </w:r>
      </w:hyperlink>
    </w:p>
    <w:p>
      <w:pPr>
        <w:spacing w:after="0" w:line="106" w:lineRule="exact"/>
        <w:rPr>
          <w:sz w:val="20"/>
          <w:szCs w:val="20"/>
          <w:color w:val="auto"/>
        </w:rPr>
      </w:pPr>
    </w:p>
    <w:p>
      <w:pPr>
        <w:ind w:left="940" w:right="220" w:hanging="780"/>
        <w:spacing w:after="0" w:line="342" w:lineRule="auto"/>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90">
        <w:r>
          <w:rPr>
            <w:rFonts w:ascii="Arial" w:cs="Arial" w:eastAsia="Arial" w:hAnsi="Arial"/>
            <w:sz w:val="16"/>
            <w:szCs w:val="16"/>
            <w:u w:val="single" w:color="auto"/>
            <w:color w:val="0000FF"/>
          </w:rPr>
          <w:t>Form of Employment Agreement between Matador Resources Company and each of Billy E. Goodwin and G. Gregg Krug, effective</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February 19, 2016 (incorporated by reference to Exhibit 10.1 to the Quarterly Report on Form 10-Q for the quarter ended March 31, 2017).</w:t>
        </w:r>
      </w:hyperlink>
    </w:p>
    <w:p>
      <w:pPr>
        <w:spacing w:after="0" w:line="83" w:lineRule="exact"/>
        <w:rPr>
          <w:sz w:val="20"/>
          <w:szCs w:val="20"/>
          <w:color w:val="auto"/>
        </w:rPr>
      </w:pPr>
    </w:p>
    <w:p>
      <w:pPr>
        <w:ind w:left="940" w:right="12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91">
        <w:r>
          <w:rPr>
            <w:rFonts w:ascii="Arial" w:cs="Arial" w:eastAsia="Arial" w:hAnsi="Arial"/>
            <w:sz w:val="18"/>
            <w:szCs w:val="18"/>
            <w:u w:val="single" w:color="auto"/>
            <w:color w:val="0000FF"/>
          </w:rPr>
          <w:t>Form of Restricted Stock Unit Award Agreement for Annual Grants with delayed delivery relating to the Matador Resources Company</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Amended and Restated 2012 Long-Term Incentive Plan (incorporated by reference to Exhibit 10.4 to the Quarterly Report on Form 10-Q for</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the quarter ended June 30, 2017).</w:t>
        </w:r>
      </w:hyperlink>
    </w:p>
    <w:p>
      <w:pPr>
        <w:spacing w:after="0" w:line="141" w:lineRule="exact"/>
        <w:rPr>
          <w:rFonts w:ascii="Arial" w:cs="Arial" w:eastAsia="Arial" w:hAnsi="Arial"/>
          <w:sz w:val="18"/>
          <w:szCs w:val="18"/>
          <w:u w:val="single" w:color="auto"/>
          <w:color w:val="0000FF"/>
        </w:rPr>
      </w:pPr>
    </w:p>
    <w:p>
      <w:pPr>
        <w:ind w:left="940" w:right="460" w:hanging="780"/>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92">
        <w:r>
          <w:rPr>
            <w:rFonts w:ascii="Arial" w:cs="Arial" w:eastAsia="Arial" w:hAnsi="Arial"/>
            <w:sz w:val="17"/>
            <w:szCs w:val="17"/>
            <w:u w:val="single" w:color="auto"/>
            <w:color w:val="0000FF"/>
          </w:rPr>
          <w:t>Amendment Number One to the Matador Resources Company Amended and Restated 2012 Long-Term Incentive Plan (incorporated by</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reference to Exhibit 10.1 to the Quarterly Report on Form 10-Q for the quarter ended September 30, 2017).</w:t>
        </w:r>
      </w:hyperlink>
    </w:p>
    <w:p>
      <w:pPr>
        <w:spacing w:after="0" w:line="106" w:lineRule="exact"/>
        <w:rPr>
          <w:sz w:val="20"/>
          <w:szCs w:val="20"/>
          <w:color w:val="auto"/>
        </w:rPr>
      </w:pPr>
    </w:p>
    <w:p>
      <w:pPr>
        <w:jc w:val="both"/>
        <w:ind w:left="94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93">
        <w:r>
          <w:rPr>
            <w:rFonts w:ascii="Arial" w:cs="Arial" w:eastAsia="Arial" w:hAnsi="Arial"/>
            <w:sz w:val="18"/>
            <w:szCs w:val="18"/>
            <w:u w:val="single" w:color="auto"/>
            <w:color w:val="0000FF"/>
          </w:rPr>
          <w:t>Form of Restricted Stock Unit Award Agreement for director awards with deferred delivery under the Matador Resources Company Amended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and Restated 2012 Long-Term Incentive Plan (incorporated by reference to Exhibit 10.3 to the Quarterly Report on Form 10-Q for the quarter</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ended September 30, 2017).</w:t>
        </w:r>
      </w:hyperlink>
    </w:p>
    <w:p>
      <w:pPr>
        <w:spacing w:after="0" w:line="141" w:lineRule="exact"/>
        <w:rPr>
          <w:rFonts w:ascii="Arial" w:cs="Arial" w:eastAsia="Arial" w:hAnsi="Arial"/>
          <w:sz w:val="18"/>
          <w:szCs w:val="18"/>
          <w:u w:val="single" w:color="auto"/>
          <w:color w:val="0000FF"/>
        </w:rPr>
      </w:pPr>
    </w:p>
    <w:p>
      <w:pPr>
        <w:ind w:left="940" w:right="2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94">
        <w:r>
          <w:rPr>
            <w:rFonts w:ascii="Arial" w:cs="Arial" w:eastAsia="Arial" w:hAnsi="Arial"/>
            <w:sz w:val="18"/>
            <w:szCs w:val="18"/>
            <w:u w:val="single" w:color="auto"/>
            <w:color w:val="0000FF"/>
          </w:rPr>
          <w:t>Form of Nonqualified Stock Option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Incentive Plan for employees without employment agreements (incorporated by reference to Exhibit 10.4 to the Quarterly Report on Form 10-</w:t>
        </w:r>
      </w:hyperlink>
      <w:hyperlink r:id="rId94">
        <w:r>
          <w:rPr>
            <w:rFonts w:ascii="Arial" w:cs="Arial" w:eastAsia="Arial" w:hAnsi="Arial"/>
            <w:sz w:val="18"/>
            <w:szCs w:val="18"/>
            <w:u w:val="single" w:color="auto"/>
            <w:color w:val="0000FF"/>
          </w:rPr>
          <w:t>Q for the quarter ended September 30, 2017).</w:t>
        </w:r>
      </w:hyperlink>
    </w:p>
    <w:p>
      <w:pPr>
        <w:spacing w:after="0" w:line="141" w:lineRule="exact"/>
        <w:rPr>
          <w:rFonts w:ascii="Arial" w:cs="Arial" w:eastAsia="Arial" w:hAnsi="Arial"/>
          <w:sz w:val="18"/>
          <w:szCs w:val="18"/>
          <w:u w:val="single" w:color="auto"/>
          <w:color w:val="0000FF"/>
        </w:rPr>
      </w:pPr>
    </w:p>
    <w:p>
      <w:pPr>
        <w:jc w:val="both"/>
        <w:ind w:left="940" w:right="12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95">
        <w:r>
          <w:rPr>
            <w:rFonts w:ascii="Arial" w:cs="Arial" w:eastAsia="Arial" w:hAnsi="Arial"/>
            <w:sz w:val="18"/>
            <w:szCs w:val="18"/>
            <w:u w:val="single" w:color="auto"/>
            <w:color w:val="0000FF"/>
          </w:rPr>
          <w:t>Form of Nonqualified Stock Option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Incentive Plan for employees with employment agreements (incorporated by reference to Exhibit 10.5 to the Quarterly Report on Form 10-Q</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for the quarter ended September 30, 2017).</w:t>
        </w:r>
      </w:hyperlink>
    </w:p>
    <w:p>
      <w:pPr>
        <w:spacing w:after="0" w:line="141" w:lineRule="exact"/>
        <w:rPr>
          <w:rFonts w:ascii="Arial" w:cs="Arial" w:eastAsia="Arial" w:hAnsi="Arial"/>
          <w:sz w:val="18"/>
          <w:szCs w:val="18"/>
          <w:u w:val="single" w:color="auto"/>
          <w:color w:val="0000FF"/>
        </w:rPr>
      </w:pPr>
    </w:p>
    <w:p>
      <w:pPr>
        <w:ind w:left="940" w:right="2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96">
        <w:r>
          <w:rPr>
            <w:rFonts w:ascii="Arial" w:cs="Arial" w:eastAsia="Arial" w:hAnsi="Arial"/>
            <w:sz w:val="18"/>
            <w:szCs w:val="18"/>
            <w:u w:val="single" w:color="auto"/>
            <w:color w:val="0000FF"/>
          </w:rPr>
          <w:t>Form of Restricted Stock Award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Incentive Plan for employees without employment agreements (incorporated by reference to Exhibit 10.6 to the Quarterly Report on Form 10-</w:t>
        </w:r>
      </w:hyperlink>
      <w:hyperlink r:id="rId96">
        <w:r>
          <w:rPr>
            <w:rFonts w:ascii="Arial" w:cs="Arial" w:eastAsia="Arial" w:hAnsi="Arial"/>
            <w:sz w:val="18"/>
            <w:szCs w:val="18"/>
            <w:u w:val="single" w:color="auto"/>
            <w:color w:val="0000FF"/>
          </w:rPr>
          <w:t>Q for the quarter ended September 30, 2017).</w:t>
        </w:r>
      </w:hyperlink>
    </w:p>
    <w:p>
      <w:pPr>
        <w:spacing w:after="0" w:line="141" w:lineRule="exact"/>
        <w:rPr>
          <w:rFonts w:ascii="Arial" w:cs="Arial" w:eastAsia="Arial" w:hAnsi="Arial"/>
          <w:sz w:val="18"/>
          <w:szCs w:val="18"/>
          <w:u w:val="single" w:color="auto"/>
          <w:color w:val="0000FF"/>
        </w:rPr>
      </w:pPr>
    </w:p>
    <w:p>
      <w:pPr>
        <w:ind w:left="940" w:right="12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97">
        <w:r>
          <w:rPr>
            <w:rFonts w:ascii="Arial" w:cs="Arial" w:eastAsia="Arial" w:hAnsi="Arial"/>
            <w:sz w:val="18"/>
            <w:szCs w:val="18"/>
            <w:u w:val="single" w:color="auto"/>
            <w:color w:val="0000FF"/>
          </w:rPr>
          <w:t>Form of Restricted Stock Award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Incentive Plan for employees with employment agreements (incorporated by reference to Exhibit 10.7 to the Quarterly Report on Form 10-Q</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for the quarter ended September 30, 2017).</w:t>
        </w:r>
      </w:hyperlink>
    </w:p>
    <w:p>
      <w:pPr>
        <w:spacing w:after="0" w:line="141" w:lineRule="exact"/>
        <w:rPr>
          <w:rFonts w:ascii="Arial" w:cs="Arial" w:eastAsia="Arial" w:hAnsi="Arial"/>
          <w:sz w:val="18"/>
          <w:szCs w:val="18"/>
          <w:u w:val="single" w:color="auto"/>
          <w:color w:val="0000FF"/>
        </w:rPr>
      </w:pPr>
    </w:p>
    <w:p>
      <w:pPr>
        <w:ind w:left="940" w:right="14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98">
        <w:r>
          <w:rPr>
            <w:rFonts w:ascii="Arial" w:cs="Arial" w:eastAsia="Arial" w:hAnsi="Arial"/>
            <w:sz w:val="18"/>
            <w:szCs w:val="18"/>
            <w:u w:val="single" w:color="auto"/>
            <w:color w:val="0000FF"/>
          </w:rPr>
          <w:t>First Amendment to the Employment Agreement between Matador Resources Company and Billy E. Goodwin (incorporated by reference to</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Exhibit 10.1 to the Quarterly Report on Form 10-Q for the quarter ended June 30, 2018).</w:t>
        </w:r>
      </w:hyperlink>
    </w:p>
    <w:p>
      <w:pPr>
        <w:sectPr>
          <w:pgSz w:w="11900" w:h="16838" w:orient="portrait"/>
          <w:cols w:equalWidth="0" w:num="1">
            <w:col w:w="11200"/>
          </w:cols>
          <w:pgMar w:left="240" w:top="121" w:right="4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00"/>
          </w:cols>
          <w:pgMar w:left="240" w:top="121" w:right="45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40" w:right="6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99">
        <w:r>
          <w:rPr>
            <w:rFonts w:ascii="Arial" w:cs="Arial" w:eastAsia="Arial" w:hAnsi="Arial"/>
            <w:sz w:val="18"/>
            <w:szCs w:val="18"/>
            <w:u w:val="single" w:color="auto"/>
            <w:color w:val="0000FF"/>
          </w:rPr>
          <w:t>Amended and Restated Employment Agreement between Matador Resources Company and Bradley M. Robinson (incorporated by reference</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to Exhibit 10.2 to the Quarterly Report on Form 10-Q for the quarter ended June 30, 2018).</w:t>
        </w:r>
      </w:hyperlink>
    </w:p>
    <w:p>
      <w:pPr>
        <w:spacing w:after="0" w:line="130" w:lineRule="exact"/>
        <w:rPr>
          <w:sz w:val="20"/>
          <w:szCs w:val="20"/>
          <w:color w:val="auto"/>
        </w:rPr>
      </w:pPr>
    </w:p>
    <w:p>
      <w:pPr>
        <w:jc w:val="both"/>
        <w:ind w:left="940" w:right="6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100">
        <w:r>
          <w:rPr>
            <w:rFonts w:ascii="Arial" w:cs="Arial" w:eastAsia="Arial" w:hAnsi="Arial"/>
            <w:sz w:val="18"/>
            <w:szCs w:val="18"/>
            <w:u w:val="single" w:color="auto"/>
            <w:color w:val="0000FF"/>
          </w:rPr>
          <w:t>Eleventh Amendment to Third Amended and Restated Credit Agreement, dated as of August 7, 2018, by and among MRC Energy Company,</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as Borrower, the Lenders party thereto and Royal Bank of Canada, as Administrative Agent (incorporated by reference to Exhibit 10.1 to the</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Current Report on Form 8-K filed on August 9, 2018).</w:t>
        </w:r>
      </w:hyperlink>
    </w:p>
    <w:p>
      <w:pPr>
        <w:spacing w:after="0" w:line="141" w:lineRule="exact"/>
        <w:rPr>
          <w:rFonts w:ascii="Arial" w:cs="Arial" w:eastAsia="Arial" w:hAnsi="Arial"/>
          <w:sz w:val="18"/>
          <w:szCs w:val="18"/>
          <w:u w:val="single" w:color="auto"/>
          <w:color w:val="0000FF"/>
        </w:rPr>
      </w:pPr>
    </w:p>
    <w:p>
      <w:pPr>
        <w:jc w:val="both"/>
        <w:ind w:left="940" w:right="8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101">
        <w:r>
          <w:rPr>
            <w:rFonts w:ascii="Arial" w:cs="Arial" w:eastAsia="Arial" w:hAnsi="Arial"/>
            <w:sz w:val="18"/>
            <w:szCs w:val="18"/>
            <w:u w:val="single" w:color="auto"/>
            <w:color w:val="0000FF"/>
          </w:rPr>
          <w:t>Twelfth Amendment to Third Amended and Restated Credit Agreement, dated as of October 1, 2018, by and among MRC Energy Company,</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as Borrower, the Lenders party thereto and Royal Bank of Canada, as Administrative Agent (incorporated by reference to Exhibit 10.2 to the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Current Report on Form 8-K filed on October 4, 2018).</w:t>
        </w:r>
      </w:hyperlink>
    </w:p>
    <w:p>
      <w:pPr>
        <w:spacing w:after="0" w:line="141" w:lineRule="exact"/>
        <w:rPr>
          <w:rFonts w:ascii="Arial" w:cs="Arial" w:eastAsia="Arial" w:hAnsi="Arial"/>
          <w:sz w:val="18"/>
          <w:szCs w:val="18"/>
          <w:u w:val="single" w:color="auto"/>
          <w:color w:val="0000FF"/>
        </w:rPr>
      </w:pPr>
    </w:p>
    <w:p>
      <w:pPr>
        <w:ind w:left="940" w:right="140" w:hanging="735"/>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102">
        <w:r>
          <w:rPr>
            <w:rFonts w:ascii="Arial" w:cs="Arial" w:eastAsia="Arial" w:hAnsi="Arial"/>
            <w:sz w:val="18"/>
            <w:szCs w:val="18"/>
            <w:u w:val="single" w:color="auto"/>
            <w:color w:val="0000FF"/>
          </w:rPr>
          <w:t>Thirteenth Amendment to Third Amended and Restated Credit Agreement, dated as of October 31, 2018, by and among MRC Energy</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Company, as Borrower, the Lenders party thereto and Royal Bank of Canada, as Administrative Agent (incorporated by reference to Exhibit</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10.1 to the Current Report on Form 8-K filed on November 1, 2018).</w:t>
        </w:r>
      </w:hyperlink>
    </w:p>
    <w:p>
      <w:pPr>
        <w:spacing w:after="0" w:line="141" w:lineRule="exact"/>
        <w:rPr>
          <w:rFonts w:ascii="Arial" w:cs="Arial" w:eastAsia="Arial" w:hAnsi="Arial"/>
          <w:sz w:val="18"/>
          <w:szCs w:val="18"/>
          <w:u w:val="single" w:color="auto"/>
          <w:color w:val="0000FF"/>
        </w:rPr>
      </w:pPr>
    </w:p>
    <w:p>
      <w:pPr>
        <w:ind w:left="940" w:right="14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10.47†</w:t>
      </w:r>
      <w:r>
        <w:rPr>
          <w:sz w:val="20"/>
          <w:szCs w:val="20"/>
          <w:color w:val="auto"/>
        </w:rPr>
        <w:tab/>
      </w:r>
      <w:hyperlink r:id="rId103">
        <w:r>
          <w:rPr>
            <w:rFonts w:ascii="Arial" w:cs="Arial" w:eastAsia="Arial" w:hAnsi="Arial"/>
            <w:sz w:val="18"/>
            <w:szCs w:val="18"/>
            <w:u w:val="single" w:color="auto"/>
            <w:color w:val="0000FF"/>
          </w:rPr>
          <w:t>Matador Resources Company Annual Cash Incentive Plan, effective as of January 1, 2019 (incorporated by reference to Exhibit 10.66 to the</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Annual Report on Form 10-K for the year ended December 31, 2018).</w:t>
        </w:r>
      </w:hyperlink>
    </w:p>
    <w:p>
      <w:pPr>
        <w:spacing w:after="0" w:line="130" w:lineRule="exact"/>
        <w:rPr>
          <w:sz w:val="20"/>
          <w:szCs w:val="20"/>
          <w:color w:val="auto"/>
        </w:rPr>
      </w:pPr>
    </w:p>
    <w:p>
      <w:pPr>
        <w:ind w:left="940" w:right="16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10.48†</w:t>
      </w:r>
      <w:r>
        <w:rPr>
          <w:sz w:val="20"/>
          <w:szCs w:val="20"/>
          <w:color w:val="auto"/>
        </w:rPr>
        <w:tab/>
      </w:r>
      <w:hyperlink r:id="rId104">
        <w:r>
          <w:rPr>
            <w:rFonts w:ascii="Arial" w:cs="Arial" w:eastAsia="Arial" w:hAnsi="Arial"/>
            <w:sz w:val="18"/>
            <w:szCs w:val="18"/>
            <w:u w:val="single" w:color="auto"/>
            <w:color w:val="0000FF"/>
          </w:rPr>
          <w:t>Form of Phantom Unit Award Agreement for awards under the Matador Resources Company Amended and Restated 2012 Long-Term</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Incentive Plan for employees with employment agreements (incorporated by reference to Exhibit 10.67 to the Annual Report on Form 10-K</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for the year ended December 31, 2018).</w:t>
        </w:r>
      </w:hyperlink>
    </w:p>
    <w:p>
      <w:pPr>
        <w:spacing w:after="0" w:line="141" w:lineRule="exact"/>
        <w:rPr>
          <w:rFonts w:ascii="Arial" w:cs="Arial" w:eastAsia="Arial" w:hAnsi="Arial"/>
          <w:sz w:val="18"/>
          <w:szCs w:val="18"/>
          <w:u w:val="single" w:color="auto"/>
          <w:color w:val="0000FF"/>
        </w:rPr>
      </w:pPr>
    </w:p>
    <w:p>
      <w:pPr>
        <w:jc w:val="both"/>
        <w:ind w:left="940" w:right="16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105">
        <w:r>
          <w:rPr>
            <w:rFonts w:ascii="Arial" w:cs="Arial" w:eastAsia="Arial" w:hAnsi="Arial"/>
            <w:sz w:val="18"/>
            <w:szCs w:val="18"/>
            <w:u w:val="single" w:color="auto"/>
            <w:color w:val="0000FF"/>
          </w:rPr>
          <w:t>Form of Performance Stock Unit Award Agreement for awards under the Matador Resources Company Amended and Restated 2012 Long-</w:t>
        </w:r>
      </w:hyperlink>
      <w:hyperlink r:id="rId105">
        <w:r>
          <w:rPr>
            <w:rFonts w:ascii="Arial" w:cs="Arial" w:eastAsia="Arial" w:hAnsi="Arial"/>
            <w:sz w:val="18"/>
            <w:szCs w:val="18"/>
            <w:u w:val="single" w:color="auto"/>
            <w:color w:val="0000FF"/>
          </w:rPr>
          <w:t>Term Incentive Plan for employees with employment agreements (incorporated by reference to Exhibit 10.68 to the Annual Report on Form</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10-K for the year ended December 31, 2018).</w:t>
        </w:r>
      </w:hyperlink>
    </w:p>
    <w:p>
      <w:pPr>
        <w:spacing w:after="0" w:line="141" w:lineRule="exact"/>
        <w:rPr>
          <w:rFonts w:ascii="Arial" w:cs="Arial" w:eastAsia="Arial" w:hAnsi="Arial"/>
          <w:sz w:val="18"/>
          <w:szCs w:val="18"/>
          <w:u w:val="single" w:color="auto"/>
          <w:color w:val="0000FF"/>
        </w:rPr>
      </w:pPr>
    </w:p>
    <w:p>
      <w:pPr>
        <w:ind w:left="940" w:right="32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106">
        <w:r>
          <w:rPr>
            <w:rFonts w:ascii="Arial" w:cs="Arial" w:eastAsia="Arial" w:hAnsi="Arial"/>
            <w:sz w:val="18"/>
            <w:szCs w:val="18"/>
            <w:u w:val="single" w:color="auto"/>
            <w:color w:val="0000FF"/>
          </w:rPr>
          <w:t>Matador Resources Company 2019 Long-Term Incentive Plan (incorporated by reference to Exhibit 99.1 to the Registration Statement on</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Form S-8 filed on June 6, 2019).</w:t>
        </w:r>
      </w:hyperlink>
    </w:p>
    <w:p>
      <w:pPr>
        <w:spacing w:after="0" w:line="130" w:lineRule="exact"/>
        <w:rPr>
          <w:sz w:val="20"/>
          <w:szCs w:val="20"/>
          <w:color w:val="auto"/>
        </w:rPr>
      </w:pPr>
    </w:p>
    <w:p>
      <w:pPr>
        <w:ind w:left="940" w:right="40" w:hanging="780"/>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10.51†</w:t>
      </w:r>
      <w:r>
        <w:rPr>
          <w:sz w:val="20"/>
          <w:szCs w:val="20"/>
          <w:color w:val="auto"/>
        </w:rPr>
        <w:tab/>
      </w:r>
      <w:hyperlink r:id="rId107">
        <w:r>
          <w:rPr>
            <w:rFonts w:ascii="Arial" w:cs="Arial" w:eastAsia="Arial" w:hAnsi="Arial"/>
            <w:sz w:val="17"/>
            <w:szCs w:val="17"/>
            <w:u w:val="single" w:color="auto"/>
            <w:color w:val="0000FF"/>
          </w:rPr>
          <w:t>Form of Restricted Stock Unit Award Agreement for director awards under the Matador Resources Company 2019 Long-Term Incentive Plan</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(incorporated by reference to Exhibit 10.2 to the Quarterly Report on Form 10-Q for the quarter ended June 30, 2019).</w:t>
        </w:r>
      </w:hyperlink>
    </w:p>
    <w:p>
      <w:pPr>
        <w:spacing w:after="0" w:line="106" w:lineRule="exact"/>
        <w:rPr>
          <w:sz w:val="20"/>
          <w:szCs w:val="20"/>
          <w:color w:val="auto"/>
        </w:rPr>
      </w:pPr>
    </w:p>
    <w:p>
      <w:pPr>
        <w:jc w:val="both"/>
        <w:ind w:left="940" w:right="280" w:hanging="780"/>
        <w:spacing w:after="0" w:line="264"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108">
        <w:r>
          <w:rPr>
            <w:rFonts w:ascii="Arial" w:cs="Arial" w:eastAsia="Arial" w:hAnsi="Arial"/>
            <w:sz w:val="18"/>
            <w:szCs w:val="18"/>
            <w:u w:val="single" w:color="auto"/>
            <w:color w:val="0000FF"/>
          </w:rPr>
          <w:t>Form of Restricted Stock Unit Award Agreement for director awards with deferred delivery under the Matador Resources Company 2019</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Long-Term Incentive Plan (incorporated by reference to Exhibit 10.3 to the Quarterly Report on Form 10-Q for the quarter ended June 30,</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2019).</w:t>
        </w:r>
      </w:hyperlink>
    </w:p>
    <w:p>
      <w:pPr>
        <w:spacing w:after="0" w:line="141" w:lineRule="exact"/>
        <w:rPr>
          <w:rFonts w:ascii="Arial" w:cs="Arial" w:eastAsia="Arial" w:hAnsi="Arial"/>
          <w:sz w:val="18"/>
          <w:szCs w:val="18"/>
          <w:u w:val="single" w:color="auto"/>
          <w:color w:val="0000FF"/>
        </w:rPr>
      </w:pPr>
    </w:p>
    <w:p>
      <w:pPr>
        <w:ind w:left="940" w:right="300" w:hanging="78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109">
        <w:r>
          <w:rPr>
            <w:rFonts w:ascii="Arial" w:cs="Arial" w:eastAsia="Arial" w:hAnsi="Arial"/>
            <w:sz w:val="18"/>
            <w:szCs w:val="18"/>
            <w:u w:val="single" w:color="auto"/>
            <w:color w:val="0000FF"/>
          </w:rPr>
          <w:t>First Amendment to the Employment Agreement between Matador Resources Company and G. Gregg Krug (incorporated by reference 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Exhibit 10.4 to the Quarterly Report on Form 10-Q for the quarter ended June 30, 2019).</w:t>
        </w:r>
      </w:hyperlink>
    </w:p>
    <w:p>
      <w:pPr>
        <w:spacing w:after="0" w:line="265" w:lineRule="exact"/>
        <w:rPr>
          <w:sz w:val="20"/>
          <w:szCs w:val="20"/>
          <w:color w:val="auto"/>
        </w:rPr>
      </w:pPr>
    </w:p>
    <w:p>
      <w:pPr>
        <w:ind w:left="940" w:right="260" w:hanging="780"/>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10.54†</w:t>
      </w:r>
      <w:r>
        <w:rPr>
          <w:sz w:val="20"/>
          <w:szCs w:val="20"/>
          <w:color w:val="auto"/>
        </w:rPr>
        <w:tab/>
      </w:r>
      <w:hyperlink r:id="rId110">
        <w:r>
          <w:rPr>
            <w:rFonts w:ascii="Arial" w:cs="Arial" w:eastAsia="Arial" w:hAnsi="Arial"/>
            <w:sz w:val="17"/>
            <w:szCs w:val="17"/>
            <w:u w:val="single" w:color="auto"/>
            <w:color w:val="0000FF"/>
          </w:rPr>
          <w:t>First Amendment to the Amended and Restated Employment Agreement between Matador Resources Company and Bradley M. Robinson</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(incorporated by reference to Exhibit 10.5 to the Quarterly Report on Form 10-Q for the quarter ended June 30, 2019).</w:t>
        </w:r>
      </w:hyperlink>
    </w:p>
    <w:p>
      <w:pPr>
        <w:spacing w:after="0" w:line="106" w:lineRule="exact"/>
        <w:rPr>
          <w:sz w:val="20"/>
          <w:szCs w:val="20"/>
          <w:color w:val="auto"/>
        </w:rPr>
      </w:pPr>
    </w:p>
    <w:p>
      <w:pPr>
        <w:ind w:left="940" w:right="480" w:hanging="735"/>
        <w:spacing w:after="0" w:line="308" w:lineRule="auto"/>
        <w:tabs>
          <w:tab w:leader="none" w:pos="920" w:val="left"/>
        </w:tabs>
        <w:rPr>
          <w:rFonts w:ascii="Arial" w:cs="Arial" w:eastAsia="Arial" w:hAnsi="Arial"/>
          <w:sz w:val="17"/>
          <w:szCs w:val="17"/>
          <w:u w:val="single" w:color="auto"/>
          <w:color w:val="0000FF"/>
        </w:rPr>
      </w:pPr>
      <w:r>
        <w:rPr>
          <w:rFonts w:ascii="Arial" w:cs="Arial" w:eastAsia="Arial" w:hAnsi="Arial"/>
          <w:sz w:val="18"/>
          <w:szCs w:val="18"/>
          <w:color w:val="auto"/>
        </w:rPr>
        <w:t>10.55</w:t>
      </w:r>
      <w:r>
        <w:rPr>
          <w:sz w:val="20"/>
          <w:szCs w:val="20"/>
          <w:color w:val="auto"/>
        </w:rPr>
        <w:tab/>
      </w:r>
      <w:hyperlink w:anchor="page159">
        <w:r>
          <w:rPr>
            <w:rFonts w:ascii="Arial" w:cs="Arial" w:eastAsia="Arial" w:hAnsi="Arial"/>
            <w:sz w:val="17"/>
            <w:szCs w:val="17"/>
            <w:u w:val="single" w:color="auto"/>
            <w:color w:val="0000FF"/>
          </w:rPr>
          <w:t>Fourteenth Amendment to Third Amended and Restated Credit Agreement, dated as of February 27, 2020, by and among MRC Energy</w:t>
        </w:r>
      </w:hyperlink>
      <w:r>
        <w:rPr>
          <w:rFonts w:ascii="Arial" w:cs="Arial" w:eastAsia="Arial" w:hAnsi="Arial"/>
          <w:sz w:val="17"/>
          <w:szCs w:val="17"/>
          <w:u w:val="single" w:color="auto"/>
          <w:color w:val="0000FF"/>
        </w:rPr>
        <w:t xml:space="preserve"> </w:t>
      </w:r>
      <w:hyperlink w:anchor="page159">
        <w:r>
          <w:rPr>
            <w:rFonts w:ascii="Arial" w:cs="Arial" w:eastAsia="Arial" w:hAnsi="Arial"/>
            <w:sz w:val="17"/>
            <w:szCs w:val="17"/>
            <w:u w:val="single" w:color="auto"/>
            <w:color w:val="0000FF"/>
          </w:rPr>
          <w:t>Company, as Borrower, the Lenders party thereto and Royal Bank of Canada, as Administrative Agent (filed herewith).</w:t>
        </w:r>
      </w:hyperlink>
    </w:p>
    <w:p>
      <w:pPr>
        <w:spacing w:after="0" w:line="106" w:lineRule="exact"/>
        <w:rPr>
          <w:sz w:val="20"/>
          <w:szCs w:val="20"/>
          <w:color w:val="auto"/>
        </w:rPr>
      </w:pPr>
    </w:p>
    <w:p>
      <w:pPr>
        <w:ind w:left="2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84">
        <w:r>
          <w:rPr>
            <w:rFonts w:ascii="Arial" w:cs="Arial" w:eastAsia="Arial" w:hAnsi="Arial"/>
            <w:sz w:val="16"/>
            <w:szCs w:val="16"/>
            <w:u w:val="single" w:color="auto"/>
            <w:color w:val="0000FF"/>
          </w:rPr>
          <w:t>List of Subsidiaries of Matador Resources Company (filed herewith).</w:t>
        </w:r>
      </w:hyperlink>
    </w:p>
    <w:p>
      <w:pPr>
        <w:spacing w:after="0" w:line="185" w:lineRule="exact"/>
        <w:rPr>
          <w:sz w:val="20"/>
          <w:szCs w:val="20"/>
          <w:color w:val="auto"/>
        </w:rPr>
      </w:pPr>
    </w:p>
    <w:p>
      <w:pPr>
        <w:ind w:left="2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85">
        <w:r>
          <w:rPr>
            <w:rFonts w:ascii="Arial" w:cs="Arial" w:eastAsia="Arial" w:hAnsi="Arial"/>
            <w:sz w:val="16"/>
            <w:szCs w:val="16"/>
            <w:u w:val="single" w:color="auto"/>
            <w:color w:val="0000FF"/>
          </w:rPr>
          <w:t>Consent of KPMG LLP (filed herewith).</w:t>
        </w:r>
      </w:hyperlink>
    </w:p>
    <w:p>
      <w:pPr>
        <w:spacing w:after="0" w:line="185" w:lineRule="exact"/>
        <w:rPr>
          <w:sz w:val="20"/>
          <w:szCs w:val="20"/>
          <w:color w:val="auto"/>
        </w:rPr>
      </w:pPr>
    </w:p>
    <w:p>
      <w:pPr>
        <w:ind w:left="2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186">
        <w:r>
          <w:rPr>
            <w:rFonts w:ascii="Arial" w:cs="Arial" w:eastAsia="Arial" w:hAnsi="Arial"/>
            <w:sz w:val="16"/>
            <w:szCs w:val="16"/>
            <w:u w:val="single" w:color="auto"/>
            <w:color w:val="0000FF"/>
          </w:rPr>
          <w:t>Consent of Netherland, Sewell &amp; Associates, Inc. (filed herewith).</w:t>
        </w:r>
      </w:hyperlink>
    </w:p>
    <w:p>
      <w:pPr>
        <w:spacing w:after="0" w:line="185" w:lineRule="exact"/>
        <w:rPr>
          <w:sz w:val="20"/>
          <w:szCs w:val="20"/>
          <w:color w:val="auto"/>
        </w:rPr>
      </w:pPr>
    </w:p>
    <w:p>
      <w:pPr>
        <w:ind w:left="2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87">
        <w:r>
          <w:rPr>
            <w:rFonts w:ascii="Arial" w:cs="Arial" w:eastAsia="Arial" w:hAnsi="Arial"/>
            <w:sz w:val="16"/>
            <w:szCs w:val="16"/>
            <w:u w:val="single" w:color="auto"/>
            <w:color w:val="0000FF"/>
          </w:rPr>
          <w:t>Certification of Principal Executive Officer pursuant to Section 302 of the Sarbanes-Oxley Act of 2002 (filed herewith).</w:t>
        </w:r>
      </w:hyperlink>
    </w:p>
    <w:p>
      <w:pPr>
        <w:spacing w:after="0" w:line="185" w:lineRule="exact"/>
        <w:rPr>
          <w:sz w:val="20"/>
          <w:szCs w:val="20"/>
          <w:color w:val="auto"/>
        </w:rPr>
      </w:pPr>
    </w:p>
    <w:p>
      <w:pPr>
        <w:ind w:left="2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88">
        <w:r>
          <w:rPr>
            <w:rFonts w:ascii="Arial" w:cs="Arial" w:eastAsia="Arial" w:hAnsi="Arial"/>
            <w:sz w:val="16"/>
            <w:szCs w:val="16"/>
            <w:u w:val="single" w:color="auto"/>
            <w:color w:val="0000FF"/>
          </w:rPr>
          <w:t>Certification of Principal Financial Officer pursuant to Section 302 of the Sarbanes-Oxley Act of 2002 (filed herewith).</w:t>
        </w:r>
      </w:hyperlink>
    </w:p>
    <w:p>
      <w:pPr>
        <w:spacing w:after="0" w:line="185" w:lineRule="exact"/>
        <w:rPr>
          <w:sz w:val="20"/>
          <w:szCs w:val="20"/>
          <w:color w:val="auto"/>
        </w:rPr>
      </w:pPr>
    </w:p>
    <w:p>
      <w:pPr>
        <w:ind w:left="940" w:right="260" w:hanging="69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89">
        <w:r>
          <w:rPr>
            <w:rFonts w:ascii="Arial" w:cs="Arial" w:eastAsia="Arial" w:hAnsi="Arial"/>
            <w:sz w:val="18"/>
            <w:szCs w:val="18"/>
            <w:u w:val="single" w:color="auto"/>
            <w:color w:val="0000FF"/>
          </w:rPr>
          <w:t>Certification of Principal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189">
        <w:r>
          <w:rPr>
            <w:rFonts w:ascii="Arial" w:cs="Arial" w:eastAsia="Arial" w:hAnsi="Arial"/>
            <w:sz w:val="18"/>
            <w:szCs w:val="18"/>
            <w:u w:val="single" w:color="auto"/>
            <w:color w:val="0000FF"/>
          </w:rPr>
          <w:t>Act of 2002 (furnished herewith).</w:t>
        </w:r>
      </w:hyperlink>
    </w:p>
    <w:p>
      <w:pPr>
        <w:spacing w:after="0" w:line="130" w:lineRule="exact"/>
        <w:rPr>
          <w:sz w:val="20"/>
          <w:szCs w:val="20"/>
          <w:color w:val="auto"/>
        </w:rPr>
      </w:pPr>
    </w:p>
    <w:p>
      <w:pPr>
        <w:ind w:left="940" w:hanging="690"/>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90">
        <w:r>
          <w:rPr>
            <w:rFonts w:ascii="Arial" w:cs="Arial" w:eastAsia="Arial" w:hAnsi="Arial"/>
            <w:sz w:val="18"/>
            <w:szCs w:val="18"/>
            <w:u w:val="single" w:color="auto"/>
            <w:color w:val="0000FF"/>
          </w:rPr>
          <w:t>Certification of Principal Financial Officer pursuant to 18 U.S.C. Section 1350, as adopted pursuant to Section 906 of the Sarbanes-Oxley Act</w:t>
        </w:r>
      </w:hyperlink>
      <w:r>
        <w:rPr>
          <w:rFonts w:ascii="Arial" w:cs="Arial" w:eastAsia="Arial" w:hAnsi="Arial"/>
          <w:sz w:val="18"/>
          <w:szCs w:val="18"/>
          <w:u w:val="single" w:color="auto"/>
          <w:color w:val="0000FF"/>
        </w:rPr>
        <w:t xml:space="preserve"> </w:t>
      </w:r>
      <w:hyperlink w:anchor="page190">
        <w:r>
          <w:rPr>
            <w:rFonts w:ascii="Arial" w:cs="Arial" w:eastAsia="Arial" w:hAnsi="Arial"/>
            <w:sz w:val="18"/>
            <w:szCs w:val="18"/>
            <w:u w:val="single" w:color="auto"/>
            <w:color w:val="0000FF"/>
          </w:rPr>
          <w:t>of 2002 (furnished herewith).</w:t>
        </w:r>
      </w:hyperlink>
    </w:p>
    <w:p>
      <w:pPr>
        <w:spacing w:after="0" w:line="130" w:lineRule="exact"/>
        <w:rPr>
          <w:sz w:val="20"/>
          <w:szCs w:val="20"/>
          <w:color w:val="auto"/>
        </w:rPr>
      </w:pPr>
    </w:p>
    <w:p>
      <w:pPr>
        <w:ind w:left="240"/>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191">
        <w:r>
          <w:rPr>
            <w:rFonts w:ascii="Arial" w:cs="Arial" w:eastAsia="Arial" w:hAnsi="Arial"/>
            <w:sz w:val="16"/>
            <w:szCs w:val="16"/>
            <w:u w:val="single" w:color="auto"/>
            <w:color w:val="0000FF"/>
          </w:rPr>
          <w:t>Audit report of Netherland, Sewell &amp; Associates, Inc. (filed herewith).</w:t>
        </w:r>
      </w:hyperlink>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80"/>
          </w:cols>
          <w:pgMar w:left="240" w:top="121" w:right="47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3" w:lineRule="exact"/>
        <w:rPr>
          <w:sz w:val="20"/>
          <w:szCs w:val="20"/>
          <w:color w:val="auto"/>
        </w:rPr>
      </w:pPr>
    </w:p>
    <w:p>
      <w:pPr>
        <w:ind w:left="940" w:right="60" w:hanging="669"/>
        <w:spacing w:after="0" w:line="279" w:lineRule="auto"/>
        <w:tabs>
          <w:tab w:leader="none" w:pos="9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Annual Report on Form 10-K for the year ended December 31, 2019, formatted in Inline XBRL (Inline eXtensible Business Reporting Language): (i) the Consolidated Balance Sheets, (ii) the Consolidated Statements of Operations, (iii) the Consolidated Statements of Changes in Shareholders’ Equity, (iv) the Consolidated Statements of Cash Flows and (v) the Notes to Consolidated Financial Statements (submitted electronically herewith).</w:t>
      </w:r>
    </w:p>
    <w:p>
      <w:pPr>
        <w:spacing w:after="0" w:line="280"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(included as Exhibit 101).</w:t>
      </w:r>
    </w:p>
    <w:p>
      <w:pPr>
        <w:spacing w:after="0" w:line="387" w:lineRule="exact"/>
        <w:rPr>
          <w:sz w:val="20"/>
          <w:szCs w:val="20"/>
          <w:color w:val="auto"/>
        </w:rPr>
      </w:pPr>
    </w:p>
    <w:p>
      <w:pPr>
        <w:ind w:left="940" w:hanging="579"/>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940" w:hanging="579"/>
        <w:spacing w:after="0" w:line="277" w:lineRule="auto"/>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Pursuant to Item 601(b)(2) of Regulation S-K, the Company agrees to furnish supplementally a copy of any omitted exhibit or schedule to the SEC upon request.</w:t>
      </w:r>
    </w:p>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121"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660" w:type="dxa"/>
            <w:vAlign w:val="bottom"/>
            <w:gridSpan w:val="2"/>
          </w:tcPr>
          <w:p>
            <w:pPr>
              <w:ind w:left="2680"/>
              <w:spacing w:after="0"/>
              <w:rPr>
                <w:sz w:val="20"/>
                <w:szCs w:val="20"/>
                <w:color w:val="auto"/>
              </w:rPr>
            </w:pPr>
            <w:r>
              <w:rPr>
                <w:rFonts w:ascii="Arial" w:cs="Arial" w:eastAsia="Arial" w:hAnsi="Arial"/>
                <w:sz w:val="18"/>
                <w:szCs w:val="18"/>
                <w:b w:val="1"/>
                <w:bCs w:val="1"/>
                <w:color w:val="auto"/>
              </w:rPr>
              <w:t>MATADOR RESOURCES COMPANY</w:t>
            </w:r>
          </w:p>
        </w:tc>
      </w:tr>
      <w:tr>
        <w:trPr>
          <w:trHeight w:val="392"/>
        </w:trPr>
        <w:tc>
          <w:tcPr>
            <w:tcW w:w="3720" w:type="dxa"/>
            <w:vAlign w:val="bottom"/>
          </w:tcPr>
          <w:p>
            <w:pPr>
              <w:spacing w:after="0"/>
              <w:rPr>
                <w:sz w:val="20"/>
                <w:szCs w:val="20"/>
                <w:color w:val="auto"/>
              </w:rPr>
            </w:pPr>
            <w:r>
              <w:rPr>
                <w:rFonts w:ascii="Arial" w:cs="Arial" w:eastAsia="Arial" w:hAnsi="Arial"/>
                <w:sz w:val="18"/>
                <w:szCs w:val="18"/>
                <w:color w:val="auto"/>
              </w:rPr>
              <w:t>March 2, 2020</w:t>
            </w:r>
          </w:p>
        </w:tc>
        <w:tc>
          <w:tcPr>
            <w:tcW w:w="3320" w:type="dxa"/>
            <w:vAlign w:val="bottom"/>
          </w:tcPr>
          <w:p>
            <w:pPr>
              <w:ind w:left="2680"/>
              <w:spacing w:after="0"/>
              <w:rPr>
                <w:sz w:val="20"/>
                <w:szCs w:val="20"/>
                <w:color w:val="auto"/>
              </w:rPr>
            </w:pPr>
            <w:r>
              <w:rPr>
                <w:rFonts w:ascii="Arial" w:cs="Arial" w:eastAsia="Arial" w:hAnsi="Arial"/>
                <w:sz w:val="18"/>
                <w:szCs w:val="18"/>
                <w:color w:val="auto"/>
              </w:rPr>
              <w:t>By:</w:t>
            </w:r>
          </w:p>
        </w:tc>
        <w:tc>
          <w:tcPr>
            <w:tcW w:w="4340" w:type="dxa"/>
            <w:vAlign w:val="bottom"/>
          </w:tcPr>
          <w:p>
            <w:pPr>
              <w:ind w:left="40"/>
              <w:spacing w:after="0"/>
              <w:rPr>
                <w:sz w:val="20"/>
                <w:szCs w:val="20"/>
                <w:color w:val="auto"/>
              </w:rPr>
            </w:pPr>
            <w:r>
              <w:rPr>
                <w:rFonts w:ascii="Arial" w:cs="Arial" w:eastAsia="Arial" w:hAnsi="Arial"/>
                <w:sz w:val="18"/>
                <w:szCs w:val="18"/>
                <w:color w:val="auto"/>
              </w:rPr>
              <w:t>/s/ Joseph Wm. Foran</w:t>
            </w:r>
          </w:p>
        </w:tc>
      </w:tr>
      <w:tr>
        <w:trPr>
          <w:trHeight w:val="27"/>
        </w:trPr>
        <w:tc>
          <w:tcPr>
            <w:tcW w:w="3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Joseph Wm. Foran</w:t>
            </w:r>
          </w:p>
        </w:tc>
      </w:tr>
      <w:tr>
        <w:trPr>
          <w:trHeight w:val="270"/>
        </w:trPr>
        <w:tc>
          <w:tcPr>
            <w:tcW w:w="37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9"/>
              </w:rPr>
              <w:t>Title</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89"/>
              </w:rPr>
              <w:t>Date</w:t>
            </w: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Joseph Wm. Foran</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2"/>
              </w:rPr>
              <w:t>Chairman and Chief Executive Officer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Wm. Foran</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4"/>
              </w:rPr>
              <w:t>(Principal Executive Officer)</w:t>
            </w: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David E. Lancaster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2"/>
              </w:rPr>
              <w:t>Executive Vice President and Chief Financial Officer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David E. Lancaster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4"/>
              </w:rPr>
              <w:t>(Principal Financial Officer)</w:t>
            </w: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Robert T. Macalik</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2"/>
              </w:rPr>
              <w:t>Senior Vice President and Chief Accounting Officer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Robert T. Macalik</w:t>
            </w:r>
          </w:p>
        </w:tc>
        <w:tc>
          <w:tcPr>
            <w:tcW w:w="5520" w:type="dxa"/>
            <w:vAlign w:val="bottom"/>
          </w:tcPr>
          <w:p>
            <w:pPr>
              <w:jc w:val="center"/>
              <w:ind w:left="170"/>
              <w:spacing w:after="0"/>
              <w:rPr>
                <w:sz w:val="20"/>
                <w:szCs w:val="20"/>
                <w:color w:val="auto"/>
              </w:rPr>
            </w:pPr>
            <w:r>
              <w:rPr>
                <w:rFonts w:ascii="Arial" w:cs="Arial" w:eastAsia="Arial" w:hAnsi="Arial"/>
                <w:sz w:val="18"/>
                <w:szCs w:val="18"/>
                <w:color w:val="auto"/>
                <w:w w:val="95"/>
              </w:rPr>
              <w:t>(Principal Accounting Officer)</w:t>
            </w: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Reynald A. Baribault</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Reynald A. Baribault</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R. Gaines Baty</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R. Gaines Baty</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Craig T. Burkert</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Craig T. Burkert</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6"/>
              </w:rPr>
              <w:t>/s/ William M. Byerley</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7"/>
              </w:rPr>
              <w:t>William M. Byerley</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Matthew P. Clifton</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P. Clifton</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Monika U. Ehrman</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Monika U. Ehrman</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Julia P. Forrester Rogers</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7"/>
              </w:rPr>
              <w:t>Julia P. Forrester Rogers</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Timothy E. Parker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Timothy E. Parker</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David M. Posner</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David M. Posner</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92"/>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 Kenneth L. Stewart</w:t>
            </w:r>
          </w:p>
        </w:tc>
        <w:tc>
          <w:tcPr>
            <w:tcW w:w="5520" w:type="dxa"/>
            <w:vAlign w:val="bottom"/>
          </w:tcPr>
          <w:p>
            <w:pPr>
              <w:jc w:val="center"/>
              <w:ind w:left="150"/>
              <w:spacing w:after="0"/>
              <w:rPr>
                <w:sz w:val="20"/>
                <w:szCs w:val="20"/>
                <w:color w:val="auto"/>
              </w:rPr>
            </w:pPr>
            <w:r>
              <w:rPr>
                <w:rFonts w:ascii="Arial" w:cs="Arial" w:eastAsia="Arial" w:hAnsi="Arial"/>
                <w:sz w:val="18"/>
                <w:szCs w:val="18"/>
                <w:color w:val="auto"/>
                <w:w w:val="95"/>
              </w:rPr>
              <w:t>Director</w:t>
            </w:r>
          </w:p>
        </w:tc>
        <w:tc>
          <w:tcPr>
            <w:tcW w:w="1760" w:type="dxa"/>
            <w:vAlign w:val="bottom"/>
          </w:tcPr>
          <w:p>
            <w:pPr>
              <w:jc w:val="center"/>
              <w:ind w:left="610"/>
              <w:spacing w:after="0"/>
              <w:rPr>
                <w:sz w:val="20"/>
                <w:szCs w:val="20"/>
                <w:color w:val="auto"/>
              </w:rPr>
            </w:pPr>
            <w:r>
              <w:rPr>
                <w:rFonts w:ascii="Arial" w:cs="Arial" w:eastAsia="Arial" w:hAnsi="Arial"/>
                <w:sz w:val="18"/>
                <w:szCs w:val="18"/>
                <w:color w:val="auto"/>
                <w:w w:val="92"/>
              </w:rPr>
              <w:t>March 2, 2020</w:t>
            </w:r>
          </w:p>
        </w:tc>
      </w:tr>
      <w:tr>
        <w:trPr>
          <w:trHeight w:val="27"/>
        </w:trPr>
        <w:tc>
          <w:tcPr>
            <w:tcW w:w="3640" w:type="dxa"/>
            <w:vAlign w:val="bottom"/>
            <w:tcBorders>
              <w:bottom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Kenneth L. Stewart</w:t>
            </w:r>
          </w:p>
        </w:tc>
        <w:tc>
          <w:tcPr>
            <w:tcW w:w="55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75"/>
        </w:trPr>
        <w:tc>
          <w:tcPr>
            <w:tcW w:w="3640" w:type="dxa"/>
            <w:vAlign w:val="bottom"/>
          </w:tcPr>
          <w:p>
            <w:pPr>
              <w:spacing w:after="0"/>
              <w:rPr>
                <w:sz w:val="24"/>
                <w:szCs w:val="24"/>
                <w:color w:val="auto"/>
              </w:rPr>
            </w:pPr>
          </w:p>
        </w:tc>
        <w:tc>
          <w:tcPr>
            <w:tcW w:w="5520" w:type="dxa"/>
            <w:vAlign w:val="bottom"/>
          </w:tcPr>
          <w:p>
            <w:pPr>
              <w:jc w:val="right"/>
              <w:ind w:right="3270"/>
              <w:spacing w:after="0"/>
              <w:rPr>
                <w:sz w:val="20"/>
                <w:szCs w:val="20"/>
                <w:color w:val="auto"/>
              </w:rPr>
            </w:pPr>
            <w:r>
              <w:rPr>
                <w:rFonts w:ascii="Arial" w:cs="Arial" w:eastAsia="Arial" w:hAnsi="Arial"/>
                <w:sz w:val="18"/>
                <w:szCs w:val="18"/>
                <w:color w:val="auto"/>
              </w:rPr>
              <w:t>96</w:t>
            </w: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the meanings of some of the oil and natural gas industry terms used in this Annual Report.</w:t>
      </w:r>
    </w:p>
    <w:p>
      <w:pPr>
        <w:spacing w:after="0" w:line="113"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Batch drilling</w:t>
      </w:r>
      <w:r>
        <w:rPr>
          <w:rFonts w:ascii="Arial" w:cs="Arial" w:eastAsia="Arial" w:hAnsi="Arial"/>
          <w:sz w:val="18"/>
          <w:szCs w:val="18"/>
          <w:color w:val="auto"/>
        </w:rPr>
        <w:t>. The process by which multiple horizontal wells are drilled from a single pad. In batch drilling, the surface holes for each well are drilled</w:t>
      </w:r>
      <w:r>
        <w:rPr>
          <w:rFonts w:ascii="Arial" w:cs="Arial" w:eastAsia="Arial" w:hAnsi="Arial"/>
          <w:sz w:val="18"/>
          <w:szCs w:val="18"/>
          <w:b w:val="1"/>
          <w:bCs w:val="1"/>
          <w:color w:val="auto"/>
        </w:rPr>
        <w:t xml:space="preserve"> </w:t>
      </w:r>
      <w:r>
        <w:rPr>
          <w:rFonts w:ascii="Arial" w:cs="Arial" w:eastAsia="Arial" w:hAnsi="Arial"/>
          <w:sz w:val="18"/>
          <w:szCs w:val="18"/>
          <w:color w:val="auto"/>
        </w:rPr>
        <w:t>first and then the production holes, including the horizontal laterals for each well, are drilled.</w:t>
      </w:r>
    </w:p>
    <w:p>
      <w:pPr>
        <w:spacing w:after="0" w:line="54" w:lineRule="exact"/>
        <w:rPr>
          <w:sz w:val="20"/>
          <w:szCs w:val="20"/>
          <w:color w:val="auto"/>
        </w:rPr>
      </w:pPr>
    </w:p>
    <w:p>
      <w:pPr>
        <w:ind w:right="400" w:firstLine="432"/>
        <w:spacing w:after="0" w:line="282" w:lineRule="auto"/>
        <w:rPr>
          <w:sz w:val="20"/>
          <w:szCs w:val="20"/>
          <w:color w:val="auto"/>
        </w:rPr>
      </w:pPr>
      <w:r>
        <w:rPr>
          <w:rFonts w:ascii="Arial" w:cs="Arial" w:eastAsia="Arial" w:hAnsi="Arial"/>
          <w:sz w:val="18"/>
          <w:szCs w:val="18"/>
          <w:b w:val="1"/>
          <w:bCs w:val="1"/>
          <w:color w:val="auto"/>
        </w:rPr>
        <w:t>Bbl</w:t>
      </w:r>
      <w:r>
        <w:rPr>
          <w:rFonts w:ascii="Arial" w:cs="Arial" w:eastAsia="Arial" w:hAnsi="Arial"/>
          <w:sz w:val="18"/>
          <w:szCs w:val="18"/>
          <w:color w:val="auto"/>
        </w:rPr>
        <w:t>. One stock tank barrel, or 42 U.S. gallons liquid volume, used in this Annual Report in reference to crude oil, other liquid hydrocarbons or salt</w:t>
      </w:r>
      <w:r>
        <w:rPr>
          <w:rFonts w:ascii="Arial" w:cs="Arial" w:eastAsia="Arial" w:hAnsi="Arial"/>
          <w:sz w:val="18"/>
          <w:szCs w:val="18"/>
          <w:b w:val="1"/>
          <w:bCs w:val="1"/>
          <w:color w:val="auto"/>
        </w:rPr>
        <w:t xml:space="preserve"> </w:t>
      </w:r>
      <w:r>
        <w:rPr>
          <w:rFonts w:ascii="Arial" w:cs="Arial" w:eastAsia="Arial" w:hAnsi="Arial"/>
          <w:sz w:val="18"/>
          <w:szCs w:val="18"/>
          <w:color w:val="auto"/>
        </w:rPr>
        <w:t>water.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Bcf</w:t>
      </w:r>
      <w:r>
        <w:rPr>
          <w:rFonts w:ascii="Arial" w:cs="Arial" w:eastAsia="Arial" w:hAnsi="Arial"/>
          <w:sz w:val="18"/>
          <w:szCs w:val="18"/>
          <w:color w:val="auto"/>
        </w:rPr>
        <w:t>. One billion cubic feet of natural gas.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BOE</w:t>
      </w:r>
      <w:r>
        <w:rPr>
          <w:rFonts w:ascii="Arial" w:cs="Arial" w:eastAsia="Arial" w:hAnsi="Arial"/>
          <w:sz w:val="17"/>
          <w:szCs w:val="17"/>
          <w:color w:val="auto"/>
        </w:rPr>
        <w:t>. Barrels of oil equivalent, determined using the ratio of one Bbl of crude oil, condensate or natural gas liquids to six Mcf of natural gas.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BOE/d</w:t>
      </w:r>
      <w:r>
        <w:rPr>
          <w:rFonts w:ascii="Arial" w:cs="Arial" w:eastAsia="Arial" w:hAnsi="Arial"/>
          <w:sz w:val="18"/>
          <w:szCs w:val="18"/>
          <w:color w:val="auto"/>
        </w:rPr>
        <w:t>. BOE per day.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Btu or British thermal unit</w:t>
      </w:r>
      <w:r>
        <w:rPr>
          <w:rFonts w:ascii="Arial" w:cs="Arial" w:eastAsia="Arial" w:hAnsi="Arial"/>
          <w:sz w:val="18"/>
          <w:szCs w:val="18"/>
          <w:color w:val="auto"/>
        </w:rPr>
        <w:t>. The quantity of heat required to raise the temperature of one pound of water by one degree Fahrenheit.</w:t>
      </w:r>
    </w:p>
    <w:p>
      <w:pPr>
        <w:spacing w:after="0" w:line="117" w:lineRule="exact"/>
        <w:rPr>
          <w:sz w:val="20"/>
          <w:szCs w:val="20"/>
          <w:color w:val="auto"/>
        </w:rPr>
      </w:pPr>
    </w:p>
    <w:p>
      <w:pPr>
        <w:ind w:right="280" w:firstLine="432"/>
        <w:spacing w:after="0" w:line="313" w:lineRule="auto"/>
        <w:rPr>
          <w:sz w:val="20"/>
          <w:szCs w:val="20"/>
          <w:color w:val="auto"/>
        </w:rPr>
      </w:pPr>
      <w:r>
        <w:rPr>
          <w:rFonts w:ascii="Arial" w:cs="Arial" w:eastAsia="Arial" w:hAnsi="Arial"/>
          <w:sz w:val="17"/>
          <w:szCs w:val="17"/>
          <w:b w:val="1"/>
          <w:bCs w:val="1"/>
          <w:color w:val="auto"/>
        </w:rPr>
        <w:t>Completion</w:t>
      </w:r>
      <w:r>
        <w:rPr>
          <w:rFonts w:ascii="Arial" w:cs="Arial" w:eastAsia="Arial" w:hAnsi="Arial"/>
          <w:sz w:val="17"/>
          <w:szCs w:val="17"/>
          <w:color w:val="auto"/>
        </w:rPr>
        <w:t>. The operations required to establish production of oil or natural gas from a wellbore, usually involving perforations, stimulation and/or</w:t>
      </w:r>
      <w:r>
        <w:rPr>
          <w:rFonts w:ascii="Arial" w:cs="Arial" w:eastAsia="Arial" w:hAnsi="Arial"/>
          <w:sz w:val="17"/>
          <w:szCs w:val="17"/>
          <w:b w:val="1"/>
          <w:bCs w:val="1"/>
          <w:color w:val="auto"/>
        </w:rPr>
        <w:t xml:space="preserve"> </w:t>
      </w:r>
      <w:r>
        <w:rPr>
          <w:rFonts w:ascii="Arial" w:cs="Arial" w:eastAsia="Arial" w:hAnsi="Arial"/>
          <w:sz w:val="17"/>
          <w:szCs w:val="17"/>
          <w:color w:val="auto"/>
        </w:rPr>
        <w:t>installation of permanent equipment in the well, or in the case of a dry hole, the reporting of abandonment to the appropriate agency.</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Condensate</w:t>
      </w:r>
      <w:r>
        <w:rPr>
          <w:rFonts w:ascii="Arial" w:cs="Arial" w:eastAsia="Arial" w:hAnsi="Arial"/>
          <w:sz w:val="18"/>
          <w:szCs w:val="18"/>
          <w:color w:val="auto"/>
        </w:rPr>
        <w:t>. Liquid hydrocarbons associated with the production of a primarily natural gas reservoir.</w:t>
      </w:r>
    </w:p>
    <w:p>
      <w:pPr>
        <w:spacing w:after="0" w:line="117"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Conventional reservoirs or resources</w:t>
      </w:r>
      <w:r>
        <w:rPr>
          <w:rFonts w:ascii="Arial" w:cs="Arial" w:eastAsia="Arial" w:hAnsi="Arial"/>
          <w:sz w:val="18"/>
          <w:szCs w:val="18"/>
          <w:color w:val="auto"/>
        </w:rPr>
        <w:t>. Natural gas or oil that is produced by a well drilled into a geologic formation in which the reservoir and fluid</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characteristics permit the natural gas or oil to readily flow to the wellbore.</w:t>
      </w:r>
    </w:p>
    <w:p>
      <w:pPr>
        <w:spacing w:after="0" w:line="54" w:lineRule="exact"/>
        <w:rPr>
          <w:sz w:val="20"/>
          <w:szCs w:val="20"/>
          <w:color w:val="auto"/>
        </w:rPr>
      </w:pPr>
    </w:p>
    <w:p>
      <w:pPr>
        <w:ind w:right="240" w:firstLine="432"/>
        <w:spacing w:after="0" w:line="261" w:lineRule="auto"/>
        <w:rPr>
          <w:sz w:val="20"/>
          <w:szCs w:val="20"/>
          <w:color w:val="auto"/>
        </w:rPr>
      </w:pPr>
      <w:r>
        <w:rPr>
          <w:rFonts w:ascii="Arial" w:cs="Arial" w:eastAsia="Arial" w:hAnsi="Arial"/>
          <w:sz w:val="18"/>
          <w:szCs w:val="18"/>
          <w:b w:val="1"/>
          <w:bCs w:val="1"/>
          <w:color w:val="auto"/>
        </w:rPr>
        <w:t>Coring</w:t>
      </w:r>
      <w:r>
        <w:rPr>
          <w:rFonts w:ascii="Arial" w:cs="Arial" w:eastAsia="Arial" w:hAnsi="Arial"/>
          <w:sz w:val="18"/>
          <w:szCs w:val="18"/>
          <w:color w:val="auto"/>
        </w:rPr>
        <w:t>. The act of taking a core. A core is a solid column of rock, usually from two to four inches in diameter, taken as a sample of an underground</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18"/>
          <w:szCs w:val="18"/>
          <w:color w:val="auto"/>
        </w:rPr>
        <w:t>. The number of acres that are allocated or assignable to productive wells.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Development well</w:t>
      </w:r>
      <w:r>
        <w:rPr>
          <w:rFonts w:ascii="Arial" w:cs="Arial" w:eastAsia="Arial" w:hAnsi="Arial"/>
          <w:sz w:val="18"/>
          <w:szCs w:val="18"/>
          <w:color w:val="auto"/>
        </w:rPr>
        <w:t>. A well drilled into a proved oil or natural gas reservoir to the depth of a stratigraphic horizon known to be productive.</w:t>
      </w:r>
    </w:p>
    <w:p>
      <w:pPr>
        <w:spacing w:after="0" w:line="117" w:lineRule="exact"/>
        <w:rPr>
          <w:sz w:val="20"/>
          <w:szCs w:val="20"/>
          <w:color w:val="auto"/>
        </w:rPr>
      </w:pPr>
    </w:p>
    <w:p>
      <w:pPr>
        <w:ind w:right="740" w:firstLine="432"/>
        <w:spacing w:after="0" w:line="282" w:lineRule="auto"/>
        <w:rPr>
          <w:sz w:val="20"/>
          <w:szCs w:val="20"/>
          <w:color w:val="auto"/>
        </w:rPr>
      </w:pPr>
      <w:r>
        <w:rPr>
          <w:rFonts w:ascii="Arial" w:cs="Arial" w:eastAsia="Arial" w:hAnsi="Arial"/>
          <w:sz w:val="18"/>
          <w:szCs w:val="18"/>
          <w:b w:val="1"/>
          <w:bCs w:val="1"/>
          <w:color w:val="auto"/>
        </w:rPr>
        <w:t>Differential</w:t>
      </w:r>
      <w:r>
        <w:rPr>
          <w:rFonts w:ascii="Arial" w:cs="Arial" w:eastAsia="Arial" w:hAnsi="Arial"/>
          <w:sz w:val="18"/>
          <w:szCs w:val="18"/>
          <w:color w:val="auto"/>
        </w:rPr>
        <w:t>. The difference between a particular oil or natural gas price and the applicable benchmark price, such as the NYMEX West Texas</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Intermediate oil price or the NYMEX Henry Hub natural gas price.</w:t>
      </w:r>
    </w:p>
    <w:p>
      <w:pPr>
        <w:spacing w:after="0" w:line="54" w:lineRule="exact"/>
        <w:rPr>
          <w:sz w:val="20"/>
          <w:szCs w:val="20"/>
          <w:color w:val="auto"/>
        </w:rPr>
      </w:pPr>
    </w:p>
    <w:p>
      <w:pPr>
        <w:ind w:right="200" w:firstLine="432"/>
        <w:spacing w:after="0" w:line="282" w:lineRule="auto"/>
        <w:rPr>
          <w:sz w:val="20"/>
          <w:szCs w:val="20"/>
          <w:color w:val="auto"/>
        </w:rPr>
      </w:pPr>
      <w:r>
        <w:rPr>
          <w:rFonts w:ascii="Arial" w:cs="Arial" w:eastAsia="Arial" w:hAnsi="Arial"/>
          <w:sz w:val="18"/>
          <w:szCs w:val="18"/>
          <w:b w:val="1"/>
          <w:bCs w:val="1"/>
          <w:color w:val="auto"/>
        </w:rPr>
        <w:t>Dry hole</w:t>
      </w:r>
      <w:r>
        <w:rPr>
          <w:rFonts w:ascii="Arial" w:cs="Arial" w:eastAsia="Arial" w:hAnsi="Arial"/>
          <w:sz w:val="18"/>
          <w:szCs w:val="18"/>
          <w:color w:val="auto"/>
        </w:rPr>
        <w:t>. A well found to be incapable of producing hydrocarbons in sufficient quantities such that proceeds from the sale of such production exceed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production-related expenses and taxes.</w:t>
      </w:r>
    </w:p>
    <w:p>
      <w:pPr>
        <w:spacing w:after="0" w:line="54" w:lineRule="exact"/>
        <w:rPr>
          <w:sz w:val="20"/>
          <w:szCs w:val="20"/>
          <w:color w:val="auto"/>
        </w:rPr>
      </w:pPr>
    </w:p>
    <w:p>
      <w:pPr>
        <w:ind w:right="300" w:firstLine="432"/>
        <w:spacing w:after="0" w:line="282" w:lineRule="auto"/>
        <w:rPr>
          <w:sz w:val="20"/>
          <w:szCs w:val="20"/>
          <w:color w:val="auto"/>
        </w:rPr>
      </w:pPr>
      <w:r>
        <w:rPr>
          <w:rFonts w:ascii="Arial" w:cs="Arial" w:eastAsia="Arial" w:hAnsi="Arial"/>
          <w:sz w:val="18"/>
          <w:szCs w:val="18"/>
          <w:b w:val="1"/>
          <w:bCs w:val="1"/>
          <w:color w:val="auto"/>
        </w:rPr>
        <w:t>Exploratory well</w:t>
      </w:r>
      <w:r>
        <w:rPr>
          <w:rFonts w:ascii="Arial" w:cs="Arial" w:eastAsia="Arial" w:hAnsi="Arial"/>
          <w:sz w:val="18"/>
          <w:szCs w:val="18"/>
          <w:color w:val="auto"/>
        </w:rPr>
        <w:t>. A well drilled to find and produce oil or natural gas reserves not classified as proved, to find a new reservoir in a field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found to be productive of oil or natural gas in another reservoir or to extend a known reservoir.</w:t>
      </w:r>
    </w:p>
    <w:p>
      <w:pPr>
        <w:spacing w:after="0" w:line="54"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Farmin or farmout</w:t>
      </w:r>
      <w:r>
        <w:rPr>
          <w:rFonts w:ascii="Arial" w:cs="Arial" w:eastAsia="Arial" w:hAnsi="Arial"/>
          <w:sz w:val="18"/>
          <w:szCs w:val="18"/>
          <w:color w:val="auto"/>
        </w:rPr>
        <w:t>. An agreement under which the owner of a working interest in an oil or natural gas lease assigns the working interest or a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72" w:lineRule="exact"/>
        <w:rPr>
          <w:sz w:val="20"/>
          <w:szCs w:val="20"/>
          <w:color w:val="auto"/>
        </w:rPr>
      </w:pPr>
    </w:p>
    <w:p>
      <w:pPr>
        <w:ind w:right="60" w:firstLine="432"/>
        <w:spacing w:after="0" w:line="282" w:lineRule="auto"/>
        <w:rPr>
          <w:sz w:val="20"/>
          <w:szCs w:val="20"/>
          <w:color w:val="auto"/>
        </w:rPr>
      </w:pPr>
      <w:r>
        <w:rPr>
          <w:rFonts w:ascii="Arial" w:cs="Arial" w:eastAsia="Arial" w:hAnsi="Arial"/>
          <w:sz w:val="18"/>
          <w:szCs w:val="18"/>
          <w:b w:val="1"/>
          <w:b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 feature and/or</w:t>
      </w:r>
      <w:r>
        <w:rPr>
          <w:rFonts w:ascii="Arial" w:cs="Arial" w:eastAsia="Arial" w:hAnsi="Arial"/>
          <w:sz w:val="18"/>
          <w:szCs w:val="18"/>
          <w:b w:val="1"/>
          <w:bCs w:val="1"/>
          <w:color w:val="auto"/>
        </w:rPr>
        <w:t xml:space="preserve"> </w:t>
      </w:r>
      <w:r>
        <w:rPr>
          <w:rFonts w:ascii="Arial" w:cs="Arial" w:eastAsia="Arial" w:hAnsi="Arial"/>
          <w:sz w:val="18"/>
          <w:szCs w:val="18"/>
          <w:color w:val="auto"/>
        </w:rPr>
        <w:t>stratigraphic condition.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Gross acres or gross wells</w:t>
      </w:r>
      <w:r>
        <w:rPr>
          <w:rFonts w:ascii="Arial" w:cs="Arial" w:eastAsia="Arial" w:hAnsi="Arial"/>
          <w:sz w:val="18"/>
          <w:szCs w:val="18"/>
          <w:color w:val="auto"/>
        </w:rPr>
        <w:t>. The total acres or wells in which a working interest is owned.</w:t>
      </w:r>
    </w:p>
    <w:p>
      <w:pPr>
        <w:spacing w:after="0" w:line="117" w:lineRule="exact"/>
        <w:rPr>
          <w:sz w:val="20"/>
          <w:szCs w:val="20"/>
          <w:color w:val="auto"/>
        </w:rPr>
      </w:pPr>
    </w:p>
    <w:p>
      <w:pPr>
        <w:ind w:right="540" w:firstLine="432"/>
        <w:spacing w:after="0" w:line="282" w:lineRule="auto"/>
        <w:rPr>
          <w:sz w:val="20"/>
          <w:szCs w:val="20"/>
          <w:color w:val="auto"/>
        </w:rPr>
      </w:pPr>
      <w:r>
        <w:rPr>
          <w:rFonts w:ascii="Arial" w:cs="Arial" w:eastAsia="Arial" w:hAnsi="Arial"/>
          <w:sz w:val="18"/>
          <w:szCs w:val="18"/>
          <w:b w:val="1"/>
          <w:bCs w:val="1"/>
          <w:color w:val="auto"/>
        </w:rPr>
        <w:t>Held by production</w:t>
      </w:r>
      <w:r>
        <w:rPr>
          <w:rFonts w:ascii="Arial" w:cs="Arial" w:eastAsia="Arial" w:hAnsi="Arial"/>
          <w:sz w:val="18"/>
          <w:szCs w:val="18"/>
          <w:color w:val="auto"/>
        </w:rPr>
        <w:t>. An oil and natural gas property under lease in which the lease continues to be in force after the primary term of the lease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as a result of production from the property.</w:t>
      </w:r>
    </w:p>
    <w:p>
      <w:pPr>
        <w:spacing w:after="0" w:line="54" w:lineRule="exact"/>
        <w:rPr>
          <w:sz w:val="20"/>
          <w:szCs w:val="20"/>
          <w:color w:val="auto"/>
        </w:rPr>
      </w:pPr>
    </w:p>
    <w:p>
      <w:pPr>
        <w:ind w:right="60" w:firstLine="432"/>
        <w:spacing w:after="0" w:line="314" w:lineRule="auto"/>
        <w:rPr>
          <w:sz w:val="20"/>
          <w:szCs w:val="20"/>
          <w:color w:val="auto"/>
        </w:rPr>
      </w:pPr>
      <w:r>
        <w:rPr>
          <w:rFonts w:ascii="Arial" w:cs="Arial" w:eastAsia="Arial" w:hAnsi="Arial"/>
          <w:sz w:val="16"/>
          <w:szCs w:val="16"/>
          <w:b w:val="1"/>
          <w:bCs w:val="1"/>
          <w:color w:val="auto"/>
        </w:rPr>
        <w:t>Horizontal drilling or well</w:t>
      </w:r>
      <w:r>
        <w:rPr>
          <w:rFonts w:ascii="Arial" w:cs="Arial" w:eastAsia="Arial" w:hAnsi="Arial"/>
          <w:sz w:val="16"/>
          <w:szCs w:val="16"/>
          <w:color w:val="auto"/>
        </w:rPr>
        <w:t>. A drilling operation in which a portion of the well is drilled horizontally within a productive or potentially productive</w:t>
      </w:r>
      <w:r>
        <w:rPr>
          <w:rFonts w:ascii="Arial" w:cs="Arial" w:eastAsia="Arial" w:hAnsi="Arial"/>
          <w:sz w:val="16"/>
          <w:szCs w:val="16"/>
          <w:b w:val="1"/>
          <w:bCs w:val="1"/>
          <w:color w:val="auto"/>
        </w:rPr>
        <w:t xml:space="preserve"> </w:t>
      </w:r>
      <w:r>
        <w:rPr>
          <w:rFonts w:ascii="Arial" w:cs="Arial" w:eastAsia="Arial" w:hAnsi="Arial"/>
          <w:sz w:val="16"/>
          <w:szCs w:val="16"/>
          <w:color w:val="auto"/>
        </w:rPr>
        <w:t>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firstLine="432"/>
        <w:spacing w:after="0" w:line="261" w:lineRule="auto"/>
        <w:rPr>
          <w:sz w:val="20"/>
          <w:szCs w:val="20"/>
          <w:color w:val="auto"/>
        </w:rPr>
      </w:pPr>
      <w:r>
        <w:rPr>
          <w:rFonts w:ascii="Arial" w:cs="Arial" w:eastAsia="Arial" w:hAnsi="Arial"/>
          <w:sz w:val="18"/>
          <w:szCs w:val="18"/>
          <w:b w:val="1"/>
          <w:bCs w:val="1"/>
          <w:color w:val="auto"/>
        </w:rPr>
        <w:t>Hydraulic fracturing</w:t>
      </w:r>
      <w:r>
        <w:rPr>
          <w:rFonts w:ascii="Arial" w:cs="Arial" w:eastAsia="Arial" w:hAnsi="Arial"/>
          <w:sz w:val="18"/>
          <w:szCs w:val="18"/>
          <w:color w:val="auto"/>
        </w:rPr>
        <w:t>. The technique of improving a well’s production or injection rates by pumping a mixture of fluids into the 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Lateral length</w:t>
      </w:r>
      <w:r>
        <w:rPr>
          <w:rFonts w:ascii="Arial" w:cs="Arial" w:eastAsia="Arial" w:hAnsi="Arial"/>
          <w:sz w:val="18"/>
          <w:szCs w:val="18"/>
          <w:color w:val="auto"/>
        </w:rPr>
        <w:t>. Length of the completed portion of a horizontal well.</w:t>
      </w:r>
    </w:p>
    <w:p>
      <w:pPr>
        <w:spacing w:after="0" w:line="117" w:lineRule="exact"/>
        <w:rPr>
          <w:sz w:val="20"/>
          <w:szCs w:val="20"/>
          <w:color w:val="auto"/>
        </w:rPr>
      </w:pPr>
    </w:p>
    <w:p>
      <w:pPr>
        <w:ind w:right="140" w:firstLine="432"/>
        <w:spacing w:after="0" w:line="282" w:lineRule="auto"/>
        <w:rPr>
          <w:sz w:val="20"/>
          <w:szCs w:val="20"/>
          <w:color w:val="auto"/>
        </w:rPr>
      </w:pPr>
      <w:r>
        <w:rPr>
          <w:rFonts w:ascii="Arial" w:cs="Arial" w:eastAsia="Arial" w:hAnsi="Arial"/>
          <w:sz w:val="18"/>
          <w:szCs w:val="18"/>
          <w:b w:val="1"/>
          <w:bCs w:val="1"/>
          <w:color w:val="auto"/>
        </w:rPr>
        <w:t>Liquids</w:t>
      </w:r>
      <w:r>
        <w:rPr>
          <w:rFonts w:ascii="Arial" w:cs="Arial" w:eastAsia="Arial" w:hAnsi="Arial"/>
          <w:sz w:val="18"/>
          <w:szCs w:val="18"/>
          <w:color w:val="auto"/>
        </w:rPr>
        <w:t>. Liquids, or natural gas liquids, are marketable liquid products including ethane, propane, butane, pentane and natural gasoline resulting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further processing of liquefiable hydrocarbons separated from raw natural gas by a natural gas processing facility.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MBbl</w:t>
      </w:r>
      <w:r>
        <w:rPr>
          <w:rFonts w:ascii="Arial" w:cs="Arial" w:eastAsia="Arial" w:hAnsi="Arial"/>
          <w:sz w:val="18"/>
          <w:szCs w:val="18"/>
          <w:color w:val="auto"/>
        </w:rPr>
        <w:t>. One thousand barrels of crude oil, other liquid hydrocarbons or salt water.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MBOE</w:t>
      </w:r>
      <w:r>
        <w:rPr>
          <w:rFonts w:ascii="Arial" w:cs="Arial" w:eastAsia="Arial" w:hAnsi="Arial"/>
          <w:sz w:val="18"/>
          <w:szCs w:val="18"/>
          <w:color w:val="auto"/>
        </w:rPr>
        <w:t>. One thousand BOE.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Mcf</w:t>
      </w:r>
      <w:r>
        <w:rPr>
          <w:rFonts w:ascii="Arial" w:cs="Arial" w:eastAsia="Arial" w:hAnsi="Arial"/>
          <w:sz w:val="18"/>
          <w:szCs w:val="18"/>
          <w:color w:val="auto"/>
        </w:rPr>
        <w:t>. One thousand cubic feet of natural gas.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MMBtu</w:t>
      </w:r>
      <w:r>
        <w:rPr>
          <w:rFonts w:ascii="Arial" w:cs="Arial" w:eastAsia="Arial" w:hAnsi="Arial"/>
          <w:sz w:val="18"/>
          <w:szCs w:val="18"/>
          <w:color w:val="auto"/>
        </w:rPr>
        <w:t>. One million British thermal units.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MMcf</w:t>
      </w:r>
      <w:r>
        <w:rPr>
          <w:rFonts w:ascii="Arial" w:cs="Arial" w:eastAsia="Arial" w:hAnsi="Arial"/>
          <w:sz w:val="18"/>
          <w:szCs w:val="18"/>
          <w:color w:val="auto"/>
        </w:rPr>
        <w:t>. One million cubic feet of natural gas.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NGL</w:t>
      </w:r>
      <w:r>
        <w:rPr>
          <w:rFonts w:ascii="Arial" w:cs="Arial" w:eastAsia="Arial" w:hAnsi="Arial"/>
          <w:sz w:val="18"/>
          <w:szCs w:val="18"/>
          <w:color w:val="auto"/>
        </w:rPr>
        <w:t>. Natural gas liquids.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acres or net wells</w:t>
      </w:r>
      <w:r>
        <w:rPr>
          <w:rFonts w:ascii="Arial" w:cs="Arial" w:eastAsia="Arial" w:hAnsi="Arial"/>
          <w:sz w:val="18"/>
          <w:szCs w:val="18"/>
          <w:color w:val="auto"/>
        </w:rPr>
        <w:t>. The sum of the fractional working interest owned in gross acres or wells.</w:t>
      </w:r>
    </w:p>
    <w:p>
      <w:pPr>
        <w:spacing w:after="0" w:line="117" w:lineRule="exact"/>
        <w:rPr>
          <w:sz w:val="20"/>
          <w:szCs w:val="20"/>
          <w:color w:val="auto"/>
        </w:rPr>
      </w:pPr>
    </w:p>
    <w:p>
      <w:pPr>
        <w:ind w:right="20" w:firstLine="432"/>
        <w:spacing w:after="0" w:line="282" w:lineRule="auto"/>
        <w:rPr>
          <w:sz w:val="20"/>
          <w:szCs w:val="20"/>
          <w:color w:val="auto"/>
        </w:rPr>
      </w:pPr>
      <w:r>
        <w:rPr>
          <w:rFonts w:ascii="Arial" w:cs="Arial" w:eastAsia="Arial" w:hAnsi="Arial"/>
          <w:sz w:val="18"/>
          <w:szCs w:val="18"/>
          <w:b w:val="1"/>
          <w:bCs w:val="1"/>
          <w:color w:val="auto"/>
        </w:rPr>
        <w:t>Net revenue interest</w:t>
      </w:r>
      <w:r>
        <w:rPr>
          <w:rFonts w:ascii="Arial" w:cs="Arial" w:eastAsia="Arial" w:hAnsi="Arial"/>
          <w:sz w:val="18"/>
          <w:szCs w:val="18"/>
          <w:color w:val="auto"/>
        </w:rPr>
        <w:t>. The interest that defines the percentage of revenue that an owner of a well receives from the sale of oil, natural gas and/or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gas liquids that are produced from the well.</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NYMEX</w:t>
      </w:r>
      <w:r>
        <w:rPr>
          <w:rFonts w:ascii="Arial" w:cs="Arial" w:eastAsia="Arial" w:hAnsi="Arial"/>
          <w:sz w:val="18"/>
          <w:szCs w:val="18"/>
          <w:color w:val="auto"/>
        </w:rPr>
        <w:t>. New York Mercantile Exchange.</w:t>
      </w:r>
    </w:p>
    <w:p>
      <w:pPr>
        <w:spacing w:after="0" w:line="117" w:lineRule="exact"/>
        <w:rPr>
          <w:sz w:val="20"/>
          <w:szCs w:val="20"/>
          <w:color w:val="auto"/>
        </w:rPr>
      </w:pPr>
    </w:p>
    <w:p>
      <w:pPr>
        <w:ind w:right="160" w:firstLine="432"/>
        <w:spacing w:after="0" w:line="314" w:lineRule="auto"/>
        <w:rPr>
          <w:sz w:val="20"/>
          <w:szCs w:val="20"/>
          <w:color w:val="auto"/>
        </w:rPr>
      </w:pPr>
      <w:r>
        <w:rPr>
          <w:rFonts w:ascii="Arial" w:cs="Arial" w:eastAsia="Arial" w:hAnsi="Arial"/>
          <w:sz w:val="16"/>
          <w:szCs w:val="16"/>
          <w:b w:val="1"/>
          <w:bCs w:val="1"/>
          <w:color w:val="auto"/>
        </w:rPr>
        <w:t>Overriding royalty interest</w:t>
      </w:r>
      <w:r>
        <w:rPr>
          <w:rFonts w:ascii="Arial" w:cs="Arial" w:eastAsia="Arial" w:hAnsi="Arial"/>
          <w:sz w:val="16"/>
          <w:szCs w:val="16"/>
          <w:color w:val="auto"/>
        </w:rPr>
        <w:t>. A fractional interest in the gross production of oil and natural gas under a lease, in addition to the usual royalties paid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Pad</w:t>
      </w:r>
      <w:r>
        <w:rPr>
          <w:rFonts w:ascii="Arial" w:cs="Arial" w:eastAsia="Arial" w:hAnsi="Arial"/>
          <w:sz w:val="18"/>
          <w:szCs w:val="18"/>
          <w:color w:val="auto"/>
        </w:rPr>
        <w:t>. The surface constructed to accommodate the drilling, completion and production operations of an oil or natural gas well.</w:t>
      </w:r>
    </w:p>
    <w:p>
      <w:pPr>
        <w:spacing w:after="0" w:line="117"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Pad drilling</w:t>
      </w:r>
      <w:r>
        <w:rPr>
          <w:rFonts w:ascii="Arial" w:cs="Arial" w:eastAsia="Arial" w:hAnsi="Arial"/>
          <w:sz w:val="18"/>
          <w:szCs w:val="18"/>
          <w:color w:val="auto"/>
        </w:rPr>
        <w:t>. The process by which multiple horizontal wells are drilled from a single pad. In pad drilling, each well on the pad is drilled to total depth</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next well is initiated.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Permeability</w:t>
      </w:r>
      <w:r>
        <w:rPr>
          <w:rFonts w:ascii="Arial" w:cs="Arial" w:eastAsia="Arial" w:hAnsi="Arial"/>
          <w:sz w:val="18"/>
          <w:szCs w:val="18"/>
          <w:color w:val="auto"/>
        </w:rPr>
        <w:t>. A reference to the ability of oil and/or natural gas to flow through a reservoir.</w:t>
      </w:r>
    </w:p>
    <w:p>
      <w:pPr>
        <w:spacing w:after="0" w:line="117" w:lineRule="exact"/>
        <w:rPr>
          <w:sz w:val="20"/>
          <w:szCs w:val="20"/>
          <w:color w:val="auto"/>
        </w:rPr>
      </w:pPr>
    </w:p>
    <w:p>
      <w:pPr>
        <w:ind w:right="320" w:firstLine="432"/>
        <w:spacing w:after="0" w:line="266" w:lineRule="auto"/>
        <w:rPr>
          <w:sz w:val="20"/>
          <w:szCs w:val="20"/>
          <w:color w:val="auto"/>
        </w:rPr>
      </w:pPr>
      <w:r>
        <w:rPr>
          <w:rFonts w:ascii="Arial" w:cs="Arial" w:eastAsia="Arial" w:hAnsi="Arial"/>
          <w:sz w:val="18"/>
          <w:szCs w:val="18"/>
          <w:b w:val="1"/>
          <w:bCs w:val="1"/>
          <w:color w:val="auto"/>
        </w:rPr>
        <w:t>Petrophysical analysis</w:t>
      </w:r>
      <w:r>
        <w:rPr>
          <w:rFonts w:ascii="Arial" w:cs="Arial" w:eastAsia="Arial" w:hAnsi="Arial"/>
          <w:sz w:val="18"/>
          <w:szCs w:val="18"/>
          <w:color w:val="auto"/>
        </w:rPr>
        <w:t>. The interpretation of well log measurements, obtained from a string of electronic tools inserted into the borehole,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core measurements, in which rock samples are retrieved from the subsurface, then combining these measurements with other relevant geological and geophysical information to describe the reservoir rock properties.</w:t>
      </w:r>
    </w:p>
    <w:p>
      <w:pPr>
        <w:spacing w:after="0" w:line="68" w:lineRule="exact"/>
        <w:rPr>
          <w:sz w:val="20"/>
          <w:szCs w:val="20"/>
          <w:color w:val="auto"/>
        </w:rPr>
      </w:pPr>
    </w:p>
    <w:p>
      <w:pPr>
        <w:ind w:right="240" w:firstLine="432"/>
        <w:spacing w:after="0" w:line="282" w:lineRule="auto"/>
        <w:rPr>
          <w:sz w:val="20"/>
          <w:szCs w:val="20"/>
          <w:color w:val="auto"/>
        </w:rPr>
      </w:pPr>
      <w:r>
        <w:rPr>
          <w:rFonts w:ascii="Arial" w:cs="Arial" w:eastAsia="Arial" w:hAnsi="Arial"/>
          <w:sz w:val="18"/>
          <w:szCs w:val="18"/>
          <w:b w:val="1"/>
          <w:bCs w:val="1"/>
          <w:color w:val="auto"/>
        </w:rPr>
        <w:t>Play</w:t>
      </w:r>
      <w:r>
        <w:rPr>
          <w:rFonts w:ascii="Arial" w:cs="Arial" w:eastAsia="Arial" w:hAnsi="Arial"/>
          <w:sz w:val="18"/>
          <w:szCs w:val="18"/>
          <w:color w:val="auto"/>
        </w:rPr>
        <w:t>. A set of known or postulated oil and/or natural gas accumulations sharing similar geologic, geographic and temporal properties, such as source</w:t>
      </w:r>
      <w:r>
        <w:rPr>
          <w:rFonts w:ascii="Arial" w:cs="Arial" w:eastAsia="Arial" w:hAnsi="Arial"/>
          <w:sz w:val="18"/>
          <w:szCs w:val="18"/>
          <w:b w:val="1"/>
          <w:bCs w:val="1"/>
          <w:color w:val="auto"/>
        </w:rPr>
        <w:t xml:space="preserve"> </w:t>
      </w:r>
      <w:r>
        <w:rPr>
          <w:rFonts w:ascii="Arial" w:cs="Arial" w:eastAsia="Arial" w:hAnsi="Arial"/>
          <w:sz w:val="18"/>
          <w:szCs w:val="18"/>
          <w:color w:val="auto"/>
        </w:rPr>
        <w:t>rock, migration pathways, timing, trapping mechanism and hydrocarbon type.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Possible reserves</w:t>
      </w:r>
      <w:r>
        <w:rPr>
          <w:rFonts w:ascii="Arial" w:cs="Arial" w:eastAsia="Arial" w:hAnsi="Arial"/>
          <w:sz w:val="18"/>
          <w:szCs w:val="18"/>
          <w:color w:val="auto"/>
        </w:rPr>
        <w:t>. Additional reserves that are less certain to be recognized than probable reserves.</w:t>
      </w:r>
    </w:p>
    <w:p>
      <w:pPr>
        <w:spacing w:after="0" w:line="117" w:lineRule="exact"/>
        <w:rPr>
          <w:sz w:val="20"/>
          <w:szCs w:val="20"/>
          <w:color w:val="auto"/>
        </w:rPr>
      </w:pPr>
    </w:p>
    <w:p>
      <w:pPr>
        <w:ind w:right="60" w:firstLine="432"/>
        <w:spacing w:after="0" w:line="282" w:lineRule="auto"/>
        <w:rPr>
          <w:sz w:val="20"/>
          <w:szCs w:val="20"/>
          <w:color w:val="auto"/>
        </w:rPr>
      </w:pPr>
      <w:r>
        <w:rPr>
          <w:rFonts w:ascii="Arial" w:cs="Arial" w:eastAsia="Arial" w:hAnsi="Arial"/>
          <w:sz w:val="18"/>
          <w:szCs w:val="18"/>
          <w:b w:val="1"/>
          <w:bCs w:val="1"/>
          <w:color w:val="auto"/>
        </w:rPr>
        <w:t>Probable reserves</w:t>
      </w:r>
      <w:r>
        <w:rPr>
          <w:rFonts w:ascii="Arial" w:cs="Arial" w:eastAsia="Arial" w:hAnsi="Arial"/>
          <w:sz w:val="18"/>
          <w:szCs w:val="18"/>
          <w:color w:val="auto"/>
        </w:rPr>
        <w:t>. Additional reserves that are less certain to be recognized than proved reserves but which, in sum with proved reserves, are as likely</w:t>
      </w:r>
      <w:r>
        <w:rPr>
          <w:rFonts w:ascii="Arial" w:cs="Arial" w:eastAsia="Arial" w:hAnsi="Arial"/>
          <w:sz w:val="18"/>
          <w:szCs w:val="18"/>
          <w:b w:val="1"/>
          <w:bCs w:val="1"/>
          <w:color w:val="auto"/>
        </w:rPr>
        <w:t xml:space="preserve"> </w:t>
      </w:r>
      <w:r>
        <w:rPr>
          <w:rFonts w:ascii="Arial" w:cs="Arial" w:eastAsia="Arial" w:hAnsi="Arial"/>
          <w:sz w:val="18"/>
          <w:szCs w:val="18"/>
          <w:color w:val="auto"/>
        </w:rPr>
        <w:t>as not to be recovered.</w:t>
      </w:r>
    </w:p>
    <w:p>
      <w:pPr>
        <w:spacing w:after="0" w:line="54" w:lineRule="exact"/>
        <w:rPr>
          <w:sz w:val="20"/>
          <w:szCs w:val="20"/>
          <w:color w:val="auto"/>
        </w:rPr>
      </w:pPr>
    </w:p>
    <w:p>
      <w:pPr>
        <w:ind w:right="120" w:firstLine="432"/>
        <w:spacing w:after="0" w:line="282" w:lineRule="auto"/>
        <w:rPr>
          <w:sz w:val="20"/>
          <w:szCs w:val="20"/>
          <w:color w:val="auto"/>
        </w:rPr>
      </w:pPr>
      <w:r>
        <w:rPr>
          <w:rFonts w:ascii="Arial" w:cs="Arial" w:eastAsia="Arial" w:hAnsi="Arial"/>
          <w:sz w:val="18"/>
          <w:szCs w:val="18"/>
          <w:b w:val="1"/>
          <w:bCs w:val="1"/>
          <w:color w:val="auto"/>
        </w:rPr>
        <w:t>Producing well, or productive well</w:t>
      </w:r>
      <w:r>
        <w:rPr>
          <w:rFonts w:ascii="Arial" w:cs="Arial" w:eastAsia="Arial" w:hAnsi="Arial"/>
          <w:sz w:val="18"/>
          <w:szCs w:val="18"/>
          <w:color w:val="auto"/>
        </w:rPr>
        <w:t>. A well that is found to be capable of producing hydrocarbons in sufficient quantities such that proceeds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well’s production exceed production-related expenses and taxes.</w:t>
      </w:r>
    </w:p>
    <w:p>
      <w:pPr>
        <w:spacing w:after="0" w:line="54" w:lineRule="exact"/>
        <w:rPr>
          <w:sz w:val="20"/>
          <w:szCs w:val="20"/>
          <w:color w:val="auto"/>
        </w:rPr>
      </w:pPr>
    </w:p>
    <w:p>
      <w:pPr>
        <w:ind w:right="260" w:firstLine="432"/>
        <w:spacing w:after="0" w:line="282" w:lineRule="auto"/>
        <w:rPr>
          <w:sz w:val="20"/>
          <w:szCs w:val="20"/>
          <w:color w:val="auto"/>
        </w:rPr>
      </w:pPr>
      <w:r>
        <w:rPr>
          <w:rFonts w:ascii="Arial" w:cs="Arial" w:eastAsia="Arial" w:hAnsi="Arial"/>
          <w:sz w:val="18"/>
          <w:szCs w:val="18"/>
          <w:b w:val="1"/>
          <w:bCs w:val="1"/>
          <w:color w:val="auto"/>
        </w:rPr>
        <w:t>Properties</w:t>
      </w:r>
      <w:r>
        <w:rPr>
          <w:rFonts w:ascii="Arial" w:cs="Arial" w:eastAsia="Arial" w:hAnsi="Arial"/>
          <w:sz w:val="18"/>
          <w:szCs w:val="18"/>
          <w:color w:val="auto"/>
        </w:rPr>
        <w:t>. Natural gas and oil wells, production and related equipment and facilities and oil, natural gas, or other mineral fee, leasehold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w:t>
      </w:r>
    </w:p>
    <w:p>
      <w:pPr>
        <w:spacing w:after="0" w:line="54" w:lineRule="exact"/>
        <w:rPr>
          <w:sz w:val="20"/>
          <w:szCs w:val="20"/>
          <w:color w:val="auto"/>
        </w:rPr>
      </w:pPr>
    </w:p>
    <w:p>
      <w:pPr>
        <w:ind w:right="560" w:firstLine="432"/>
        <w:spacing w:after="0" w:line="282" w:lineRule="auto"/>
        <w:rPr>
          <w:sz w:val="20"/>
          <w:szCs w:val="20"/>
          <w:color w:val="auto"/>
        </w:rPr>
      </w:pPr>
      <w:r>
        <w:rPr>
          <w:rFonts w:ascii="Arial" w:cs="Arial" w:eastAsia="Arial" w:hAnsi="Arial"/>
          <w:sz w:val="18"/>
          <w:szCs w:val="18"/>
          <w:b w:val="1"/>
          <w:bCs w:val="1"/>
          <w:color w:val="auto"/>
        </w:rPr>
        <w:t>Prospect</w:t>
      </w:r>
      <w:r>
        <w:rPr>
          <w:rFonts w:ascii="Arial" w:cs="Arial" w:eastAsia="Arial" w:hAnsi="Arial"/>
          <w:sz w:val="18"/>
          <w:szCs w:val="18"/>
          <w:color w:val="auto"/>
        </w:rPr>
        <w:t>. A specific geographic area which, based on supporting geological, geophysical or other data and preliminary economic analysis using</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anticipated prices and costs, is considered to have potential for the discovery of commercial hydrocarbons.</w:t>
      </w:r>
    </w:p>
    <w:p>
      <w:pPr>
        <w:spacing w:after="0" w:line="54" w:lineRule="exact"/>
        <w:rPr>
          <w:sz w:val="20"/>
          <w:szCs w:val="20"/>
          <w:color w:val="auto"/>
        </w:rPr>
      </w:pPr>
    </w:p>
    <w:p>
      <w:pPr>
        <w:ind w:right="100" w:firstLine="432"/>
        <w:spacing w:after="0" w:line="266" w:lineRule="auto"/>
        <w:rPr>
          <w:sz w:val="20"/>
          <w:szCs w:val="20"/>
          <w:color w:val="auto"/>
        </w:rPr>
      </w:pPr>
      <w:r>
        <w:rPr>
          <w:rFonts w:ascii="Arial" w:cs="Arial" w:eastAsia="Arial" w:hAnsi="Arial"/>
          <w:sz w:val="18"/>
          <w:szCs w:val="18"/>
          <w:b w:val="1"/>
          <w:bCs w:val="1"/>
          <w:color w:val="auto"/>
        </w:rPr>
        <w:t>Proved developed non-producing</w:t>
      </w:r>
      <w:r>
        <w:rPr>
          <w:rFonts w:ascii="Arial" w:cs="Arial" w:eastAsia="Arial" w:hAnsi="Arial"/>
          <w:sz w:val="18"/>
          <w:szCs w:val="18"/>
          <w:color w:val="auto"/>
        </w:rPr>
        <w:t>. Hydrocarbons in a potentially producing horizon penetrated by a wellbore, the production of which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1"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480" w:firstLine="432"/>
        <w:spacing w:after="0" w:line="282" w:lineRule="auto"/>
        <w:rPr>
          <w:sz w:val="20"/>
          <w:szCs w:val="20"/>
          <w:color w:val="auto"/>
        </w:rPr>
      </w:pPr>
      <w:r>
        <w:rPr>
          <w:rFonts w:ascii="Arial" w:cs="Arial" w:eastAsia="Arial" w:hAnsi="Arial"/>
          <w:sz w:val="18"/>
          <w:szCs w:val="18"/>
          <w:b w:val="1"/>
          <w:bCs w:val="1"/>
          <w:color w:val="auto"/>
        </w:rPr>
        <w:t>Proved developed reserves</w:t>
      </w:r>
      <w:r>
        <w:rPr>
          <w:rFonts w:ascii="Arial" w:cs="Arial" w:eastAsia="Arial" w:hAnsi="Arial"/>
          <w:sz w:val="18"/>
          <w:szCs w:val="18"/>
          <w:color w:val="auto"/>
        </w:rPr>
        <w:t>. Proved reserves that can be expected to be recovered through existing wells and facilities and by existing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methods.</w:t>
      </w:r>
    </w:p>
    <w:p>
      <w:pPr>
        <w:spacing w:after="0" w:line="54"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b w:val="1"/>
          <w:bCs w:val="1"/>
          <w:color w:val="auto"/>
        </w:rPr>
        <w:t>Proved reserves</w:t>
      </w:r>
      <w:r>
        <w:rPr>
          <w:rFonts w:ascii="Arial" w:cs="Arial" w:eastAsia="Arial" w:hAnsi="Arial"/>
          <w:sz w:val="18"/>
          <w:szCs w:val="18"/>
          <w:color w:val="auto"/>
        </w:rPr>
        <w:t>. Reserves of oil and natural gas that have been proved to a high degree of certainty by analysis of the producing history of a reservoir</w:t>
      </w:r>
      <w:r>
        <w:rPr>
          <w:rFonts w:ascii="Arial" w:cs="Arial" w:eastAsia="Arial" w:hAnsi="Arial"/>
          <w:sz w:val="18"/>
          <w:szCs w:val="18"/>
          <w:b w:val="1"/>
          <w:bCs w:val="1"/>
          <w:color w:val="auto"/>
        </w:rPr>
        <w:t xml:space="preserve"> </w:t>
      </w:r>
      <w:r>
        <w:rPr>
          <w:rFonts w:ascii="Arial" w:cs="Arial" w:eastAsia="Arial" w:hAnsi="Arial"/>
          <w:sz w:val="18"/>
          <w:szCs w:val="18"/>
          <w:color w:val="auto"/>
        </w:rPr>
        <w:t>and/or by volumetric analysis of adequate geological and engineering data.</w:t>
      </w:r>
    </w:p>
    <w:p>
      <w:pPr>
        <w:spacing w:after="0" w:line="54"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Proved undeveloped reserves</w:t>
      </w:r>
      <w:r>
        <w:rPr>
          <w:rFonts w:ascii="Arial" w:cs="Arial" w:eastAsia="Arial" w:hAnsi="Arial"/>
          <w:sz w:val="18"/>
          <w:szCs w:val="18"/>
          <w:color w:val="auto"/>
        </w:rPr>
        <w:t>. Proved reserves that are expected to be recovered from new wells on undrilled acreage or from existing wells where a</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relatively major expenditure is required for recompletion.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Recompletion</w:t>
      </w:r>
      <w:r>
        <w:rPr>
          <w:rFonts w:ascii="Arial" w:cs="Arial" w:eastAsia="Arial" w:hAnsi="Arial"/>
          <w:sz w:val="17"/>
          <w:szCs w:val="17"/>
          <w:color w:val="auto"/>
        </w:rPr>
        <w:t>. Completing in the same wellbore to reach a new reservoir after production from the original reservoir has been abandoned.</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Repeatability</w:t>
      </w:r>
      <w:r>
        <w:rPr>
          <w:rFonts w:ascii="Arial" w:cs="Arial" w:eastAsia="Arial" w:hAnsi="Arial"/>
          <w:sz w:val="18"/>
          <w:szCs w:val="18"/>
          <w:color w:val="auto"/>
        </w:rPr>
        <w:t>. The potential ability to drill multiple wells within a prospect or trend.</w:t>
      </w:r>
    </w:p>
    <w:p>
      <w:pPr>
        <w:spacing w:after="0" w:line="117" w:lineRule="exact"/>
        <w:rPr>
          <w:sz w:val="20"/>
          <w:szCs w:val="20"/>
          <w:color w:val="auto"/>
        </w:rPr>
      </w:pPr>
    </w:p>
    <w:p>
      <w:pPr>
        <w:ind w:right="140" w:firstLine="432"/>
        <w:spacing w:after="0" w:line="282" w:lineRule="auto"/>
        <w:rPr>
          <w:sz w:val="20"/>
          <w:szCs w:val="20"/>
          <w:color w:val="auto"/>
        </w:rPr>
      </w:pPr>
      <w:r>
        <w:rPr>
          <w:rFonts w:ascii="Arial" w:cs="Arial" w:eastAsia="Arial" w:hAnsi="Arial"/>
          <w:sz w:val="18"/>
          <w:szCs w:val="18"/>
          <w:b w:val="1"/>
          <w:bCs w:val="1"/>
          <w:color w:val="auto"/>
        </w:rPr>
        <w:t>Reservoir</w:t>
      </w:r>
      <w:r>
        <w:rPr>
          <w:rFonts w:ascii="Arial" w:cs="Arial" w:eastAsia="Arial" w:hAnsi="Arial"/>
          <w:sz w:val="18"/>
          <w:szCs w:val="18"/>
          <w:color w:val="auto"/>
        </w:rPr>
        <w:t>. A porous and permeable underground formation containing a natural accumulation of producible oil and/or natural gas that is confined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impermeable rock or water barriers and is individual and separate from other reservoirs.</w:t>
      </w:r>
    </w:p>
    <w:p>
      <w:pPr>
        <w:spacing w:after="0" w:line="54" w:lineRule="exact"/>
        <w:rPr>
          <w:sz w:val="20"/>
          <w:szCs w:val="20"/>
          <w:color w:val="auto"/>
        </w:rPr>
      </w:pPr>
    </w:p>
    <w:p>
      <w:pPr>
        <w:ind w:right="60" w:firstLine="432"/>
        <w:spacing w:after="0" w:line="303" w:lineRule="auto"/>
        <w:rPr>
          <w:sz w:val="20"/>
          <w:szCs w:val="20"/>
          <w:color w:val="auto"/>
        </w:rPr>
      </w:pPr>
      <w:r>
        <w:rPr>
          <w:rFonts w:ascii="Arial" w:cs="Arial" w:eastAsia="Arial" w:hAnsi="Arial"/>
          <w:sz w:val="16"/>
          <w:szCs w:val="16"/>
          <w:b w:val="1"/>
          <w:bCs w:val="1"/>
          <w:color w:val="auto"/>
        </w:rPr>
        <w:t>Royalty interest</w:t>
      </w:r>
      <w:r>
        <w:rPr>
          <w:rFonts w:ascii="Arial" w:cs="Arial" w:eastAsia="Arial" w:hAnsi="Arial"/>
          <w:sz w:val="16"/>
          <w:szCs w:val="16"/>
          <w:color w:val="auto"/>
        </w:rPr>
        <w:t>. An interest in an oil and natural gas lease that gives the owner of the interest the right to receive a portion of the production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43" w:lineRule="exact"/>
        <w:rPr>
          <w:sz w:val="20"/>
          <w:szCs w:val="20"/>
          <w:color w:val="auto"/>
        </w:rPr>
      </w:pPr>
    </w:p>
    <w:p>
      <w:pPr>
        <w:ind w:right="280" w:firstLine="432"/>
        <w:spacing w:after="0" w:line="282" w:lineRule="auto"/>
        <w:rPr>
          <w:sz w:val="20"/>
          <w:szCs w:val="20"/>
          <w:color w:val="auto"/>
        </w:rPr>
      </w:pPr>
      <w:r>
        <w:rPr>
          <w:rFonts w:ascii="Arial" w:cs="Arial" w:eastAsia="Arial" w:hAnsi="Arial"/>
          <w:sz w:val="18"/>
          <w:szCs w:val="18"/>
          <w:b w:val="1"/>
          <w:bCs w:val="1"/>
          <w:color w:val="auto"/>
        </w:rPr>
        <w:t>2-D seismic</w:t>
      </w:r>
      <w:r>
        <w:rPr>
          <w:rFonts w:ascii="Arial" w:cs="Arial" w:eastAsia="Arial" w:hAnsi="Arial"/>
          <w:sz w:val="18"/>
          <w:szCs w:val="18"/>
          <w:color w:val="auto"/>
        </w:rPr>
        <w:t>. The method by which a cross-section of the earth’s subsurface is created through the interpretation of reflection seismic data collected</w:t>
      </w:r>
      <w:r>
        <w:rPr>
          <w:rFonts w:ascii="Arial" w:cs="Arial" w:eastAsia="Arial" w:hAnsi="Arial"/>
          <w:sz w:val="18"/>
          <w:szCs w:val="18"/>
          <w:b w:val="1"/>
          <w:bCs w:val="1"/>
          <w:color w:val="auto"/>
        </w:rPr>
        <w:t xml:space="preserve"> </w:t>
      </w:r>
      <w:r>
        <w:rPr>
          <w:rFonts w:ascii="Arial" w:cs="Arial" w:eastAsia="Arial" w:hAnsi="Arial"/>
          <w:sz w:val="18"/>
          <w:szCs w:val="18"/>
          <w:color w:val="auto"/>
        </w:rPr>
        <w:t>along a single source profile.</w:t>
      </w:r>
    </w:p>
    <w:p>
      <w:pPr>
        <w:spacing w:after="0" w:line="54" w:lineRule="exact"/>
        <w:rPr>
          <w:sz w:val="20"/>
          <w:szCs w:val="20"/>
          <w:color w:val="auto"/>
        </w:rPr>
      </w:pPr>
    </w:p>
    <w:p>
      <w:pPr>
        <w:ind w:right="140" w:firstLine="432"/>
        <w:spacing w:after="0" w:line="266" w:lineRule="auto"/>
        <w:rPr>
          <w:sz w:val="20"/>
          <w:szCs w:val="20"/>
          <w:color w:val="auto"/>
        </w:rPr>
      </w:pPr>
      <w:r>
        <w:rPr>
          <w:rFonts w:ascii="Arial" w:cs="Arial" w:eastAsia="Arial" w:hAnsi="Arial"/>
          <w:sz w:val="18"/>
          <w:szCs w:val="18"/>
          <w:b w:val="1"/>
          <w:bCs w:val="1"/>
          <w:color w:val="auto"/>
        </w:rPr>
        <w:t>3-D seismic</w:t>
      </w:r>
      <w:r>
        <w:rPr>
          <w:rFonts w:ascii="Arial" w:cs="Arial" w:eastAsia="Arial" w:hAnsi="Arial"/>
          <w:sz w:val="18"/>
          <w:szCs w:val="18"/>
          <w:color w:val="auto"/>
        </w:rPr>
        <w:t>. The method by which a three-dimensional image of the earth’s subsurface is created through the interpretation of reflection seismic data</w:t>
      </w:r>
      <w:r>
        <w:rPr>
          <w:rFonts w:ascii="Arial" w:cs="Arial" w:eastAsia="Arial" w:hAnsi="Arial"/>
          <w:sz w:val="18"/>
          <w:szCs w:val="18"/>
          <w:b w:val="1"/>
          <w:bCs w:val="1"/>
          <w:color w:val="auto"/>
        </w:rPr>
        <w:t xml:space="preserve"> </w:t>
      </w:r>
      <w:r>
        <w:rPr>
          <w:rFonts w:ascii="Arial" w:cs="Arial" w:eastAsia="Arial" w:hAnsi="Arial"/>
          <w:sz w:val="18"/>
          <w:szCs w:val="18"/>
          <w:color w:val="auto"/>
        </w:rPr>
        <w:t>collected over a surface grid. 3-D seismic surveys allow for a more detailed understanding of the subsurface than do 2-D seismic surveys and contribute significantly to field appraisal, exploitation and production.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Spud</w:t>
      </w:r>
      <w:r>
        <w:rPr>
          <w:rFonts w:ascii="Arial" w:cs="Arial" w:eastAsia="Arial" w:hAnsi="Arial"/>
          <w:sz w:val="18"/>
          <w:szCs w:val="18"/>
          <w:color w:val="auto"/>
        </w:rPr>
        <w:t>. The act of beginning to drill an oil or natural gas well.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Throughput</w:t>
      </w:r>
      <w:r>
        <w:rPr>
          <w:rFonts w:ascii="Arial" w:cs="Arial" w:eastAsia="Arial" w:hAnsi="Arial"/>
          <w:sz w:val="18"/>
          <w:szCs w:val="18"/>
          <w:color w:val="auto"/>
        </w:rPr>
        <w:t>. The volume of product transported or passing through a pipeline, plant or other facility.</w:t>
      </w:r>
    </w:p>
    <w:p>
      <w:pPr>
        <w:spacing w:after="0" w:line="117" w:lineRule="exact"/>
        <w:rPr>
          <w:sz w:val="20"/>
          <w:szCs w:val="20"/>
          <w:color w:val="auto"/>
        </w:rPr>
      </w:pPr>
    </w:p>
    <w:p>
      <w:pPr>
        <w:ind w:right="60" w:firstLine="432"/>
        <w:spacing w:after="0" w:line="266" w:lineRule="auto"/>
        <w:rPr>
          <w:sz w:val="20"/>
          <w:szCs w:val="20"/>
          <w:color w:val="auto"/>
        </w:rPr>
      </w:pPr>
      <w:r>
        <w:rPr>
          <w:rFonts w:ascii="Arial" w:cs="Arial" w:eastAsia="Arial" w:hAnsi="Arial"/>
          <w:sz w:val="18"/>
          <w:szCs w:val="18"/>
          <w:b w:val="1"/>
          <w:bCs w:val="1"/>
          <w:color w:val="auto"/>
        </w:rPr>
        <w:t>Trend</w:t>
      </w:r>
      <w:r>
        <w:rPr>
          <w:rFonts w:ascii="Arial" w:cs="Arial" w:eastAsia="Arial" w:hAnsi="Arial"/>
          <w:sz w:val="18"/>
          <w:szCs w:val="18"/>
          <w:color w:val="auto"/>
        </w:rPr>
        <w:t>. A region of oil and/or natural gas production, the geographic limits of which have not been fully defined, having geological characteristics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ascertained through supporting geological, geophysical or other data to contain the potential for oil and/or natural gas reserves in a particular formation or series of formations.</w:t>
      </w:r>
    </w:p>
    <w:p>
      <w:pPr>
        <w:spacing w:after="0" w:line="68" w:lineRule="exact"/>
        <w:rPr>
          <w:sz w:val="20"/>
          <w:szCs w:val="20"/>
          <w:color w:val="auto"/>
        </w:rPr>
      </w:pPr>
    </w:p>
    <w:p>
      <w:pPr>
        <w:ind w:right="100" w:firstLine="432"/>
        <w:spacing w:after="0" w:line="266" w:lineRule="auto"/>
        <w:rPr>
          <w:sz w:val="20"/>
          <w:szCs w:val="20"/>
          <w:color w:val="auto"/>
        </w:rPr>
      </w:pPr>
      <w:r>
        <w:rPr>
          <w:rFonts w:ascii="Arial" w:cs="Arial" w:eastAsia="Arial" w:hAnsi="Arial"/>
          <w:sz w:val="18"/>
          <w:szCs w:val="18"/>
          <w:b w:val="1"/>
          <w:bCs w:val="1"/>
          <w:color w:val="auto"/>
        </w:rPr>
        <w:t>Unconventional resource play</w:t>
      </w:r>
      <w:r>
        <w:rPr>
          <w:rFonts w:ascii="Arial" w:cs="Arial" w:eastAsia="Arial" w:hAnsi="Arial"/>
          <w:sz w:val="18"/>
          <w:szCs w:val="18"/>
          <w:color w:val="auto"/>
        </w:rPr>
        <w:t>. A set of known or postulated oil and or natural gas resources or reserves warranting further exploration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extracted from (i) low-permeability sandstone and shale formations and (ii) coalbed methane. These plays require the application of advanced technology to extract the oil and natural gas resources.</w:t>
      </w:r>
    </w:p>
    <w:p>
      <w:pPr>
        <w:spacing w:after="0" w:line="68" w:lineRule="exact"/>
        <w:rPr>
          <w:sz w:val="20"/>
          <w:szCs w:val="20"/>
          <w:color w:val="auto"/>
        </w:rPr>
      </w:pPr>
    </w:p>
    <w:p>
      <w:pPr>
        <w:jc w:val="both"/>
        <w:ind w:right="220" w:firstLine="432"/>
        <w:spacing w:after="0" w:line="266" w:lineRule="auto"/>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18"/>
          <w:szCs w:val="18"/>
          <w:color w:val="auto"/>
        </w:rPr>
        <w:t>. Lease acreage on which wells have not been drilled or completed to a point that would permit the production of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of oil and natural gas, regardless of whether such acreage contains proved reserves. Undeveloped acreage is usually considered to be all acreage that is not allocated or assignable to productive wells.</w:t>
      </w:r>
    </w:p>
    <w:p>
      <w:pPr>
        <w:spacing w:after="0" w:line="68"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Unproved and unevaluated properties</w:t>
      </w:r>
      <w:r>
        <w:rPr>
          <w:rFonts w:ascii="Arial" w:cs="Arial" w:eastAsia="Arial" w:hAnsi="Arial"/>
          <w:sz w:val="18"/>
          <w:szCs w:val="18"/>
          <w:color w:val="auto"/>
        </w:rPr>
        <w:t>. Properties where no drilling or other actions have been undertaken that permit such properties to be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proved and to which no proved reserves have been assigned.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Vertical well</w:t>
      </w:r>
      <w:r>
        <w:rPr>
          <w:rFonts w:ascii="Arial" w:cs="Arial" w:eastAsia="Arial" w:hAnsi="Arial"/>
          <w:sz w:val="18"/>
          <w:szCs w:val="18"/>
          <w:color w:val="auto"/>
        </w:rPr>
        <w:t>. A hole drilled vertically into the earth from which oil, natural gas or water flows or is pumped.</w:t>
      </w:r>
    </w:p>
    <w:p>
      <w:pPr>
        <w:spacing w:after="0" w:line="117" w:lineRule="exact"/>
        <w:rPr>
          <w:sz w:val="20"/>
          <w:szCs w:val="20"/>
          <w:color w:val="auto"/>
        </w:rPr>
      </w:pPr>
    </w:p>
    <w:p>
      <w:pPr>
        <w:ind w:right="120" w:firstLine="432"/>
        <w:spacing w:after="0" w:line="282" w:lineRule="auto"/>
        <w:rPr>
          <w:sz w:val="20"/>
          <w:szCs w:val="20"/>
          <w:color w:val="auto"/>
        </w:rPr>
      </w:pPr>
      <w:r>
        <w:rPr>
          <w:rFonts w:ascii="Arial" w:cs="Arial" w:eastAsia="Arial" w:hAnsi="Arial"/>
          <w:sz w:val="18"/>
          <w:szCs w:val="18"/>
          <w:b w:val="1"/>
          <w:bCs w:val="1"/>
          <w:color w:val="auto"/>
        </w:rPr>
        <w:t>Visualization</w:t>
      </w:r>
      <w:r>
        <w:rPr>
          <w:rFonts w:ascii="Arial" w:cs="Arial" w:eastAsia="Arial" w:hAnsi="Arial"/>
          <w:sz w:val="18"/>
          <w:szCs w:val="18"/>
          <w:color w:val="auto"/>
        </w:rPr>
        <w:t>. An exploration technique in which the size and shape of subsurface features are mapped and analyzed based upon information derived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well logs, seismic data and other well information.</w:t>
      </w:r>
    </w:p>
    <w:p>
      <w:pPr>
        <w:spacing w:after="0" w:line="54" w:lineRule="exact"/>
        <w:rPr>
          <w:sz w:val="20"/>
          <w:szCs w:val="20"/>
          <w:color w:val="auto"/>
        </w:rPr>
      </w:pPr>
    </w:p>
    <w:p>
      <w:pPr>
        <w:ind w:right="580" w:firstLine="432"/>
        <w:spacing w:after="0" w:line="313" w:lineRule="auto"/>
        <w:rPr>
          <w:sz w:val="20"/>
          <w:szCs w:val="20"/>
          <w:color w:val="auto"/>
        </w:rPr>
      </w:pPr>
      <w:r>
        <w:rPr>
          <w:rFonts w:ascii="Arial" w:cs="Arial" w:eastAsia="Arial" w:hAnsi="Arial"/>
          <w:sz w:val="17"/>
          <w:szCs w:val="17"/>
          <w:b w:val="1"/>
          <w:bCs w:val="1"/>
          <w:color w:val="auto"/>
        </w:rPr>
        <w:t>Volumetric reserve analysis</w:t>
      </w:r>
      <w:r>
        <w:rPr>
          <w:rFonts w:ascii="Arial" w:cs="Arial" w:eastAsia="Arial" w:hAnsi="Arial"/>
          <w:sz w:val="17"/>
          <w:szCs w:val="17"/>
          <w:color w:val="auto"/>
        </w:rPr>
        <w:t>. A technique used to estimate the amount of recoverable oil and natural gas. It involves calculating the volume of</w:t>
      </w:r>
      <w:r>
        <w:rPr>
          <w:rFonts w:ascii="Arial" w:cs="Arial" w:eastAsia="Arial" w:hAnsi="Arial"/>
          <w:sz w:val="17"/>
          <w:szCs w:val="17"/>
          <w:b w:val="1"/>
          <w:bCs w:val="1"/>
          <w:color w:val="auto"/>
        </w:rPr>
        <w:t xml:space="preserve"> </w:t>
      </w:r>
      <w:r>
        <w:rPr>
          <w:rFonts w:ascii="Arial" w:cs="Arial" w:eastAsia="Arial" w:hAnsi="Arial"/>
          <w:sz w:val="17"/>
          <w:szCs w:val="17"/>
          <w:color w:val="auto"/>
        </w:rPr>
        <w:t>reservoir rock and adjusting that volume for rock porosity, hydrocarbon saturation, formation volume factor and recovery factor.</w:t>
      </w:r>
    </w:p>
    <w:p>
      <w:pPr>
        <w:spacing w:after="0" w:line="30"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b w:val="1"/>
          <w:bCs w:val="1"/>
          <w:color w:val="auto"/>
        </w:rPr>
        <w:t>Walking rig</w:t>
      </w:r>
      <w:r>
        <w:rPr>
          <w:rFonts w:ascii="Arial" w:cs="Arial" w:eastAsia="Arial" w:hAnsi="Arial"/>
          <w:sz w:val="18"/>
          <w:szCs w:val="18"/>
          <w:color w:val="auto"/>
        </w:rPr>
        <w:t>. A drilling rig that is capable of moving from one drilling location to another a short distance away using a series of hydraulic “feet” built</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substructure of the rig.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Wellbore</w:t>
      </w:r>
      <w:r>
        <w:rPr>
          <w:rFonts w:ascii="Arial" w:cs="Arial" w:eastAsia="Arial" w:hAnsi="Arial"/>
          <w:sz w:val="18"/>
          <w:szCs w:val="18"/>
          <w:color w:val="auto"/>
        </w:rPr>
        <w:t>. The hole made by a well.</w:t>
      </w:r>
    </w:p>
    <w:p>
      <w:pPr>
        <w:spacing w:after="0" w:line="117"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Working interest</w:t>
      </w:r>
      <w:r>
        <w:rPr>
          <w:rFonts w:ascii="Arial" w:cs="Arial" w:eastAsia="Arial" w:hAnsi="Arial"/>
          <w:sz w:val="18"/>
          <w:szCs w:val="18"/>
          <w:color w:val="auto"/>
        </w:rPr>
        <w:t>. The operating interest that gives the owner the right to drill, produce and conduct operating activities on the property and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of production.</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121"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Matador Resources Company and Subsidiaries</w:t>
      </w:r>
    </w:p>
    <w:p>
      <w:pPr>
        <w:spacing w:after="0" w:line="16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CONSOLIDATED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2019, 2018 and 2017</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Index</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04">
              <w:r>
                <w:rPr>
                  <w:rFonts w:ascii="Arial" w:cs="Arial" w:eastAsia="Arial" w:hAnsi="Arial"/>
                  <w:sz w:val="18"/>
                  <w:szCs w:val="18"/>
                  <w:color w:val="0000EE"/>
                  <w:w w:val="91"/>
                </w:rPr>
                <w:t>Report of Independent Registered Public Accounting Firm</w:t>
              </w:r>
            </w:hyperlink>
          </w:p>
        </w:tc>
        <w:tc>
          <w:tcPr>
            <w:tcW w:w="680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F-2</w:t>
              </w:r>
            </w:hyperlink>
          </w:p>
        </w:tc>
      </w:tr>
      <w:tr>
        <w:trPr>
          <w:trHeight w:val="615"/>
        </w:trPr>
        <w:tc>
          <w:tcPr>
            <w:tcW w:w="11020" w:type="dxa"/>
            <w:vAlign w:val="bottom"/>
            <w:gridSpan w:val="9"/>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54"/>
        </w:trPr>
        <w:tc>
          <w:tcPr>
            <w:tcW w:w="48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Consolidated Balance Sheets as of December 31, 2019 and 2018</w:t>
              </w:r>
            </w:hyperlink>
          </w:p>
        </w:tc>
        <w:tc>
          <w:tcPr>
            <w:tcW w:w="340" w:type="dxa"/>
            <w:vAlign w:val="bottom"/>
            <w:gridSpan w:val="2"/>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F-4</w:t>
              </w:r>
            </w:hyperlink>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68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Consolidated Statements of Operations for the Years Ended December 31, 2019, 2018 and 2017</w:t>
              </w:r>
            </w:hyperlink>
          </w:p>
        </w:tc>
        <w:tc>
          <w:tcPr>
            <w:tcW w:w="36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108">
              <w:r>
                <w:rPr>
                  <w:rFonts w:ascii="Arial" w:cs="Arial" w:eastAsia="Arial" w:hAnsi="Arial"/>
                  <w:sz w:val="18"/>
                  <w:szCs w:val="18"/>
                  <w:color w:val="0000EE"/>
                  <w:w w:val="88"/>
                </w:rPr>
                <w:t>F-5</w:t>
              </w:r>
            </w:hyperlink>
          </w:p>
        </w:tc>
      </w:tr>
      <w:tr>
        <w:trPr>
          <w:trHeight w:val="250"/>
        </w:trPr>
        <w:tc>
          <w:tcPr>
            <w:tcW w:w="480" w:type="dxa"/>
            <w:vAlign w:val="bottom"/>
          </w:tcPr>
          <w:p>
            <w:pPr>
              <w:spacing w:after="0"/>
              <w:rPr>
                <w:sz w:val="21"/>
                <w:szCs w:val="21"/>
                <w:color w:val="auto"/>
              </w:rPr>
            </w:pPr>
          </w:p>
        </w:tc>
        <w:tc>
          <w:tcPr>
            <w:tcW w:w="10540" w:type="dxa"/>
            <w:vAlign w:val="bottom"/>
            <w:gridSpan w:val="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Changes in Shareholders’ Equity for the Years Ended December 31, 2019, 2018 and 2017</w:t>
              </w:r>
            </w:hyperlink>
          </w:p>
        </w:tc>
        <w:tc>
          <w:tcPr>
            <w:tcW w:w="340" w:type="dxa"/>
            <w:vAlign w:val="bottom"/>
            <w:gridSpan w:val="2"/>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F-6</w:t>
              </w:r>
            </w:hyperlink>
          </w:p>
        </w:tc>
      </w:tr>
      <w:tr>
        <w:trPr>
          <w:trHeight w:val="250"/>
        </w:trPr>
        <w:tc>
          <w:tcPr>
            <w:tcW w:w="480" w:type="dxa"/>
            <w:vAlign w:val="bottom"/>
          </w:tcPr>
          <w:p>
            <w:pPr>
              <w:spacing w:after="0"/>
              <w:rPr>
                <w:sz w:val="21"/>
                <w:szCs w:val="21"/>
                <w:color w:val="auto"/>
              </w:rPr>
            </w:pPr>
          </w:p>
        </w:tc>
        <w:tc>
          <w:tcPr>
            <w:tcW w:w="8460" w:type="dxa"/>
            <w:vAlign w:val="bottom"/>
            <w:tcBorders>
              <w:top w:val="single" w:sz="8" w:color="0000EE"/>
            </w:tcBorders>
            <w:gridSpan w:val="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Cash Flows for the Years Ended December 31, 2019, 2018 and 2017</w:t>
              </w:r>
            </w:hyperlink>
          </w:p>
        </w:tc>
        <w:tc>
          <w:tcPr>
            <w:tcW w:w="2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F-7</w:t>
              </w:r>
            </w:hyperlink>
          </w:p>
        </w:tc>
      </w:tr>
      <w:tr>
        <w:trPr>
          <w:trHeight w:val="20"/>
        </w:trPr>
        <w:tc>
          <w:tcPr>
            <w:tcW w:w="4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574"/>
        </w:trPr>
        <w:tc>
          <w:tcPr>
            <w:tcW w:w="11020" w:type="dxa"/>
            <w:vAlign w:val="bottom"/>
            <w:gridSpan w:val="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Notes to Consolidated Financial Statements</w:t>
              </w:r>
            </w:hyperlink>
          </w:p>
        </w:tc>
        <w:tc>
          <w:tcPr>
            <w:tcW w:w="340" w:type="dxa"/>
            <w:vAlign w:val="bottom"/>
            <w:gridSpan w:val="2"/>
          </w:tcPr>
          <w:p>
            <w:pPr>
              <w:jc w:val="right"/>
              <w:spacing w:after="0"/>
              <w:rPr>
                <w:rFonts w:ascii="Arial" w:cs="Arial" w:eastAsia="Arial" w:hAnsi="Arial"/>
                <w:sz w:val="18"/>
                <w:szCs w:val="18"/>
                <w:color w:val="0000EE"/>
              </w:rPr>
            </w:pPr>
            <w:hyperlink w:anchor="page112">
              <w:r>
                <w:rPr>
                  <w:rFonts w:ascii="Arial" w:cs="Arial" w:eastAsia="Arial" w:hAnsi="Arial"/>
                  <w:sz w:val="18"/>
                  <w:szCs w:val="18"/>
                  <w:color w:val="0000EE"/>
                </w:rPr>
                <w:t>F-8</w:t>
              </w:r>
            </w:hyperlink>
          </w:p>
        </w:tc>
      </w:tr>
      <w:tr>
        <w:trPr>
          <w:trHeight w:val="20"/>
        </w:trPr>
        <w:tc>
          <w:tcPr>
            <w:tcW w:w="27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3140" w:type="dxa"/>
            <w:vAlign w:val="bottom"/>
            <w:gridSpan w:val="3"/>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Unaudited Supplementary Information</w:t>
              </w:r>
            </w:hyperlink>
          </w:p>
        </w:tc>
        <w:tc>
          <w:tcPr>
            <w:tcW w:w="7880" w:type="dxa"/>
            <w:vAlign w:val="bottom"/>
            <w:gridSpan w:val="6"/>
          </w:tcPr>
          <w:p>
            <w:pPr>
              <w:spacing w:after="0"/>
              <w:rPr>
                <w:sz w:val="21"/>
                <w:szCs w:val="21"/>
                <w:color w:val="auto"/>
              </w:rPr>
            </w:pPr>
          </w:p>
        </w:tc>
        <w:tc>
          <w:tcPr>
            <w:tcW w:w="340" w:type="dxa"/>
            <w:vAlign w:val="bottom"/>
            <w:gridSpan w:val="2"/>
          </w:tcPr>
          <w:p>
            <w:pPr>
              <w:jc w:val="right"/>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F-46</w:t>
              </w:r>
            </w:hyperlink>
          </w:p>
        </w:tc>
      </w:tr>
      <w:tr>
        <w:trPr>
          <w:trHeight w:val="696"/>
        </w:trPr>
        <w:tc>
          <w:tcPr>
            <w:tcW w:w="48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20" w:type="dxa"/>
            <w:vAlign w:val="bottom"/>
            <w:gridSpan w:val="4"/>
          </w:tcPr>
          <w:p>
            <w:pPr>
              <w:ind w:left="440"/>
              <w:spacing w:after="0"/>
              <w:rPr>
                <w:sz w:val="20"/>
                <w:szCs w:val="20"/>
                <w:color w:val="auto"/>
              </w:rPr>
            </w:pPr>
            <w:r>
              <w:rPr>
                <w:rFonts w:ascii="Arial" w:cs="Arial" w:eastAsia="Arial" w:hAnsi="Arial"/>
                <w:sz w:val="18"/>
                <w:szCs w:val="18"/>
                <w:color w:val="auto"/>
              </w:rPr>
              <w:t>F-1</w:t>
            </w: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We have audited the accompanying consolidated balance sheets of Matador Resources Company and subsidiaries (the Company) as of December 31, 2019 and 2018, the related consolidated statements of operations, changes in shareholders’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in conformity with U.S. generally accepted accounting principles.</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 2020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leases as of January 1, 2019 due to the adoption of Accounting Standards Update 2016</w:t>
      </w:r>
      <w:r>
        <w:rPr>
          <w:rFonts w:ascii="MS PGothic" w:cs="MS PGothic" w:eastAsia="MS PGothic" w:hAnsi="MS PGothic"/>
          <w:sz w:val="18"/>
          <w:szCs w:val="18"/>
          <w:color w:val="auto"/>
        </w:rPr>
        <w:t>‑</w:t>
      </w:r>
      <w:r>
        <w:rPr>
          <w:rFonts w:ascii="Arial" w:cs="Arial" w:eastAsia="Arial" w:hAnsi="Arial"/>
          <w:sz w:val="18"/>
          <w:szCs w:val="18"/>
          <w:color w:val="auto"/>
        </w:rPr>
        <w:t xml:space="preserve">02, </w:t>
      </w:r>
      <w:r>
        <w:rPr>
          <w:rFonts w:ascii="Arial" w:cs="Arial" w:eastAsia="Arial" w:hAnsi="Arial"/>
          <w:sz w:val="18"/>
          <w:szCs w:val="18"/>
          <w:i w:val="1"/>
          <w:iCs w:val="1"/>
          <w:color w:val="auto"/>
        </w:rPr>
        <w:t>Leases (Topic 842)</w:t>
      </w:r>
      <w:r>
        <w:rPr>
          <w:rFonts w:ascii="Arial" w:cs="Arial" w:eastAsia="Arial" w:hAnsi="Arial"/>
          <w:sz w:val="18"/>
          <w:szCs w:val="18"/>
          <w:color w:val="auto"/>
        </w:rPr>
        <w:t>, and related amendments.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i w:val="1"/>
          <w:iCs w:val="1"/>
          <w:color w:val="auto"/>
        </w:rPr>
        <w:t>Assessment of the impact of estimated oil and natural gas reserves related to evaluated oil and natural gas properties on depletion expense and the ceiling test calculation</w:t>
      </w:r>
    </w:p>
    <w:p>
      <w:pPr>
        <w:spacing w:after="0" w:line="35"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For the year ended December 31, 2019, the Company recorded depletion expense of evaluated oil and natural gas properties of $330.7 million. Additionally, as discussed in Note 3 to the consolidated financial statements, the Company recorded $4.6 billion of gross evaluated oil and natural gas properties as of December 31, 2019. The Company is required to perform a ceiling test calculation on a quarterly basis and the applicable ceiling is equal to the sum of (1) the present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The Company’s internal reserves engineers prepare an estimate of the proved oil and natural gas reserves, and the Company engages external reserves engineers to independently evaluate the proved oil and natural gas reserves estimated by the Company.</w:t>
      </w:r>
    </w:p>
    <w:p>
      <w:pPr>
        <w:spacing w:after="0" w:line="84"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color w:val="auto"/>
        </w:rPr>
        <w:t>We identified the assessment of the impact of estimated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forecasted production, development costs, operating costs, and forecasted oil and natural gas prices inclusive of market differentials.</w:t>
      </w:r>
    </w:p>
    <w:p>
      <w:pPr>
        <w:spacing w:after="0" w:line="63" w:lineRule="exact"/>
        <w:rPr>
          <w:sz w:val="20"/>
          <w:szCs w:val="20"/>
          <w:color w:val="auto"/>
        </w:rPr>
      </w:pPr>
    </w:p>
    <w:p>
      <w:pPr>
        <w:ind w:left="660" w:right="40"/>
        <w:spacing w:after="0" w:line="268"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depletion and ceiling test processes, including controls related to the assumptions used to estimate proved reserves used in the respective calculations. We assessed the competence, capabilities, and objectivity of the Company’s internal reserves engineers, who estimated the proved reserves, and the external reserves engineers engaged by the Company. We assessed the methodology used by the Company to estimate the reserves for consistency with industry and regulatory standards. We also compared the pricing assumptions, including price differentials, used in the reserves engineers’ estimate of the proved reserves to publicly available oil and natural gas pricing data. We evaluated assumptions used in the reserves engineers’ estimate regarding future operating and development costs based on historical information. In addition, we compared the forecasted production volumes assumption used by the Company in the current period to historical production and we compared the Company’s historical production forecasts to actual production volumes to assess the Company’s ability to accurately forecast. We read the findings of the Company’s external reserves engineers in connection with our evaluation of the Company’s reserves estimates. We analyzed the depletion expense calculation for compliance with industry and regulatory standards, and recalculated it.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1" w:right="259" w:bottom="1440" w:gutter="0" w:footer="0" w:header="0"/>
        </w:sectPr>
      </w:pPr>
    </w:p>
    <w:bookmarkStart w:id="105" w:name="page106"/>
    <w:bookmarkEnd w:id="105"/>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92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9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40,024</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64,545</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25,104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19,439</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720"/>
              <w:spacing w:after="0"/>
              <w:rPr>
                <w:sz w:val="20"/>
                <w:szCs w:val="20"/>
                <w:color w:val="auto"/>
              </w:rPr>
            </w:pPr>
            <w:r>
              <w:rPr>
                <w:rFonts w:ascii="Arial" w:cs="Arial" w:eastAsia="Arial" w:hAnsi="Arial"/>
                <w:sz w:val="14"/>
                <w:szCs w:val="14"/>
                <w:color w:val="auto"/>
              </w:rPr>
              <w:t>Oil and natural gas revenues</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95,228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68,161</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Joint interest billings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67,546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61,831</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7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26,639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16,159</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49,929</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Lease and well equipment inventory</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10,744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17,564</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928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278,492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305,685</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at cost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Oil and natural gas properties, full-cost method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Evaluated</w:t>
            </w: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4,557,265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3,780,236</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720"/>
              <w:spacing w:after="0"/>
              <w:rPr>
                <w:sz w:val="20"/>
                <w:szCs w:val="20"/>
                <w:color w:val="auto"/>
              </w:rPr>
            </w:pPr>
            <w:r>
              <w:rPr>
                <w:rFonts w:ascii="Arial" w:cs="Arial" w:eastAsia="Arial" w:hAnsi="Arial"/>
                <w:sz w:val="14"/>
                <w:szCs w:val="14"/>
                <w:color w:val="auto"/>
              </w:rPr>
              <w:t>Unproved and unevaluated</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1,126,992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1,199,511</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properties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643,903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428,025</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Other property and equipment</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27,021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22,041</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accumulated depletion, depreciation and amortization</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(2,655,586)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(2,306,949)</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9280" w:type="dxa"/>
            <w:vAlign w:val="bottom"/>
          </w:tcPr>
          <w:p>
            <w:pPr>
              <w:ind w:left="1140"/>
              <w:spacing w:after="0"/>
              <w:rPr>
                <w:sz w:val="20"/>
                <w:szCs w:val="20"/>
                <w:color w:val="auto"/>
              </w:rPr>
            </w:pPr>
            <w:r>
              <w:rPr>
                <w:rFonts w:ascii="Arial" w:cs="Arial" w:eastAsia="Arial" w:hAnsi="Arial"/>
                <w:sz w:val="14"/>
                <w:szCs w:val="14"/>
                <w:color w:val="auto"/>
              </w:rPr>
              <w:t>Net property and equipment</w:t>
            </w: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3,699,595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3,122,864</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20,457</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long-term assets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6,512</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928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91,589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74"/>
        </w:trPr>
        <w:tc>
          <w:tcPr>
            <w:tcW w:w="92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2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4,069,676</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92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40"/>
              <w:spacing w:after="0"/>
              <w:rPr>
                <w:sz w:val="20"/>
                <w:szCs w:val="20"/>
                <w:color w:val="auto"/>
              </w:rPr>
            </w:pPr>
            <w:r>
              <w:rPr>
                <w:rFonts w:ascii="Arial" w:cs="Arial" w:eastAsia="Arial" w:hAnsi="Arial"/>
                <w:sz w:val="14"/>
                <w:szCs w:val="14"/>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25,230</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66,970</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200,695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170,855</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Royalties payable</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85,193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64,776</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Amounts due to affiliates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19,606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Advances from joint interest owners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10,968</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Amounts due to joint ventures</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51,828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928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399,772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330,022</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Borrowings under Credit Agreement</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255,000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San Mateo Credit Facility</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220,000</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Senior unsecured notes payable</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1,039,416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1,037,837</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1,984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13,221</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43,131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74"/>
        </w:trPr>
        <w:tc>
          <w:tcPr>
            <w:tcW w:w="92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2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long-term liabilities</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1,700,452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1,345,839</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40"/>
              <w:spacing w:after="0"/>
              <w:rPr>
                <w:sz w:val="20"/>
                <w:szCs w:val="20"/>
                <w:color w:val="auto"/>
              </w:rPr>
            </w:pPr>
            <w:r>
              <w:rPr>
                <w:rFonts w:ascii="Arial" w:cs="Arial" w:eastAsia="Arial" w:hAnsi="Arial"/>
                <w:sz w:val="14"/>
                <w:szCs w:val="14"/>
                <w:color w:val="auto"/>
              </w:rPr>
              <w:t>Commitments and contingencies (Note 14)</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9280" w:type="dxa"/>
            <w:vAlign w:val="bottom"/>
          </w:tcPr>
          <w:p>
            <w:pPr>
              <w:ind w:left="380"/>
              <w:spacing w:after="0" w:line="157" w:lineRule="exact"/>
              <w:rPr>
                <w:sz w:val="20"/>
                <w:szCs w:val="20"/>
                <w:color w:val="auto"/>
              </w:rPr>
            </w:pPr>
            <w:r>
              <w:rPr>
                <w:rFonts w:ascii="Arial" w:cs="Arial" w:eastAsia="Arial" w:hAnsi="Arial"/>
                <w:sz w:val="14"/>
                <w:szCs w:val="14"/>
                <w:color w:val="auto"/>
                <w:w w:val="96"/>
              </w:rPr>
              <w:t>Common stock — $0.01 par value, 160,000,000 shares authorized; 116,644,246 and 116,374,503 shares issued; and 116,642,899 and 116,353,590</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80" w:type="dxa"/>
            <w:vAlign w:val="bottom"/>
          </w:tcPr>
          <w:p>
            <w:pPr>
              <w:ind w:left="380"/>
              <w:spacing w:after="0"/>
              <w:rPr>
                <w:sz w:val="20"/>
                <w:szCs w:val="20"/>
                <w:color w:val="auto"/>
              </w:rPr>
            </w:pPr>
            <w:r>
              <w:rPr>
                <w:rFonts w:ascii="Arial" w:cs="Arial" w:eastAsia="Arial" w:hAnsi="Arial"/>
                <w:sz w:val="14"/>
                <w:szCs w:val="14"/>
                <w:color w:val="auto"/>
              </w:rPr>
              <w:t>shares outstanding, respectively</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1,981,014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1,924,408</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280" w:type="dxa"/>
            <w:vAlign w:val="bottom"/>
          </w:tcPr>
          <w:p>
            <w:pPr>
              <w:ind w:left="38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(148,500)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(236,277)</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at cost, 1,347 and 20,913 shares, respectively</w:t>
            </w: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80"/>
        </w:trPr>
        <w:tc>
          <w:tcPr>
            <w:tcW w:w="92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9280" w:type="dxa"/>
            <w:vAlign w:val="bottom"/>
          </w:tcPr>
          <w:p>
            <w:pPr>
              <w:ind w:left="1140"/>
              <w:spacing w:after="0"/>
              <w:rPr>
                <w:sz w:val="20"/>
                <w:szCs w:val="20"/>
                <w:color w:val="auto"/>
              </w:rPr>
            </w:pPr>
            <w:r>
              <w:rPr>
                <w:rFonts w:ascii="Arial" w:cs="Arial" w:eastAsia="Arial" w:hAnsi="Arial"/>
                <w:sz w:val="14"/>
                <w:szCs w:val="14"/>
                <w:color w:val="auto"/>
              </w:rPr>
              <w:t>Total Matador Resources Company shareholders’ equity</w:t>
            </w: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1,833,654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1,688,880</w:t>
            </w:r>
          </w:p>
        </w:tc>
        <w:tc>
          <w:tcPr>
            <w:tcW w:w="0" w:type="dxa"/>
            <w:vAlign w:val="bottom"/>
          </w:tcPr>
          <w:p>
            <w:pPr>
              <w:spacing w:after="0"/>
              <w:rPr>
                <w:sz w:val="1"/>
                <w:szCs w:val="1"/>
                <w:color w:val="auto"/>
              </w:rPr>
            </w:pPr>
          </w:p>
        </w:tc>
      </w:tr>
      <w:tr>
        <w:trPr>
          <w:trHeight w:val="74"/>
        </w:trPr>
        <w:tc>
          <w:tcPr>
            <w:tcW w:w="9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135,798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90,777</w:t>
            </w:r>
          </w:p>
        </w:tc>
        <w:tc>
          <w:tcPr>
            <w:tcW w:w="0" w:type="dxa"/>
            <w:vAlign w:val="bottom"/>
          </w:tcPr>
          <w:p>
            <w:pPr>
              <w:spacing w:after="0"/>
              <w:rPr>
                <w:sz w:val="1"/>
                <w:szCs w:val="1"/>
                <w:color w:val="auto"/>
              </w:rPr>
            </w:pPr>
          </w:p>
        </w:tc>
      </w:tr>
      <w:tr>
        <w:trPr>
          <w:trHeight w:val="55"/>
        </w:trPr>
        <w:tc>
          <w:tcPr>
            <w:tcW w:w="9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80" w:type="dxa"/>
            <w:vAlign w:val="bottom"/>
            <w:tcBorders>
              <w:top w:val="single" w:sz="8" w:color="CCEEFF"/>
            </w:tcBorders>
          </w:tcPr>
          <w:p>
            <w:pPr>
              <w:ind w:left="1140"/>
              <w:spacing w:after="0"/>
              <w:rPr>
                <w:sz w:val="20"/>
                <w:szCs w:val="20"/>
                <w:color w:val="auto"/>
              </w:rPr>
            </w:pPr>
            <w:r>
              <w:rPr>
                <w:rFonts w:ascii="Arial" w:cs="Arial" w:eastAsia="Arial" w:hAnsi="Arial"/>
                <w:sz w:val="14"/>
                <w:szCs w:val="14"/>
                <w:color w:val="auto"/>
              </w:rPr>
              <w:t>Total shareholders’ equity</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1,969,452</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1,779,657</w:t>
            </w:r>
          </w:p>
        </w:tc>
        <w:tc>
          <w:tcPr>
            <w:tcW w:w="0" w:type="dxa"/>
            <w:vAlign w:val="bottom"/>
          </w:tcPr>
          <w:p>
            <w:pPr>
              <w:spacing w:after="0"/>
              <w:rPr>
                <w:sz w:val="1"/>
                <w:szCs w:val="1"/>
                <w:color w:val="auto"/>
              </w:rPr>
            </w:pPr>
          </w:p>
        </w:tc>
      </w:tr>
      <w:tr>
        <w:trPr>
          <w:trHeight w:val="74"/>
        </w:trPr>
        <w:tc>
          <w:tcPr>
            <w:tcW w:w="92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2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4,069,676</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92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0"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ind w:left="3900"/>
              <w:spacing w:after="0"/>
              <w:rPr>
                <w:sz w:val="20"/>
                <w:szCs w:val="20"/>
                <w:color w:val="auto"/>
              </w:rPr>
            </w:pPr>
            <w:r>
              <w:rPr>
                <w:rFonts w:ascii="Arial" w:cs="Arial" w:eastAsia="Arial" w:hAnsi="Arial"/>
                <w:sz w:val="18"/>
                <w:szCs w:val="18"/>
                <w:b w:val="1"/>
                <w:bCs w:val="1"/>
                <w:color w:val="auto"/>
                <w:w w:val="90"/>
              </w:rPr>
              <w:t>Matador Resources Company and Subsidiaries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7900" w:type="dxa"/>
            <w:vAlign w:val="bottom"/>
            <w:gridSpan w:val="2"/>
          </w:tcPr>
          <w:p>
            <w:pPr>
              <w:ind w:left="3600"/>
              <w:spacing w:after="0"/>
              <w:rPr>
                <w:sz w:val="20"/>
                <w:szCs w:val="20"/>
                <w:color w:val="auto"/>
              </w:rPr>
            </w:pPr>
            <w:r>
              <w:rPr>
                <w:rFonts w:ascii="Arial" w:cs="Arial" w:eastAsia="Arial" w:hAnsi="Arial"/>
                <w:sz w:val="18"/>
                <w:szCs w:val="18"/>
                <w:b w:val="1"/>
                <w:bCs w:val="1"/>
                <w:color w:val="auto"/>
              </w:rPr>
              <w:t>CONSOLIDATED STATEMENTS OF OPERATIONS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4260"/>
              <w:spacing w:after="0"/>
              <w:rPr>
                <w:sz w:val="20"/>
                <w:szCs w:val="20"/>
                <w:color w:val="auto"/>
              </w:rPr>
            </w:pPr>
            <w:r>
              <w:rPr>
                <w:rFonts w:ascii="Arial" w:cs="Arial" w:eastAsia="Arial" w:hAnsi="Arial"/>
                <w:sz w:val="18"/>
                <w:szCs w:val="18"/>
                <w:b w:val="1"/>
                <w:bCs w:val="1"/>
                <w:color w:val="auto"/>
              </w:rPr>
              <w:t>(In thousands, except per share data)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Oil and natural gas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892,325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800,700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528,684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Sales of purchased natural gas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 - mineral acreage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Realized gain (loss) on derivatives</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derivatives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37"/>
        </w:trPr>
        <w:tc>
          <w:tcPr>
            <w:tcW w:w="7580" w:type="dxa"/>
            <w:vAlign w:val="bottom"/>
          </w:tcPr>
          <w:p>
            <w:pPr>
              <w:ind w:left="11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983,670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899,599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544,276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Production taxes, transportation and processing</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92,273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58,275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67,313</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Plant and other midstream services operating</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36,798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natural gas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Depletion, depreciation and amortization</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350,540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265,142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177,502</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of asset retirement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66,016</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748,190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536,328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383,435</w:t>
            </w:r>
          </w:p>
        </w:tc>
        <w:tc>
          <w:tcPr>
            <w:tcW w:w="0" w:type="dxa"/>
            <w:vAlign w:val="bottom"/>
          </w:tcPr>
          <w:p>
            <w:pPr>
              <w:spacing w:after="0"/>
              <w:rPr>
                <w:sz w:val="1"/>
                <w:szCs w:val="1"/>
                <w:color w:val="auto"/>
              </w:rPr>
            </w:pP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235,480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363,271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160,841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Net (loss) gain on asset sales and inventory impairment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(34,565)</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Prepayment premium on extinguishment of debt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37"/>
        </w:trPr>
        <w:tc>
          <w:tcPr>
            <w:tcW w:w="7580" w:type="dxa"/>
            <w:vAlign w:val="bottom"/>
          </w:tcPr>
          <w:p>
            <w:pPr>
              <w:ind w:left="1140"/>
              <w:spacing w:after="0"/>
              <w:rPr>
                <w:sz w:val="20"/>
                <w:szCs w:val="20"/>
                <w:color w:val="auto"/>
              </w:rPr>
            </w:pPr>
            <w:r>
              <w:rPr>
                <w:rFonts w:ascii="Arial" w:cs="Arial" w:eastAsia="Arial" w:hAnsi="Arial"/>
                <w:sz w:val="18"/>
                <w:szCs w:val="18"/>
                <w:color w:val="auto"/>
              </w:rPr>
              <w:t>Total other expense</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(30,991)</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129,850</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35,532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income tax provision (benefit)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138,007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37"/>
        </w:trPr>
        <w:tc>
          <w:tcPr>
            <w:tcW w:w="7580" w:type="dxa"/>
            <w:vAlign w:val="bottom"/>
          </w:tcPr>
          <w:p>
            <w:pPr>
              <w:ind w:left="146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87,777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274,207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125,867</w:t>
            </w:r>
          </w:p>
        </w:tc>
        <w:tc>
          <w:tcPr>
            <w:tcW w:w="0" w:type="dxa"/>
            <w:vAlign w:val="bottom"/>
          </w:tcPr>
          <w:p>
            <w:pPr>
              <w:spacing w:after="0"/>
              <w:rPr>
                <w:sz w:val="1"/>
                <w:szCs w:val="1"/>
                <w:color w:val="auto"/>
              </w:rPr>
            </w:pPr>
          </w:p>
        </w:tc>
      </w:tr>
      <w:tr>
        <w:trPr>
          <w:trHeight w:val="67"/>
        </w:trPr>
        <w:tc>
          <w:tcPr>
            <w:tcW w:w="7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67"/>
        </w:trPr>
        <w:tc>
          <w:tcPr>
            <w:tcW w:w="7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102,029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117,063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102,543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60"/>
          </w:cols>
          <w:pgMar w:left="240" w:top="121" w:right="4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160"/>
          </w:cols>
          <w:pgMar w:left="240" w:top="121" w:right="499" w:bottom="1440" w:gutter="0" w:footer="0" w:header="0"/>
          <w:type w:val="continuous"/>
        </w:sectPr>
      </w:pPr>
    </w:p>
    <w:bookmarkStart w:id="108" w:name="page109"/>
    <w:bookmarkEnd w:id="108"/>
    <w:p>
      <w:pPr>
        <w:spacing w:after="0" w:line="6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53" w:lineRule="exact"/>
        <w:rPr>
          <w:sz w:val="20"/>
          <w:szCs w:val="20"/>
          <w:color w:val="auto"/>
        </w:rPr>
      </w:pPr>
    </w:p>
    <w:p>
      <w:pPr>
        <w:jc w:val="right"/>
        <w:ind w:right="244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ectPr>
          <w:pgSz w:w="11900" w:h="16899"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2017</w:t>
      </w:r>
    </w:p>
    <w:p>
      <w:pPr>
        <w:spacing w:after="0" w:line="113"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380"/>
        <w:spacing w:after="0" w:line="402" w:lineRule="auto"/>
        <w:rPr>
          <w:sz w:val="20"/>
          <w:szCs w:val="20"/>
          <w:color w:val="auto"/>
        </w:rPr>
      </w:pPr>
      <w:r>
        <w:rPr>
          <w:rFonts w:ascii="Arial" w:cs="Arial" w:eastAsia="Arial" w:hAnsi="Arial"/>
          <w:sz w:val="14"/>
          <w:szCs w:val="14"/>
          <w:color w:val="auto"/>
        </w:rPr>
        <w:t>Issuance of common stock pursuant to public offering Cost to issue equity</w:t>
      </w:r>
    </w:p>
    <w:p>
      <w:pPr>
        <w:spacing w:after="0" w:line="1"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Purchase of non-controlling interest of less-than-wholly-owned subsidiary</w:t>
      </w:r>
    </w:p>
    <w:p>
      <w:pPr>
        <w:spacing w:after="0" w:line="1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Contributions related to formation of San Mateo I (see Note 6)</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Distributions to non-controlling interest owners of less-than 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Cancellation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2017</w:t>
      </w:r>
    </w:p>
    <w:p>
      <w:pPr>
        <w:spacing w:after="0" w:line="113"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380"/>
        <w:spacing w:after="0" w:line="402" w:lineRule="auto"/>
        <w:rPr>
          <w:sz w:val="20"/>
          <w:szCs w:val="20"/>
          <w:color w:val="auto"/>
        </w:rPr>
      </w:pPr>
      <w:r>
        <w:rPr>
          <w:rFonts w:ascii="Arial" w:cs="Arial" w:eastAsia="Arial" w:hAnsi="Arial"/>
          <w:sz w:val="14"/>
          <w:szCs w:val="14"/>
          <w:color w:val="auto"/>
        </w:rPr>
        <w:t>Issuance of common stock pursuant to public offering Cost to issue equity</w:t>
      </w:r>
    </w:p>
    <w:p>
      <w:pPr>
        <w:spacing w:after="0" w:line="1"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2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40"/>
        <w:spacing w:after="0" w:line="253" w:lineRule="auto"/>
        <w:rPr>
          <w:sz w:val="20"/>
          <w:szCs w:val="20"/>
          <w:color w:val="auto"/>
        </w:rPr>
      </w:pPr>
      <w:r>
        <w:rPr>
          <w:rFonts w:ascii="Arial" w:cs="Arial" w:eastAsia="Arial" w:hAnsi="Arial"/>
          <w:sz w:val="14"/>
          <w:szCs w:val="14"/>
          <w:color w:val="auto"/>
        </w:rPr>
        <w:t>Contributions related to formation of San Mateo I (see Note 6)</w:t>
      </w:r>
    </w:p>
    <w:p>
      <w:pPr>
        <w:spacing w:after="0" w:line="12" w:lineRule="exact"/>
        <w:rPr>
          <w:sz w:val="20"/>
          <w:szCs w:val="20"/>
          <w:color w:val="auto"/>
        </w:rPr>
      </w:pPr>
    </w:p>
    <w:p>
      <w:pPr>
        <w:ind w:left="40" w:right="8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Cancellation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5"/>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5"/>
          </w:tcPr>
          <w:p>
            <w:pPr>
              <w:ind w:left="1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8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controlling</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880" w:type="dxa"/>
            <w:vAlign w:val="bottom"/>
            <w:gridSpan w:val="3"/>
            <w:vMerge w:val="restart"/>
          </w:tcPr>
          <w:p>
            <w:pPr>
              <w:ind w:left="80"/>
              <w:spacing w:after="0" w:line="139" w:lineRule="exact"/>
              <w:rPr>
                <w:sz w:val="20"/>
                <w:szCs w:val="20"/>
                <w:color w:val="auto"/>
              </w:rPr>
            </w:pPr>
            <w:r>
              <w:rPr>
                <w:rFonts w:ascii="Arial" w:cs="Arial" w:eastAsia="Arial" w:hAnsi="Arial"/>
                <w:sz w:val="14"/>
                <w:szCs w:val="14"/>
                <w:b w:val="1"/>
                <w:bCs w:val="1"/>
                <w:color w:val="auto"/>
              </w:rPr>
              <w:t>interest in</w:t>
            </w:r>
          </w:p>
        </w:tc>
        <w:tc>
          <w:tcPr>
            <w:tcW w:w="300" w:type="dxa"/>
            <w:vAlign w:val="bottom"/>
          </w:tcPr>
          <w:p>
            <w:pPr>
              <w:spacing w:after="0"/>
              <w:rPr>
                <w:sz w:val="4"/>
                <w:szCs w:val="4"/>
                <w:color w:val="auto"/>
              </w:rPr>
            </w:pPr>
          </w:p>
        </w:tc>
        <w:tc>
          <w:tcPr>
            <w:tcW w:w="1020" w:type="dxa"/>
            <w:vAlign w:val="bottom"/>
            <w:vMerge w:val="restart"/>
          </w:tcPr>
          <w:p>
            <w:pPr>
              <w:jc w:val="right"/>
              <w:ind w:right="42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5"/>
                <w:szCs w:val="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subsidiaries</w:t>
            </w:r>
          </w:p>
        </w:tc>
        <w:tc>
          <w:tcPr>
            <w:tcW w:w="100" w:type="dxa"/>
            <w:vAlign w:val="bottom"/>
          </w:tcPr>
          <w:p>
            <w:pPr>
              <w:spacing w:after="0"/>
              <w:rPr>
                <w:sz w:val="16"/>
                <w:szCs w:val="16"/>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shareholders’ equity</w:t>
            </w:r>
          </w:p>
        </w:tc>
        <w:tc>
          <w:tcPr>
            <w:tcW w:w="0" w:type="dxa"/>
            <w:vAlign w:val="bottom"/>
          </w:tcPr>
          <w:p>
            <w:pPr>
              <w:spacing w:after="0"/>
              <w:rPr>
                <w:sz w:val="1"/>
                <w:szCs w:val="1"/>
                <w:color w:val="auto"/>
              </w:rPr>
            </w:pPr>
          </w:p>
        </w:tc>
      </w:tr>
      <w:tr>
        <w:trPr>
          <w:trHeight w:val="244"/>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99,519</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$1,325,481</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(636,351)</w:t>
            </w:r>
          </w:p>
        </w:tc>
        <w:tc>
          <w:tcPr>
            <w:tcW w:w="120" w:type="dxa"/>
            <w:vAlign w:val="bottom"/>
          </w:tcPr>
          <w:p>
            <w:pPr>
              <w:spacing w:after="0"/>
              <w:rPr>
                <w:sz w:val="21"/>
                <w:szCs w:val="21"/>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690,125</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691,445</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208,640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208,720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208,720</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19,594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19,594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19,594</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(2,653)</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116,622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116,622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54,878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171,500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44,100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44,100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(10,045)</w:t>
            </w:r>
          </w:p>
        </w:tc>
        <w:tc>
          <w:tcPr>
            <w:tcW w:w="0" w:type="dxa"/>
            <w:vAlign w:val="bottom"/>
          </w:tcPr>
          <w:p>
            <w:pPr>
              <w:spacing w:after="0"/>
              <w:rPr>
                <w:sz w:val="1"/>
                <w:szCs w:val="1"/>
                <w:color w:val="auto"/>
              </w:rPr>
            </w:pPr>
          </w:p>
        </w:tc>
      </w:tr>
      <w:tr>
        <w:trPr>
          <w:trHeight w:val="270"/>
        </w:trPr>
        <w:tc>
          <w:tcPr>
            <w:tcW w:w="62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1,589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125,867</w:t>
            </w: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125,867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12,140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138,007</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1"/>
              </w:rPr>
              <w:t>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1,666,024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1,156,556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100,990</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1,257,546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226,542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226,612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22,660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22,660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22,660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85,750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85,750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(121,520)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(121,520)</w:t>
            </w:r>
          </w:p>
        </w:tc>
        <w:tc>
          <w:tcPr>
            <w:tcW w:w="0" w:type="dxa"/>
            <w:vAlign w:val="bottom"/>
          </w:tcPr>
          <w:p>
            <w:pPr>
              <w:spacing w:after="0"/>
              <w:rPr>
                <w:sz w:val="1"/>
                <w:szCs w:val="1"/>
                <w:color w:val="auto"/>
              </w:rPr>
            </w:pPr>
          </w:p>
        </w:tc>
      </w:tr>
      <w:tr>
        <w:trPr>
          <w:trHeight w:val="270"/>
        </w:trPr>
        <w:tc>
          <w:tcPr>
            <w:tcW w:w="62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4,038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274,207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25,557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299,764</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116,375</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1"/>
              </w:rPr>
              <w:t>1,164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$1,924,408</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(236,277)</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1,688,880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90,777</w:t>
            </w:r>
          </w:p>
        </w:tc>
        <w:tc>
          <w:tcPr>
            <w:tcW w:w="100" w:type="dxa"/>
            <w:vAlign w:val="bottom"/>
          </w:tcPr>
          <w:p>
            <w:pPr>
              <w:spacing w:after="0"/>
              <w:rPr>
                <w:sz w:val="21"/>
                <w:szCs w:val="21"/>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1,779,657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-5565775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-5171440</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-4777105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-4382770</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-3987800</wp:posOffset>
            </wp:positionV>
            <wp:extent cx="724662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-3542030</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-3096260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-2753360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-2358390</wp:posOffset>
            </wp:positionV>
            <wp:extent cx="72466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-1964055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-1569720</wp:posOffset>
            </wp:positionV>
            <wp:extent cx="724662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-1175385</wp:posOffset>
            </wp:positionV>
            <wp:extent cx="724662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-728980</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-334645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99" w:orient="portrait"/>
          <w:cols w:equalWidth="0" w:num="2">
            <w:col w:w="3520" w:space="180"/>
            <w:col w:w="772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equity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280" w:type="dxa"/>
            <w:vAlign w:val="bottom"/>
            <w:gridSpan w:val="3"/>
          </w:tcPr>
          <w:p>
            <w:pPr>
              <w:jc w:val="right"/>
              <w:ind w:right="68"/>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right"/>
              <w:ind w:right="8"/>
              <w:spacing w:after="0" w:line="158" w:lineRule="exact"/>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8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0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86"/>
              </w:rPr>
              <w:t>Resources</w:t>
            </w:r>
          </w:p>
        </w:tc>
        <w:tc>
          <w:tcPr>
            <w:tcW w:w="88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300" w:type="dxa"/>
            <w:vAlign w:val="bottom"/>
          </w:tcPr>
          <w:p>
            <w:pPr>
              <w:spacing w:after="0"/>
              <w:rPr>
                <w:sz w:val="4"/>
                <w:szCs w:val="4"/>
                <w:color w:val="auto"/>
              </w:rPr>
            </w:pPr>
          </w:p>
        </w:tc>
        <w:tc>
          <w:tcPr>
            <w:tcW w:w="1020" w:type="dxa"/>
            <w:vAlign w:val="bottom"/>
            <w:vMerge w:val="restart"/>
          </w:tcPr>
          <w:p>
            <w:pPr>
              <w:jc w:val="right"/>
              <w:ind w:right="42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3700" w:type="dxa"/>
            <w:vAlign w:val="bottom"/>
          </w:tcPr>
          <w:p>
            <w:pPr>
              <w:spacing w:after="0"/>
              <w:rPr>
                <w:sz w:val="5"/>
                <w:szCs w:val="5"/>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5"/>
                <w:szCs w:val="5"/>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subsidiaries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shareholders’ equity</w:t>
            </w:r>
          </w:p>
        </w:tc>
        <w:tc>
          <w:tcPr>
            <w:tcW w:w="0" w:type="dxa"/>
            <w:vAlign w:val="bottom"/>
          </w:tcPr>
          <w:p>
            <w:pPr>
              <w:spacing w:after="0"/>
              <w:rPr>
                <w:sz w:val="1"/>
                <w:szCs w:val="1"/>
                <w:color w:val="auto"/>
              </w:rPr>
            </w:pPr>
          </w:p>
        </w:tc>
      </w:tr>
      <w:tr>
        <w:trPr>
          <w:trHeight w:val="17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116,375</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$ 1,164</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$1,924,408</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(236,277)</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(415)</w:t>
            </w:r>
          </w:p>
        </w:tc>
        <w:tc>
          <w:tcPr>
            <w:tcW w:w="10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1,688,880</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90,777</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1,779,657</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pursuant to directors’ and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advisors’ 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7"/>
              </w:rPr>
              <w:t>Stock-based compensation expense related to equity-based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23,396</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23,396</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23,396</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Stock options exercised, net of options forfeited in net share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Liability-based stock option awards settled</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ectPr>
          <w:pgSz w:w="11900" w:h="16899" w:orient="portrait"/>
          <w:cols w:equalWidth="0" w:num="1">
            <w:col w:w="11420"/>
          </w:cols>
          <w:pgMar w:left="240" w:top="121" w:right="239" w:bottom="0" w:gutter="0" w:footer="0" w:header="0"/>
          <w:type w:val="continuous"/>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(3,691)</w:t>
            </w:r>
          </w:p>
        </w:tc>
        <w:tc>
          <w:tcPr>
            <w:tcW w:w="0" w:type="dxa"/>
            <w:vAlign w:val="bottom"/>
          </w:tcPr>
          <w:p>
            <w:pPr>
              <w:spacing w:after="0"/>
              <w:rPr>
                <w:sz w:val="1"/>
                <w:szCs w:val="1"/>
                <w:color w:val="auto"/>
              </w:rPr>
            </w:pPr>
          </w:p>
        </w:tc>
      </w:tr>
      <w:tr>
        <w:trPr>
          <w:trHeight w:val="68"/>
        </w:trPr>
        <w:tc>
          <w:tcPr>
            <w:tcW w:w="3700" w:type="dxa"/>
            <w:vAlign w:val="bottom"/>
            <w:shd w:val="clear" w:color="auto" w:fill="CCEEFF"/>
          </w:tcPr>
          <w:p>
            <w:pPr>
              <w:spacing w:after="0"/>
              <w:rPr>
                <w:sz w:val="5"/>
                <w:szCs w:val="5"/>
                <w:color w:val="auto"/>
              </w:rPr>
            </w:pPr>
          </w:p>
        </w:tc>
        <w:tc>
          <w:tcPr>
            <w:tcW w:w="720" w:type="dxa"/>
            <w:vAlign w:val="bottom"/>
            <w:gridSpan w:val="2"/>
            <w:vMerge w:val="continue"/>
            <w:shd w:val="clear" w:color="auto" w:fill="CCEEFF"/>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Contribution related to formation of San Mateo I, net of tax</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of $3.1 million (See Note 6)</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11,613</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11,613</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Contribution of property related to formation of San Mateo II</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(See Note 6)</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 interest owners of less-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40"/>
              <w:spacing w:after="0" w:line="149" w:lineRule="exact"/>
              <w:rPr>
                <w:sz w:val="20"/>
                <w:szCs w:val="20"/>
                <w:color w:val="auto"/>
              </w:rPr>
            </w:pPr>
            <w:r>
              <w:rPr>
                <w:rFonts w:ascii="Arial" w:cs="Arial" w:eastAsia="Arial" w:hAnsi="Arial"/>
                <w:sz w:val="14"/>
                <w:szCs w:val="14"/>
                <w:color w:val="auto"/>
              </w:rPr>
              <w:t>than-wholly-owned subsidiaries, net of tax of $5.9 million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(See Note 6)</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22,874</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22,874</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48,510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71,384</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Distributions to non-controlling interest owners of less-than-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(39,200)</w:t>
            </w:r>
          </w:p>
        </w:tc>
        <w:tc>
          <w:tcPr>
            <w:tcW w:w="0" w:type="dxa"/>
            <w:vAlign w:val="bottom"/>
          </w:tcPr>
          <w:p>
            <w:pPr>
              <w:spacing w:after="0"/>
              <w:rPr>
                <w:sz w:val="1"/>
                <w:szCs w:val="1"/>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4"/>
                <w:szCs w:val="14"/>
                <w:color w:val="auto"/>
              </w:rPr>
              <w:t>Cancellation of treasury stock</w:t>
            </w:r>
          </w:p>
        </w:tc>
        <w:tc>
          <w:tcPr>
            <w:tcW w:w="62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(4,078)</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4,080</w:t>
            </w: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period net income</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87,777</w:t>
            </w:r>
          </w:p>
        </w:tc>
        <w:tc>
          <w:tcPr>
            <w:tcW w:w="12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87,777</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122,982</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6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4"/>
              </w:rPr>
              <w:t>116,644</w:t>
            </w:r>
          </w:p>
        </w:tc>
        <w:tc>
          <w:tcPr>
            <w:tcW w:w="100" w:type="dxa"/>
            <w:vAlign w:val="bottom"/>
          </w:tcPr>
          <w:p>
            <w:pPr>
              <w:spacing w:after="0"/>
              <w:rPr>
                <w:sz w:val="14"/>
                <w:szCs w:val="14"/>
                <w:color w:val="auto"/>
              </w:rPr>
            </w:pPr>
          </w:p>
        </w:tc>
        <w:tc>
          <w:tcPr>
            <w:tcW w:w="5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4"/>
              </w:rPr>
              <w:t>$ 1,166</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6"/>
              </w:rPr>
              <w:t>$1,981,014</w:t>
            </w:r>
          </w:p>
        </w:tc>
        <w:tc>
          <w:tcPr>
            <w:tcW w:w="1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   (148,500)</w:t>
            </w:r>
          </w:p>
        </w:tc>
        <w:tc>
          <w:tcPr>
            <w:tcW w:w="120" w:type="dxa"/>
            <w:vAlign w:val="bottom"/>
          </w:tcPr>
          <w:p>
            <w:pPr>
              <w:spacing w:after="0"/>
              <w:rPr>
                <w:sz w:val="14"/>
                <w:szCs w:val="14"/>
                <w:color w:val="auto"/>
              </w:rPr>
            </w:pPr>
          </w:p>
        </w:tc>
        <w:tc>
          <w:tcPr>
            <w:tcW w:w="4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  (26)</w:t>
            </w:r>
          </w:p>
        </w:tc>
        <w:tc>
          <w:tcPr>
            <w:tcW w:w="100" w:type="dxa"/>
            <w:vAlign w:val="bottom"/>
          </w:tcPr>
          <w:p>
            <w:pPr>
              <w:spacing w:after="0"/>
              <w:rPr>
                <w:sz w:val="14"/>
                <w:szCs w:val="14"/>
                <w:color w:val="auto"/>
              </w:rPr>
            </w:pPr>
          </w:p>
        </w:tc>
        <w:tc>
          <w:tcPr>
            <w:tcW w:w="9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7"/>
              </w:rPr>
              <w:t>$  1,833,654</w:t>
            </w:r>
          </w:p>
        </w:tc>
        <w:tc>
          <w:tcPr>
            <w:tcW w:w="100" w:type="dxa"/>
            <w:vAlign w:val="bottom"/>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  135,798</w:t>
            </w:r>
          </w:p>
        </w:tc>
        <w:tc>
          <w:tcPr>
            <w:tcW w:w="100" w:type="dxa"/>
            <w:vAlign w:val="bottom"/>
          </w:tcPr>
          <w:p>
            <w:pPr>
              <w:spacing w:after="0"/>
              <w:rPr>
                <w:sz w:val="14"/>
                <w:szCs w:val="14"/>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1,969,452</w:t>
            </w:r>
          </w:p>
        </w:tc>
        <w:tc>
          <w:tcPr>
            <w:tcW w:w="0" w:type="dxa"/>
            <w:vAlign w:val="bottom"/>
          </w:tcPr>
          <w:p>
            <w:pPr>
              <w:spacing w:after="0"/>
              <w:rPr>
                <w:sz w:val="1"/>
                <w:szCs w:val="1"/>
                <w:color w:val="auto"/>
              </w:rPr>
            </w:pPr>
          </w:p>
        </w:tc>
      </w:tr>
      <w:tr>
        <w:trPr>
          <w:trHeight w:val="65"/>
        </w:trPr>
        <w:tc>
          <w:tcPr>
            <w:tcW w:w="3700" w:type="dxa"/>
            <w:vAlign w:val="bottom"/>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83"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right="2040" w:hanging="323"/>
        <w:spacing w:after="0" w:line="402" w:lineRule="auto"/>
        <w:rPr>
          <w:sz w:val="20"/>
          <w:szCs w:val="20"/>
          <w:color w:val="auto"/>
        </w:rPr>
      </w:pPr>
      <w:r>
        <w:rPr>
          <w:rFonts w:ascii="Arial" w:cs="Arial" w:eastAsia="Arial" w:hAnsi="Arial"/>
          <w:sz w:val="14"/>
          <w:szCs w:val="14"/>
          <w:color w:val="auto"/>
        </w:rPr>
        <w:t>Adjustments to reconcile net income to net cash provided by operating activities Unrealized loss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Prepayment premium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 provision (benefit)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loss (gain) on asset sales and inventory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 and other current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borrowings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San Mateo Credit Facility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enter into or amend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San Mateo I</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non-controlling interest of less-than-wholly-owned subsidiary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under financing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year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year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3069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00" w:type="dxa"/>
            <w:vAlign w:val="bottom"/>
          </w:tcPr>
          <w:p>
            <w:pPr>
              <w:jc w:val="right"/>
              <w:ind w:right="328"/>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8"/>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08"/>
              <w:spacing w:after="0"/>
              <w:rPr>
                <w:sz w:val="20"/>
                <w:szCs w:val="20"/>
                <w:color w:val="auto"/>
              </w:rPr>
            </w:pPr>
            <w:r>
              <w:rPr>
                <w:rFonts w:ascii="Arial" w:cs="Arial" w:eastAsia="Arial" w:hAnsi="Arial"/>
                <w:sz w:val="18"/>
                <w:szCs w:val="18"/>
                <w:b w:val="1"/>
                <w:bCs w:val="1"/>
                <w:color w:val="auto"/>
              </w:rPr>
              <w:t>2017</w:t>
            </w:r>
          </w:p>
        </w:tc>
      </w:tr>
      <w:tr>
        <w:trPr>
          <w:trHeight w:val="27"/>
        </w:trPr>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22"/>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122,982</w:t>
            </w:r>
          </w:p>
        </w:tc>
        <w:tc>
          <w:tcPr>
            <w:tcW w:w="14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299,764</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138,007</w:t>
            </w:r>
          </w:p>
        </w:tc>
      </w:tr>
      <w:tr>
        <w:trPr>
          <w:trHeight w:val="540"/>
        </w:trPr>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53,727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(65,085)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(9,715)</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350,540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265,142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177,502</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1,822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18,505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17,200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16,654</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31,226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35,532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2,484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468</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967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(43,261)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(4,934)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(82,549)</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4,777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(3,623)</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(4,844)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(6,425)</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(19,004)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68,647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33,559</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20,417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37,370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3,869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1,089</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2,851</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552,042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608,523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299,125</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(730,161)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(1,357,802)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(699,445)</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(192,035)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(163,222)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(115,128)</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(5,688)</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21,921</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8,333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977</w:t>
            </w:r>
          </w:p>
        </w:tc>
      </w:tr>
      <w:tr>
        <w:trPr>
          <w:trHeight w:val="244"/>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(903,976)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(1,515,253)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(819,284)</w:t>
            </w:r>
          </w:p>
        </w:tc>
      </w:tr>
      <w:tr>
        <w:trPr>
          <w:trHeight w:val="540"/>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(35,000)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68,000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1,051,500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(605,780)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208,720</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2,920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171,500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77,330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85,750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44,100</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(39,200)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(121,520)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(10,045)</w:t>
            </w:r>
          </w:p>
        </w:tc>
      </w:tr>
      <w:tr>
        <w:trPr>
          <w:trHeight w:val="270"/>
        </w:trPr>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(3,691)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(5,763)</w:t>
            </w:r>
          </w:p>
        </w:tc>
      </w:tr>
      <w:tr>
        <w:trPr>
          <w:trHeight w:val="270"/>
        </w:trPr>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(2,653)</w:t>
            </w:r>
          </w:p>
        </w:tc>
      </w:tr>
      <w:tr>
        <w:trPr>
          <w:trHeight w:val="276"/>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333,078</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888,232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408,499</w:t>
            </w:r>
          </w:p>
        </w:tc>
      </w:tr>
      <w:tr>
        <w:trPr>
          <w:trHeight w:val="244"/>
        </w:trPr>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(18,856)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(111,660)</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83,984</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102,482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214,142</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65,128</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83,984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102,482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Supplemental disclosures of cash flow information (Note 15)</w:t>
      </w:r>
    </w:p>
    <w:p>
      <w:pPr>
        <w:spacing w:after="0" w:line="171"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1" w:right="239" w:bottom="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8"/>
          <w:szCs w:val="18"/>
          <w:i w:val="1"/>
          <w:iCs w:val="1"/>
          <w:color w:val="auto"/>
        </w:rPr>
        <w:t>Consolidation (Topic 810)</w:t>
      </w:r>
      <w:r>
        <w:rPr>
          <w:rFonts w:ascii="Arial" w:cs="Arial" w:eastAsia="Arial" w:hAnsi="Arial"/>
          <w:sz w:val="18"/>
          <w:szCs w:val="18"/>
          <w:color w:val="auto"/>
        </w:rPr>
        <w:t>. The Company proportionately consolidates certain joint ventures that are less-than-wholly-owned and are involved in oil and natural gas exploration. All intercompany balances and transactions have been eliminated in consolidation.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purchase price allocations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w:t>
      </w:r>
    </w:p>
    <w:p>
      <w:pPr>
        <w:spacing w:after="0" w:line="117"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During the first quarter of 2019, the Company adopted Accounting Standards Update (“ASU”) 2016-02,</w:t>
      </w:r>
      <w:r>
        <w:rPr>
          <w:rFonts w:ascii="Arial" w:cs="Arial" w:eastAsia="Arial" w:hAnsi="Arial"/>
          <w:sz w:val="17"/>
          <w:szCs w:val="17"/>
          <w:i w:val="1"/>
          <w:iCs w:val="1"/>
          <w:color w:val="auto"/>
        </w:rPr>
        <w:t xml:space="preserve"> Leases (Topic 842)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amendments provided for in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 the recognition of lease assets and lease liabilities by lessees for those leases classified as operating leases under previous U.S. GAAP using a modified retrospective approach. The modified retrospective approach includes a number of optional practical expedients that the Company chose to apply. These practical expedients relate to (i) the identification and classification of leases that commenced before the effective date, (ii) the treatment of initial direct costs for leases that commenced before the effective date, (iii) the ability to use hindsight in evaluating lessee options to extend or terminate a lease or to purchase the underlying asset and (iv) the ability to initially apply the new lease standard at the adoption date. During the first quarter of 2019, the Company also adopted ASU 2018-01,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a land easement practical expedient, and, as a result, the Company began evaluating land easements that are entered into or modified after December 31, 2018. See Note 4 for additional disclosures related to leases.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The adoption of these ASUs resulted in the Company recording in the consolidated balance sheet beginning January 1, 2019 certain of the Company’s compressor leases, drilling rig leases and office leases, which were previously considered operating leases and not reported on the Company’s consolidated balance sheets. As such, upon adoption, the Company recorded (i) long-term right of use assets of $62.3 million, which are included in “Other assets” and “Other property and equipment,” and (ii) net right of use liabilities of $62.3 million, which are included in “Other current liabilities” and “Other long-term liabilities.” There was no cumulative-effect adjustment to the opening balance of accumulated deficit as a result of the adoption of these ASUs.</w:t>
      </w:r>
    </w:p>
    <w:p>
      <w:pPr>
        <w:spacing w:after="0" w:line="5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During the first quarter of 2019, the Company also adopted ASU 2018-07,</w:t>
      </w:r>
      <w:r>
        <w:rPr>
          <w:rFonts w:ascii="Arial" w:cs="Arial" w:eastAsia="Arial" w:hAnsi="Arial"/>
          <w:sz w:val="16"/>
          <w:szCs w:val="16"/>
          <w:i w:val="1"/>
          <w:iCs w:val="1"/>
          <w:color w:val="auto"/>
        </w:rPr>
        <w:t xml:space="preserve"> Compensation - Stock Compensation (Topic 718): Improvements to Nonemployee Share-Based Payment Accounting</w:t>
      </w:r>
      <w:r>
        <w:rPr>
          <w:rFonts w:ascii="Arial" w:cs="Arial" w:eastAsia="Arial" w:hAnsi="Arial"/>
          <w:sz w:val="16"/>
          <w:szCs w:val="16"/>
          <w:color w:val="auto"/>
        </w:rPr>
        <w:t>, which extends the scope of Topic 718 to include share-based payment transactions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acquisition of goods and services from nonemployees. Previously, the Company accounted for stock-based awards to special advisors and contractors under ASC 505-50 as liability instruments, and the fair value of the awards was recalculated each reporting period. Upon adoption, all such awards are now measured at fair value on the grant date, and the resulting expense is recognized on a straight-line basis over the awards’ vesting periods. The transitional guidance requires entities to remeasure all unvested awards that are being accounted for under ASC 505-50 as liability instruments as of the beginning of the year in which this ASU is adopted. Adoption of this ASU did not have a material impact on the Company’s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17"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sells its operated oil, natural gas and natural gas liquid (“NGL”) production to various purchasers (See “Revenues” below.) In addition, the Company may participate with industry partners in the drilling, completion and operation of oil and natural gas wells. Substantially all of the Company’s accounts receivable are due from either purchasers of oil, natural gas and NGLs or participants in oil and natural gas wells for which the Company serves as the operator. Accounts receivable are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8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reviews its need for an allowance for doubtful accounts on a periodic basis and determines the allowance, if any, by considering the length of time past due, previous loss history, future net revenues of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7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For the year ended December 31, 2019, two significant purchasers accounted for 67% of the Company’s total oil, natural gas and NGL revenues: Plains Marketing, L.P. (53%) and BP America Production Company (14%). For the year ended December 31, 2018, four significant purchasers accounted for 60% of the Company’s total oil, natural gas and NGL revenues: Plains Marketing, L.P. (19%), BP America Production Company (15%), Occidental Energy Marketing, Inc. (14%) and Western Refining Crude Oil (12%). For the year ended December 31, 2017, four significant purchasers accounted for 60% of the Company’s total oil, natural gas and NGL revenues: Occidental Energy Marketing, Inc. (23%), Plains Marketing, L.P. (14%), Shell Trading (US) Company (12%) and Western Refining Crude Oil (11%). If the Company lost one or more of these significant purchasers and were unable to sell its production to other purchasers on terms it considers acceptable, it could materially and adversely affect the Company’s business, financial condition, results of operations and cash flows. At December 31, 2019, 2018 and 2017, approximately 31%, 34% and 43%, respectively, of the Company’s accounts receivable, including joint interest billings, related to these purchasers.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and Well Equipment Inventory</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Lease and well equipment inventory is stated at the lower of cost or market and consists entirely of materials or equipment scheduled for use in future well or midstream operations.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121"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 and Natural Gas Properties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uses the full-cost method of accounting for its investments in oil and natural gas properties. Under this method, all costs associated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exploration and development of oil and natural gas properties and reserves, including unproved and unevaluated property costs,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capitalized as incurred and accumulated in a single cost center representing the Company’s activities, which are undertaken exclusively in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costs include lease acquisition costs, geological and geophysical expenditures, lease rentals on undeveloped properties, costs of drilling both productive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non-productive wells, capitalized interest on qualifying projects and general and administrative expenses directly related to acquisition, exploration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activities, but do not include any costs related to production, selling or general corporate administrative activities. The Company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$31.1 million, $28.3 million and $23.1 million of its general and administrative costs into oil and natural gas properties in 2019, 2018 and 2017,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capitalized $7.6 million, $8.8 million and $7.3 million of its interest expense into oil and natural gas properties for the years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2019, 2018 and 2017, respectively.</w:t>
      </w:r>
    </w:p>
    <w:p>
      <w:pPr>
        <w:spacing w:after="0" w:line="10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Capitalized costs of oil and natural gas properties are amortized using the unit-of-production method based upon production and estimates of proved reserves quantities. For the years ended December 31, 2019, 2018 and 2017, the Company recorded depletion expense of $330.7 million, $251.8 million and $170.3 million, respectively.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spacing w:after="0" w:line="59"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Ceiling Test</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62" w:lineRule="exact"/>
        <w:rPr>
          <w:sz w:val="20"/>
          <w:szCs w:val="20"/>
          <w:color w:val="auto"/>
        </w:rPr>
      </w:pPr>
    </w:p>
    <w:p>
      <w:pPr>
        <w:ind w:right="340" w:firstLine="440"/>
        <w:spacing w:after="0" w:line="277" w:lineRule="auto"/>
        <w:tabs>
          <w:tab w:leader="none" w:pos="6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62" w:lineRule="exact"/>
        <w:rPr>
          <w:rFonts w:ascii="Arial" w:cs="Arial" w:eastAsia="Arial" w:hAnsi="Arial"/>
          <w:sz w:val="18"/>
          <w:szCs w:val="18"/>
          <w:color w:val="auto"/>
        </w:rPr>
      </w:pPr>
    </w:p>
    <w:p>
      <w:pPr>
        <w:ind w:left="700" w:hanging="26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17" w:lineRule="exact"/>
        <w:rPr>
          <w:rFonts w:ascii="Arial" w:cs="Arial" w:eastAsia="Arial" w:hAnsi="Arial"/>
          <w:sz w:val="18"/>
          <w:szCs w:val="18"/>
          <w:color w:val="auto"/>
        </w:rPr>
      </w:pPr>
    </w:p>
    <w:p>
      <w:pPr>
        <w:ind w:left="680" w:hanging="24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17" w:lineRule="exact"/>
        <w:rPr>
          <w:rFonts w:ascii="Arial" w:cs="Arial" w:eastAsia="Arial" w:hAnsi="Arial"/>
          <w:sz w:val="18"/>
          <w:szCs w:val="18"/>
          <w:color w:val="auto"/>
        </w:rPr>
      </w:pPr>
    </w:p>
    <w:p>
      <w:pPr>
        <w:ind w:left="700" w:hanging="26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11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pacing w:after="0" w:line="7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estimated present value of after-tax future net cash flows from proved oil and natural gas reserves is highly dependent upon the quantities of proved reserves, the estimation of which requires substantial judgment. The associated commodity prices and the applicable discount rate used in these estimates are in accordance with guidelines established by the SEC. Under these guidelines, oil and natural gas reserves are estimated using then-current operating and economic conditions, with no provision for price and cost changes in future periods except by contractual arrangements. Future net revenues are calculated using prices that represent the arithmetic averages of the first-day-of-the-month oil and natural gas prices for the previous 12-month period, and a 10% discount factor is used to determine the present value of future net revenues. For the period from January through December 2019, these average oil and natural gas prices were $52.19 per Bbl and $2.58 per MMBtu, respectively. For the period from January through December 2018, these average oil and natural gas prices were $62.04 per Bbl and $3.10 per MMBtu, respectively. For the period from January through December 2017, these average oil and natural gas prices were $47.79 per Bbl and $2.98 per MMBtu, respectively. In estimating the present value of after-tax future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1"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cash flows from proved oil and natural gas reserves, the average oil prices were further adjusted by property for quality, transportation and marketing fees and regional price differentials, and the average natural gas prices were further adjusted by property for energy content, transportation and marketing fees and regional price differentials.</w:t>
      </w:r>
    </w:p>
    <w:p>
      <w:pPr>
        <w:spacing w:after="0" w:line="73"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During the years ended December 31, 2019, 2018 and 2017, the Company’s full-cost ceiling exceeded the net capitalized costs less related deferred income taxes. As a result, the Company recorded no impairment to its net capitalized costs during the years ended December 31, 2019, 2018 and 2017.</w:t>
      </w:r>
    </w:p>
    <w:p>
      <w:pPr>
        <w:spacing w:after="0" w:line="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a non-cash item, the full-cost ceiling impairment impacts the accumulated depletion and the net carrying value of the Company’s assets on its consolidated balance sheets, as well as the corresponding shareholders’ equity, but it has no impact on the Company’s net cash flows as reported. Changes in oil and natural gas production rates, oil and natural gas prices, reserves estimates, future development costs and other factors will determine the Company’s actual ceiling test computation and impairment analyses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Midstream Properties and Other Property and Equipment</w:t>
      </w:r>
    </w:p>
    <w:p>
      <w:pPr>
        <w:spacing w:after="0" w:line="117"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Midstream properties and other property and equipment are recorded at historical cost and include midstream equipment and facilities, including the Company’s pipelines, processing facilities and salt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 30 years) using the straight-line method. The Company capitalized $1.8 million and $1.6 million of general and administrative costs into midstream properties in 2019 and 2018, respectively. The Company did not capitalize any general and administrative costs into midstream properties in 2017. The Company capitalized $0.9 million of interest expense into midstream properties for the year ended December 31, 2019. The Company did not capitalize any interest expense into midstream properties for the years ended December 31, 2018 and 2017. Maintenance and repair costs that do not extend the useful life of the property or equipment are expensed as incurred. See Note 3 for a detail of midstream properties and other property and equipment.</w:t>
      </w:r>
    </w:p>
    <w:p>
      <w:pPr>
        <w:spacing w:after="0" w:line="7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Gains and losses associated with the disposition of midstream properties and other property and equipment are recognized as a component of other income (expense) in the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 recognizes the fair value of an asset retirement obligation in the period in which it is incurred if a reasonable estimate of fair value can be made. The asset retirement obligation is recorded as a liability at 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Financial Instruments</w:t>
      </w:r>
    </w:p>
    <w:p>
      <w:pPr>
        <w:spacing w:after="0" w:line="11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From time to time, the Company uses derivative financial instruments to mitigate its exposure to commodity price risk associated with oil, natural gas and NGL prices. The Company’s derivative financial instruments are recorded on the consolidated balance sheets as either an asset or a liability measured at fair value. The Company has elected not to apply hedge accounting for its existing derivative financial instruments, and as a result, the Company recognizes the change in derivative fair value between reporting periods currently in its consolidated statements of operations.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Realized gains and losses from the settlement of derivative financial instruments and unrealized gains and unrealized losses from valuation changes in the remaining unsettled derivative financial instruments are reported as a component of revenues in the consolidated statements of operations. See Note 12 for additional information about the Company’s derivative instruments.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enters into contracts with customers to sell its oil and natural gas production. Revenue from these contracts is recognized in accordance with the five-step revenue recognition model prescribed in ASC 606,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Specifically, revenue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oil and natural gas marketing contracts is typically received from the purchaser one to two months after production.</w:t>
      </w:r>
    </w:p>
    <w:p>
      <w:pPr>
        <w:spacing w:after="0" w:line="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majority of the Company’s oil marketing contracts transfer physical custody and title at or near the wellhead, which is generally when control of the oil has been transferred to the purchaser. The majority of the oil produced is sold under contracts using market-based pricing, which price is then adjusted for differentials based upon delivery location and oil quality. To the extent the differentials are incurred at or after the transfer of control of the oil, the differentials are included in oil revenues on the statements of operations, as they represent part of the transaction price of the contract. If the differentials, or other related costs, are incurred prior to the transfer of control of the oil, those costs are included in production taxes, transportation and processing expenses on the Company’s consolidated statements of operations, as they represent payment for services performed outside of the contract with the customer.</w:t>
      </w:r>
    </w:p>
    <w:p>
      <w:pPr>
        <w:spacing w:after="0" w:line="5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 of those services, revenue is recognized on a gross basis, and the related costs are included in production taxes, transportation and processing expenses on the Company’s consolidated statements of operations.</w:t>
      </w:r>
    </w:p>
    <w:p>
      <w:pPr>
        <w:spacing w:after="0" w:line="5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5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Company periodically enters into natural gas purchase transactions with third parties whereby the Company processes the third party’s natural gas at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operations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5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1"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years ended December 31, 2019 and 2018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4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r>
      <w:tr>
        <w:trPr>
          <w:trHeight w:val="27"/>
        </w:trPr>
        <w:tc>
          <w:tcPr>
            <w:tcW w:w="7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1,026,204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829,691</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Lease bonus - mineral acreage</w:t>
            </w:r>
          </w:p>
        </w:tc>
        <w:tc>
          <w:tcPr>
            <w:tcW w:w="1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2,489</w:t>
            </w:r>
          </w:p>
        </w:tc>
      </w:tr>
      <w:tr>
        <w:trPr>
          <w:trHeight w:val="27"/>
        </w:trPr>
        <w:tc>
          <w:tcPr>
            <w:tcW w:w="7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 on derivatives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2,334</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Unrealized (loss) gain on derivatives</w:t>
            </w:r>
          </w:p>
        </w:tc>
        <w:tc>
          <w:tcPr>
            <w:tcW w:w="1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(53,727)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65,085</w:t>
            </w:r>
          </w:p>
        </w:tc>
      </w:tr>
      <w:tr>
        <w:trPr>
          <w:trHeight w:val="27"/>
        </w:trPr>
        <w:tc>
          <w:tcPr>
            <w:tcW w:w="7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983,670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899,599</w:t>
            </w:r>
          </w:p>
        </w:tc>
      </w:tr>
      <w:tr>
        <w:trPr>
          <w:trHeight w:val="20"/>
        </w:trPr>
        <w:tc>
          <w:tcPr>
            <w:tcW w:w="7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34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r>
      <w:tr>
        <w:trPr>
          <w:trHeight w:val="27"/>
        </w:trPr>
        <w:tc>
          <w:tcPr>
            <w:tcW w:w="7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revenues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635,554</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Natural gas revenues</w:t>
            </w:r>
          </w:p>
        </w:tc>
        <w:tc>
          <w:tcPr>
            <w:tcW w:w="1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132,514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165,146</w:t>
            </w:r>
          </w:p>
        </w:tc>
      </w:tr>
      <w:tr>
        <w:trPr>
          <w:trHeight w:val="27"/>
        </w:trPr>
        <w:tc>
          <w:tcPr>
            <w:tcW w:w="7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midstream services revenues</w:t>
            </w:r>
          </w:p>
        </w:tc>
        <w:tc>
          <w:tcPr>
            <w:tcW w:w="1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21,920</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74,769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7,071</w:t>
            </w:r>
          </w:p>
        </w:tc>
      </w:tr>
      <w:tr>
        <w:trPr>
          <w:trHeight w:val="27"/>
        </w:trPr>
        <w:tc>
          <w:tcPr>
            <w:tcW w:w="7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1,026,204</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829,691</w:t>
            </w:r>
          </w:p>
        </w:tc>
      </w:tr>
      <w:tr>
        <w:trPr>
          <w:trHeight w:val="20"/>
        </w:trPr>
        <w:tc>
          <w:tcPr>
            <w:tcW w:w="7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operations or capitalized in accordance with the Company’s policy on capitalizing general and administrative expenses for employees involved in acquisition, exploration and development activities. Awards that are expected to be settled in cash are liability-based awards, which are measured at fair value at each reporting date and are recognized on a straight-line basis over the awards’ vesting periods either as a component of general and administrative expenses in the consolidated statements of operations or capitalized in accordance with the Company’s policy on capitalizing general and administrative expenses for employees involved in acquisition, exploration and development activities. The Company accounts for all outstanding stock options granted under the Company’s 2003 Stock and Incentive Plan (the “2003 Plan”) as liability instruments as a result of the Company purchasing shares from certain of its employees to assist them in the exercise of outstanding options. As the stock options accounted for as liability-based awards are fully vested, changes in the fair value of the awards are recognized until the awards are settled as a component of general and administrative expenses in the consolidated statements of operations or capitalized in accordance with the Company’s policy on capitalizing general and administrative expenses for employees involved in acquisition, exploration and development activities. All such stock options that were outstanding as of December 31, 2019 were settled in the first quarter of 2020.</w:t>
      </w:r>
    </w:p>
    <w:p>
      <w:pPr>
        <w:spacing w:after="0" w:line="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uses the Black Scholes Merton option pricing model to measure the fair value of stock options and the Monte Carlo simulation method to measure the fair value of performance units. The closing price of Matador’s common stock on the grant date is used to measure the fair value of restricted stock and restricted stock unit awards granted under the 2003 Plan and the 2012 Long-Term Incentive Plan (as subsequently amended and restated, the “2012 Incentive Plan”), while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1"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closing price of Matador’s common stock on the trading day prior to the grant date is used to measure the fair value of restricted stock and restricted stock unit awards granted under the 2019 Long-Term Incentive Plan (the “2019 Incentive Plan”).</w:t>
      </w:r>
    </w:p>
    <w:p>
      <w:pPr>
        <w:spacing w:after="0" w:line="6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Company’s consolidated statements of operations for the years ended December 31, 2019, 2018 and 2017 include a stock-based compensation (non-cash) expense of $18.5 million, $17.2 million and $16.7 million, respectively. This stock-based compensation expense includes common stock issuances and restricted stock units expense totaling $1.4 million, $1.6 million and $3.0 million in 2019, 2018 and 2017, respectively, paid to independent members of the Board of Directors and advisors as compensation for their services to the Company. The Company’s consolidated statement of operations for the year ended December 31, 2019 also includes $3.2 million related to liability-based awards expected to be settled in cash.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w:t>
      </w:r>
    </w:p>
    <w:p>
      <w:pPr>
        <w:spacing w:after="0" w:line="7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Company recognizes the tax benefit of an uncertain tax position only if it is more likely than not that the tax position will be sustained upon examination by the taxing authorities based on the technical merits of the position. For tax positions meeting the more likely than not threshold, the amount recognized in the financial statements is the benefit that has a greater than 50% likelihood of being realized upon ultimate settlement with the relevant tax authority. At December 31, 2019, 2018 and 2017, the Company had not established any reserves for, nor recorded any unrecognized tax benefits related to, uncertain tax positions.</w:t>
      </w:r>
    </w:p>
    <w:p>
      <w:pPr>
        <w:spacing w:after="0" w:line="80"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When necessary, the Company would include interest assessed by taxing authorities in “Interest expense” and penalties related to income taxes in “Other expense” on its consolidated statements of operations. The Company did not record any interest or penalties related to income taxes for the years ended December 31, 2019, 2018 and 2017.</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legislation significantly changed U.S. tax law by, among other things, lowering corporate income tax rates, implementing a territorial tax system and imposing a repatriation tax on deemed repatriated earnings of foreign subsidiaries. The Tax Cuts and Jobs Act reduced the U.S. corporate income tax rate from a maximum of 35% to a flat rate of 21% effective January 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Allocation of Purchase Price in Business Combinations</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part of the Company’s business strategy, it periodically pursues the acquisition of oil and natural gas properties. The purchase price in a business combination is allocated to the assets acquired and liabilities assumed based on their fair values as of the acquisition date, which may occur many months after the announcement date. Therefore, while the consideration to be paid may be fixed, the fair value of the assets acquired and liabilities assumed is subject to change during the period between the announcement date and the acquisition date. The most significant estimates in the allocation typically relate to the value assigned to proved oil and natural gas reserves and unproved and unevaluated properties. As the allocation of the purchase price is subject to significant estimates and subjective judgments, the accuracy of this assessment is inherently uncertain.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3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are reconciliations of the numerators and denominators used to compute the Company’s basic and diluted earnings per common share as reported for the years ended December 31, 2019, 2018 and 2017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Matador Resources Company shareholders — numerator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274,207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125,867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 — 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102,029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Dilutive effect of options and restricted stock units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102,543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Matador Resources Company shareholders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A total of 2.6 million, 1.6 million and 1.0 million options to purchase shares of Matador’s common stock were excluded from the diluted weighted average common shares outstanding for the years ended December 31, 2019, 2018 and 2017, respectively, because their effects were anti-dilutive.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131"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7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all of the Company’s commodity derivative contracts at December 31, 2019 were with The Bank of Nova Scotia and BMO Harris Financing, Inc. (Bank of Montreal) (or affiliates thereof), parties that are lenders (or affiliates thereof) under the Company’s revolving credit agreement.</w:t>
      </w:r>
    </w:p>
    <w:p>
      <w:pPr>
        <w:spacing w:after="0" w:line="80"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2019, the Financial Accounting Standards Board issued ASU 2019-12,</w:t>
      </w:r>
      <w:r>
        <w:rPr>
          <w:rFonts w:ascii="Arial" w:cs="Arial" w:eastAsia="Arial" w:hAnsi="Arial"/>
          <w:sz w:val="18"/>
          <w:szCs w:val="18"/>
          <w:i w:val="1"/>
          <w:iCs w:val="1"/>
          <w:color w:val="auto"/>
        </w:rPr>
        <w:t xml:space="preserve"> Income Taxes (Topic 740): Simplifying the Accounting for Income Taxes</w:t>
      </w:r>
      <w:r>
        <w:rPr>
          <w:rFonts w:ascii="Arial" w:cs="Arial" w:eastAsia="Arial" w:hAnsi="Arial"/>
          <w:sz w:val="18"/>
          <w:szCs w:val="18"/>
          <w:color w:val="auto"/>
        </w:rPr>
        <w:t>, which removes certain exceptions to the general principles in Topic 740 and provides clarifications related to franchise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with a government that result in a step-up in the tax basis of goodwill, allocation of current and deferred income tax expense and the annual effective tax rate. This ASU is effective January 1, 2021, and its adoption is not expected to have a material impact on the Company’s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 summary of the Company’s property and equipment balances as of December 31, 2019 and 2018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Evaluated (subject to amortization)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4,557,265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3,780,236</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and unevaluated (not subject to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1,126,992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1,199,511</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oil and natural gas properties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5,684,257</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4,979,747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depletion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(2,603,681)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(2,273,010)</w:t>
            </w:r>
          </w:p>
        </w:tc>
      </w:tr>
      <w:tr>
        <w:trPr>
          <w:trHeight w:val="237"/>
        </w:trPr>
        <w:tc>
          <w:tcPr>
            <w:tcW w:w="7640" w:type="dxa"/>
            <w:vAlign w:val="bottom"/>
          </w:tcPr>
          <w:p>
            <w:pPr>
              <w:ind w:left="920"/>
              <w:spacing w:after="0"/>
              <w:rPr>
                <w:sz w:val="20"/>
                <w:szCs w:val="20"/>
                <w:color w:val="auto"/>
              </w:rPr>
            </w:pPr>
            <w:r>
              <w:rPr>
                <w:rFonts w:ascii="Arial" w:cs="Arial" w:eastAsia="Arial" w:hAnsi="Arial"/>
                <w:sz w:val="18"/>
                <w:szCs w:val="18"/>
                <w:color w:val="auto"/>
              </w:rPr>
              <w:t>Net oil and natural gas properties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3,080,576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2,706,737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properties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Midstream equipment and facilities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643,903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428,025</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(24,351)</w:t>
            </w:r>
          </w:p>
        </w:tc>
      </w:tr>
      <w:tr>
        <w:trPr>
          <w:trHeight w:val="237"/>
        </w:trPr>
        <w:tc>
          <w:tcPr>
            <w:tcW w:w="7640" w:type="dxa"/>
            <w:vAlign w:val="bottom"/>
          </w:tcPr>
          <w:p>
            <w:pPr>
              <w:ind w:left="920"/>
              <w:spacing w:after="0"/>
              <w:rPr>
                <w:sz w:val="20"/>
                <w:szCs w:val="20"/>
                <w:color w:val="auto"/>
              </w:rPr>
            </w:pPr>
            <w:r>
              <w:rPr>
                <w:rFonts w:ascii="Arial" w:cs="Arial" w:eastAsia="Arial" w:hAnsi="Arial"/>
                <w:sz w:val="18"/>
                <w:szCs w:val="18"/>
                <w:color w:val="auto"/>
              </w:rPr>
              <w:t>Net midstream properties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605,430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403,674</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Furniture, fixtures and other equipment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7,047</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8,039</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6,955</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22,041</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other 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12,453</w:t>
            </w:r>
          </w:p>
        </w:tc>
      </w:tr>
      <w:tr>
        <w:trPr>
          <w:trHeight w:val="243"/>
        </w:trPr>
        <w:tc>
          <w:tcPr>
            <w:tcW w:w="7640" w:type="dxa"/>
            <w:vAlign w:val="bottom"/>
          </w:tcPr>
          <w:p>
            <w:pPr>
              <w:ind w:left="1140"/>
              <w:spacing w:after="0"/>
              <w:rPr>
                <w:sz w:val="20"/>
                <w:szCs w:val="20"/>
                <w:color w:val="auto"/>
              </w:rPr>
            </w:pPr>
            <w:r>
              <w:rPr>
                <w:rFonts w:ascii="Arial" w:cs="Arial" w:eastAsia="Arial" w:hAnsi="Arial"/>
                <w:sz w:val="18"/>
                <w:szCs w:val="18"/>
                <w:color w:val="auto"/>
              </w:rPr>
              <w:t>Net property and equipment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3,699,595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3,122,864</w:t>
            </w: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41"/>
        <w:spacing w:after="0" w:line="293" w:lineRule="auto"/>
        <w:rPr>
          <w:sz w:val="20"/>
          <w:szCs w:val="20"/>
          <w:color w:val="auto"/>
        </w:rPr>
      </w:pPr>
      <w:r>
        <w:rPr>
          <w:rFonts w:ascii="Arial" w:cs="Arial" w:eastAsia="Arial" w:hAnsi="Arial"/>
          <w:sz w:val="18"/>
          <w:szCs w:val="18"/>
          <w:color w:val="auto"/>
        </w:rPr>
        <w:t>The following table provides a breakdown of the Company’s unproved and unevaluated property costs not subject to amortization as of December 31, 2019 and the year in which these costs were incurred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2016 and prior</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incurred for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Property acquisition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43,795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556,415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204,425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258,296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1,062,931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Exploration wells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11,698</w:t>
            </w: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Development wells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52,363</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556,735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1,126,992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Property acquisition costs primarily include leasehold costs paid to secure oil and natural gas mineral leases,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8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Property acquisition costs incurred that remain in unproved and unevaluated property at December 31, 2019 are related to the Company’s leasehold and mineral acquisitions in the Wolfcamp and Bone Spring plays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spacing w:after="0" w:line="5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On September 12, 2018, the Company announced the successful acquisition of 8,400 gross and net leasehold acres in Lea and Eddy Counties, New Mexico for approximately $387 million in the Bureau of Land Management New Mexico Oil and Gas</w:t>
      </w:r>
    </w:p>
    <w:p>
      <w:pPr>
        <w:sectPr>
          <w:pgSz w:w="11900" w:h="16838" w:orient="portrait"/>
          <w:cols w:equalWidth="0" w:num="1">
            <w:col w:w="11400"/>
          </w:cols>
          <w:pgMar w:left="240" w:top="121"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00"/>
          </w:cols>
          <w:pgMar w:left="240" w:top="121" w:right="2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 Continued</w:t>
      </w:r>
    </w:p>
    <w:p>
      <w:pPr>
        <w:spacing w:after="0" w:line="200" w:lineRule="exact"/>
        <w:rPr>
          <w:sz w:val="20"/>
          <w:szCs w:val="20"/>
          <w:color w:val="auto"/>
        </w:rPr>
      </w:pPr>
    </w:p>
    <w:p>
      <w:pPr>
        <w:spacing w:after="0" w:line="3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Lease Sale on September 5 and 6, 2018 (the “BLM Acquisition”). The BLM Acquisition was responsible for a significant portion of the Company’s property acquisition costs in 2018.</w:t>
      </w:r>
    </w:p>
    <w:p>
      <w:pPr>
        <w:spacing w:after="0" w:line="6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Costs excluded from amortization also include those costs associated with exploration and development wells in progress or awaiting completion at year-end. These costs are transferred into the amortization base on an ongoing basis as these wells are completed and proved reserves are established or confirmed. These costs totaled $64.1 million at December 31, 2019. Of this total, $11.7 million was associated with exploration wells and $52.4 million was associated with development wells. The Company anticipates that most of the $64.1 million associated with these wells in progress at December 31, 2019 will be transferred to the amortization base during 2020. Unproved and unevaluated property costs for exploration and development wells incurred from 2016 through 2018 are costs related to the advanced preparation for wells that we intend to drill in the future.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ind w:right="160" w:firstLine="432"/>
        <w:spacing w:after="0" w:line="269" w:lineRule="auto"/>
        <w:rPr>
          <w:sz w:val="20"/>
          <w:szCs w:val="20"/>
          <w:color w:val="auto"/>
        </w:rPr>
      </w:pPr>
      <w:r>
        <w:rPr>
          <w:rFonts w:ascii="Arial" w:cs="Arial" w:eastAsia="Arial" w:hAnsi="Arial"/>
          <w:sz w:val="17"/>
          <w:szCs w:val="17"/>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 used for the year ended December 31, 2019 was 3.52% and 3.70%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 — Continued</w:t>
      </w:r>
    </w:p>
    <w:p>
      <w:pPr>
        <w:spacing w:after="0" w:line="200" w:lineRule="exact"/>
        <w:rPr>
          <w:sz w:val="20"/>
          <w:szCs w:val="20"/>
          <w:color w:val="auto"/>
        </w:rPr>
      </w:pPr>
    </w:p>
    <w:p>
      <w:pPr>
        <w:spacing w:after="0" w:line="35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following table presents supplemental consolidated statement of operations information related to lease expenses, on a gross basis, for the year ended December 31, 2019 (in thousands). Lease payments represent gross payments to vendors, which, for certain of our operating assets, are partially offset by amounts received from other working interest owners in our operated wells.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Lease operating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and other midstream services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340" w:type="dxa"/>
            <w:vAlign w:val="bottom"/>
            <w:shd w:val="clear" w:color="auto" w:fill="CCEEFF"/>
          </w:tcPr>
          <w:p>
            <w:pPr>
              <w:ind w:left="480"/>
              <w:spacing w:after="0" w:line="264" w:lineRule="exact"/>
              <w:rPr>
                <w:sz w:val="20"/>
                <w:szCs w:val="20"/>
                <w:color w:val="auto"/>
              </w:rPr>
            </w:pPr>
            <w:r>
              <w:rPr>
                <w:rFonts w:ascii="Arial" w:cs="Arial" w:eastAsia="Arial" w:hAnsi="Arial"/>
                <w:sz w:val="18"/>
                <w:szCs w:val="18"/>
                <w:color w:val="auto"/>
              </w:rPr>
              <w:t>Total operating leases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Short-term leases</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operating</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Plant and other midstream services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340" w:type="dxa"/>
            <w:vAlign w:val="bottom"/>
          </w:tcPr>
          <w:p>
            <w:pPr>
              <w:ind w:left="480"/>
              <w:spacing w:after="0" w:line="264" w:lineRule="exact"/>
              <w:rPr>
                <w:sz w:val="20"/>
                <w:szCs w:val="20"/>
                <w:color w:val="auto"/>
              </w:rPr>
            </w:pPr>
            <w:r>
              <w:rPr>
                <w:rFonts w:ascii="Arial" w:cs="Arial" w:eastAsia="Arial" w:hAnsi="Arial"/>
                <w:sz w:val="18"/>
                <w:szCs w:val="18"/>
                <w:color w:val="auto"/>
              </w:rPr>
              <w:t>Total short-term leases</w:t>
            </w:r>
            <w:r>
              <w:rPr>
                <w:rFonts w:ascii="Arial" w:cs="Arial" w:eastAsia="Arial" w:hAnsi="Arial"/>
                <w:sz w:val="25"/>
                <w:szCs w:val="25"/>
                <w:color w:val="auto"/>
                <w:vertAlign w:val="superscript"/>
              </w:rPr>
              <w:t>(2)(3)</w:t>
            </w:r>
          </w:p>
        </w:tc>
        <w:tc>
          <w:tcPr>
            <w:tcW w:w="22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Depreciation of assets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ind w:left="480"/>
              <w:spacing w:after="0"/>
              <w:rPr>
                <w:sz w:val="20"/>
                <w:szCs w:val="20"/>
                <w:color w:val="auto"/>
              </w:rPr>
            </w:pPr>
            <w:r>
              <w:rPr>
                <w:rFonts w:ascii="Arial" w:cs="Arial" w:eastAsia="Arial" w:hAnsi="Arial"/>
                <w:sz w:val="18"/>
                <w:szCs w:val="18"/>
                <w:color w:val="auto"/>
              </w:rPr>
              <w:t>Total financing leases</w:t>
            </w: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lease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31,757</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jc w:val="right"/>
              <w:ind w:right="7370"/>
              <w:spacing w:after="0"/>
              <w:rPr>
                <w:sz w:val="20"/>
                <w:szCs w:val="20"/>
                <w:color w:val="auto"/>
              </w:rPr>
            </w:pPr>
            <w:r>
              <w:rPr>
                <w:rFonts w:ascii="Arial" w:cs="Arial" w:eastAsia="Arial" w:hAnsi="Arial"/>
                <w:sz w:val="18"/>
                <w:szCs w:val="18"/>
                <w:color w:val="auto"/>
                <w:w w:val="89"/>
              </w:rPr>
              <w:t>_____________________</w:t>
            </w: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Does not include gross payments related to drilling rig leases of $28.1 million for the year ended December 31, 2019 that were capitalized and recorded in “Oil and natural gas properties, full-cost method” in the consolidated balance sheet at December 31, 2019.</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costs are related to leases that are not recorded as right of use assets or lease liabilities in the consolidated balance sheet as they are short-term leases.</w:t>
      </w:r>
    </w:p>
    <w:p>
      <w:pPr>
        <w:spacing w:after="0" w:line="109" w:lineRule="exact"/>
        <w:rPr>
          <w:rFonts w:ascii="Arial" w:cs="Arial" w:eastAsia="Arial" w:hAnsi="Arial"/>
          <w:sz w:val="14"/>
          <w:szCs w:val="14"/>
          <w:color w:val="auto"/>
        </w:rPr>
      </w:pPr>
    </w:p>
    <w:p>
      <w:pPr>
        <w:ind w:left="340" w:right="60" w:hanging="332"/>
        <w:spacing w:after="0" w:line="273"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Does not include gross payments related to short-term drilling rig leases and other equipment rentals of $90.3 million for the year ended December 31, 2019 that were capitalized and recorded in “Oil and natural gas properties, full-cost method” in the consolidated balance sheet at December 31, 2019.</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presents supplemental consolidated balance sheet information related to leases as of December 31, 2019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1"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40" w:type="dxa"/>
            <w:vAlign w:val="bottom"/>
          </w:tcPr>
          <w:p>
            <w:pPr>
              <w:jc w:val="center"/>
              <w:ind w:left="1950"/>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934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December 31, 2019, 2018 and 2017</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NOTE 4 — LEASES — Continued</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10"/>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2019</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304"/>
        </w:trPr>
        <w:tc>
          <w:tcPr>
            <w:tcW w:w="20" w:type="dxa"/>
            <w:vAlign w:val="bottom"/>
          </w:tcPr>
          <w:p>
            <w:pPr>
              <w:spacing w:after="0"/>
              <w:rPr>
                <w:sz w:val="24"/>
                <w:szCs w:val="24"/>
                <w:color w:val="auto"/>
              </w:rPr>
            </w:pPr>
          </w:p>
        </w:tc>
        <w:tc>
          <w:tcPr>
            <w:tcW w:w="9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85,668</w:t>
            </w:r>
          </w:p>
        </w:tc>
      </w:tr>
      <w:tr>
        <w:trPr>
          <w:trHeight w:val="237"/>
        </w:trPr>
        <w:tc>
          <w:tcPr>
            <w:tcW w:w="20" w:type="dxa"/>
            <w:vAlign w:val="bottom"/>
          </w:tcPr>
          <w:p>
            <w:pPr>
              <w:spacing w:after="0"/>
              <w:rPr>
                <w:sz w:val="20"/>
                <w:szCs w:val="20"/>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(50,164)</w:t>
            </w: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(41,459)</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(91,623)</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Other property and equipment, at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2,677</w:t>
            </w: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97"/>
        </w:trPr>
        <w:tc>
          <w:tcPr>
            <w:tcW w:w="20" w:type="dxa"/>
            <w:vAlign w:val="bottom"/>
          </w:tcPr>
          <w:p>
            <w:pPr>
              <w:spacing w:after="0"/>
              <w:rPr>
                <w:sz w:val="24"/>
                <w:szCs w:val="24"/>
                <w:color w:val="auto"/>
              </w:rPr>
            </w:pPr>
          </w:p>
        </w:tc>
        <w:tc>
          <w:tcPr>
            <w:tcW w:w="93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w:t>
            </w:r>
          </w:p>
        </w:tc>
      </w:tr>
      <w:tr>
        <w:trPr>
          <w:trHeight w:val="237"/>
        </w:trPr>
        <w:tc>
          <w:tcPr>
            <w:tcW w:w="20" w:type="dxa"/>
            <w:vAlign w:val="bottom"/>
          </w:tcPr>
          <w:p>
            <w:pPr>
              <w:spacing w:after="0"/>
              <w:rPr>
                <w:sz w:val="20"/>
                <w:szCs w:val="20"/>
                <w:color w:val="auto"/>
              </w:rPr>
            </w:pPr>
          </w:p>
        </w:tc>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43"/>
        </w:trPr>
        <w:tc>
          <w:tcPr>
            <w:tcW w:w="20" w:type="dxa"/>
            <w:vAlign w:val="bottom"/>
          </w:tcPr>
          <w:p>
            <w:pPr>
              <w:spacing w:after="0"/>
              <w:rPr>
                <w:sz w:val="21"/>
                <w:szCs w:val="21"/>
                <w:color w:val="auto"/>
              </w:rPr>
            </w:pPr>
          </w:p>
        </w:tc>
        <w:tc>
          <w:tcPr>
            <w:tcW w:w="934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7"/>
        </w:trPr>
        <w:tc>
          <w:tcPr>
            <w:tcW w:w="20" w:type="dxa"/>
            <w:vAlign w:val="bottom"/>
          </w:tcPr>
          <w:p>
            <w:pPr>
              <w:spacing w:after="0"/>
              <w:rPr>
                <w:sz w:val="2"/>
                <w:szCs w:val="2"/>
                <w:color w:val="auto"/>
              </w:rPr>
            </w:pPr>
          </w:p>
        </w:tc>
        <w:tc>
          <w:tcPr>
            <w:tcW w:w="9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financing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supplemental consolidated cash flow information related to lease payments for the year ended December 31, 2019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Year Ended December</w:t>
            </w:r>
          </w:p>
        </w:tc>
      </w:tr>
      <w:tr>
        <w:trPr>
          <w:trHeight w:val="234"/>
        </w:trPr>
        <w:tc>
          <w:tcPr>
            <w:tcW w:w="9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31, 2019</w:t>
            </w:r>
          </w:p>
        </w:tc>
      </w:tr>
      <w:tr>
        <w:trPr>
          <w:trHeight w:val="27"/>
        </w:trPr>
        <w:tc>
          <w:tcPr>
            <w:tcW w:w="9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related to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280"/>
              <w:spacing w:after="0"/>
              <w:rPr>
                <w:sz w:val="20"/>
                <w:szCs w:val="20"/>
                <w:color w:val="auto"/>
              </w:rPr>
            </w:pPr>
            <w:r>
              <w:rPr>
                <w:rFonts w:ascii="Arial" w:cs="Arial" w:eastAsia="Arial" w:hAnsi="Arial"/>
                <w:sz w:val="18"/>
                <w:szCs w:val="18"/>
                <w:color w:val="auto"/>
              </w:rPr>
              <w:t>Operating cash payments for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14,941</w:t>
            </w:r>
          </w:p>
        </w:tc>
      </w:tr>
      <w:tr>
        <w:trPr>
          <w:trHeight w:val="27"/>
        </w:trPr>
        <w:tc>
          <w:tcPr>
            <w:tcW w:w="9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cash payments for 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28,034</w:t>
            </w:r>
          </w:p>
        </w:tc>
      </w:tr>
      <w:tr>
        <w:trPr>
          <w:trHeight w:val="243"/>
        </w:trPr>
        <w:tc>
          <w:tcPr>
            <w:tcW w:w="9340" w:type="dxa"/>
            <w:vAlign w:val="bottom"/>
          </w:tcPr>
          <w:p>
            <w:pPr>
              <w:ind w:left="280"/>
              <w:spacing w:after="0"/>
              <w:rPr>
                <w:sz w:val="20"/>
                <w:szCs w:val="20"/>
                <w:color w:val="auto"/>
              </w:rPr>
            </w:pPr>
            <w:r>
              <w:rPr>
                <w:rFonts w:ascii="Arial" w:cs="Arial" w:eastAsia="Arial" w:hAnsi="Arial"/>
                <w:sz w:val="18"/>
                <w:szCs w:val="18"/>
                <w:color w:val="auto"/>
              </w:rPr>
              <w:t>Financing cash payments for financing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918</w:t>
            </w:r>
          </w:p>
        </w:tc>
      </w:tr>
      <w:tr>
        <w:trPr>
          <w:trHeight w:val="27"/>
        </w:trPr>
        <w:tc>
          <w:tcPr>
            <w:tcW w:w="9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9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lease obligations entered into during the period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9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59,740</w:t>
            </w:r>
          </w:p>
        </w:tc>
      </w:tr>
      <w:tr>
        <w:trPr>
          <w:trHeight w:val="243"/>
        </w:trPr>
        <w:tc>
          <w:tcPr>
            <w:tcW w:w="934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597</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maturities of lease liabilities at December 31, 2019 (in years).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4940" w:type="dxa"/>
            <w:vAlign w:val="bottom"/>
          </w:tcPr>
          <w:p>
            <w:pPr>
              <w:spacing w:after="0"/>
              <w:rPr>
                <w:sz w:val="20"/>
                <w:szCs w:val="20"/>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40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6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891"/>
        </w:trPr>
        <w:tc>
          <w:tcPr>
            <w:tcW w:w="4400" w:type="dxa"/>
            <w:vAlign w:val="bottom"/>
          </w:tcPr>
          <w:p>
            <w:pPr>
              <w:spacing w:after="0"/>
              <w:rPr>
                <w:sz w:val="24"/>
                <w:szCs w:val="24"/>
                <w:color w:val="auto"/>
              </w:rPr>
            </w:pPr>
          </w:p>
        </w:tc>
        <w:tc>
          <w:tcPr>
            <w:tcW w:w="6980" w:type="dxa"/>
            <w:vAlign w:val="bottom"/>
            <w:gridSpan w:val="2"/>
          </w:tcPr>
          <w:p>
            <w:pPr>
              <w:jc w:val="right"/>
              <w:ind w:right="5430"/>
              <w:spacing w:after="0"/>
              <w:rPr>
                <w:sz w:val="20"/>
                <w:szCs w:val="20"/>
                <w:color w:val="auto"/>
              </w:rPr>
            </w:pPr>
            <w:r>
              <w:rPr>
                <w:rFonts w:ascii="Arial" w:cs="Arial" w:eastAsia="Arial" w:hAnsi="Arial"/>
                <w:sz w:val="18"/>
                <w:szCs w:val="18"/>
                <w:color w:val="auto"/>
              </w:rPr>
              <w:t>F-19</w:t>
            </w:r>
          </w:p>
        </w:tc>
      </w:tr>
    </w:tbl>
    <w:p>
      <w:pPr>
        <w:sectPr>
          <w:pgSz w:w="11900" w:h="16838" w:orient="portrait"/>
          <w:cols w:equalWidth="0" w:num="1">
            <w:col w:w="11400"/>
          </w:cols>
          <w:pgMar w:left="240" w:top="121"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 — Continued</w:t>
      </w:r>
    </w:p>
    <w:p>
      <w:pPr>
        <w:spacing w:after="0" w:line="200" w:lineRule="exact"/>
        <w:rPr>
          <w:sz w:val="20"/>
          <w:szCs w:val="20"/>
          <w:color w:val="auto"/>
        </w:rPr>
      </w:pPr>
    </w:p>
    <w:p>
      <w:pPr>
        <w:spacing w:after="0" w:line="35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following table presents a schedule of future minimum lease payments required under all lease agreements as of December 31, 2019 and 2018, respectively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4"/>
          </w:tcPr>
          <w:p>
            <w:pPr>
              <w:jc w:val="right"/>
              <w:ind w:right="149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tcPr>
          <w:p>
            <w:pPr>
              <w:spacing w:after="0"/>
              <w:rPr>
                <w:sz w:val="20"/>
                <w:szCs w:val="20"/>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Financing Leases</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27,279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Less current obligations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4"/>
          </w:tcPr>
          <w:p>
            <w:pPr>
              <w:jc w:val="right"/>
              <w:ind w:right="149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tcPr>
          <w:p>
            <w:pPr>
              <w:spacing w:after="0"/>
              <w:rPr>
                <w:sz w:val="20"/>
                <w:szCs w:val="20"/>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Financing Leases</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12,009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913</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Less current obligations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(39,457)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7"/>
        </w:trPr>
        <w:tc>
          <w:tcPr>
            <w:tcW w:w="6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lease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general, the Company’s asset retirement obligations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121" w:right="259" w:bottom="1440" w:gutter="0" w:footer="0" w:header="0"/>
        </w:sectPr>
      </w:pPr>
    </w:p>
    <w:bookmarkStart w:id="124" w:name="page125"/>
    <w:bookmarkEnd w:id="124"/>
    <w:p>
      <w:pPr>
        <w:jc w:val="center"/>
        <w:ind w:left="260" w:right="2660"/>
        <w:spacing w:after="0" w:line="360"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 — Continued</w:t>
      </w:r>
    </w:p>
    <w:p>
      <w:pPr>
        <w:spacing w:after="0" w:line="200" w:lineRule="exact"/>
        <w:rPr>
          <w:sz w:val="20"/>
          <w:szCs w:val="20"/>
          <w:color w:val="auto"/>
        </w:rPr>
      </w:pPr>
    </w:p>
    <w:p>
      <w:pPr>
        <w:spacing w:after="0" w:line="35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years ended December 31, 2019 and 2018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32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31,086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26,256</w:t>
            </w:r>
          </w:p>
        </w:tc>
      </w:tr>
      <w:tr>
        <w:trPr>
          <w:trHeight w:val="243"/>
        </w:trPr>
        <w:tc>
          <w:tcPr>
            <w:tcW w:w="7420" w:type="dxa"/>
            <w:vAlign w:val="bottom"/>
          </w:tcPr>
          <w:p>
            <w:pPr>
              <w:ind w:left="200"/>
              <w:spacing w:after="0"/>
              <w:rPr>
                <w:sz w:val="20"/>
                <w:szCs w:val="20"/>
                <w:color w:val="auto"/>
              </w:rPr>
            </w:pPr>
            <w:r>
              <w:rPr>
                <w:rFonts w:ascii="Arial" w:cs="Arial" w:eastAsia="Arial" w:hAnsi="Arial"/>
                <w:sz w:val="18"/>
                <w:szCs w:val="18"/>
                <w:color w:val="auto"/>
              </w:rPr>
              <w:t>Liabilities incurred during period</w:t>
            </w: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3,566</w:t>
            </w:r>
          </w:p>
        </w:tc>
      </w:tr>
      <w:tr>
        <w:trPr>
          <w:trHeight w:val="27"/>
        </w:trPr>
        <w:tc>
          <w:tcPr>
            <w:tcW w:w="7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 settled during period</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43"/>
        </w:trPr>
        <w:tc>
          <w:tcPr>
            <w:tcW w:w="7420" w:type="dxa"/>
            <w:vAlign w:val="bottom"/>
          </w:tcPr>
          <w:p>
            <w:pPr>
              <w:ind w:left="200"/>
              <w:spacing w:after="0"/>
              <w:rPr>
                <w:sz w:val="20"/>
                <w:szCs w:val="20"/>
                <w:color w:val="auto"/>
              </w:rPr>
            </w:pPr>
            <w:r>
              <w:rPr>
                <w:rFonts w:ascii="Arial" w:cs="Arial" w:eastAsia="Arial" w:hAnsi="Arial"/>
                <w:sz w:val="18"/>
                <w:szCs w:val="18"/>
                <w:color w:val="auto"/>
              </w:rPr>
              <w:t>Revisions in estimated cash flows</w:t>
            </w: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442</w:t>
            </w:r>
          </w:p>
        </w:tc>
      </w:tr>
      <w:tr>
        <w:trPr>
          <w:trHeight w:val="27"/>
        </w:trPr>
        <w:tc>
          <w:tcPr>
            <w:tcW w:w="7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Divestitures during the period</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200"/>
              <w:spacing w:after="0"/>
              <w:rPr>
                <w:sz w:val="20"/>
                <w:szCs w:val="20"/>
                <w:color w:val="auto"/>
              </w:rPr>
            </w:pPr>
            <w:r>
              <w:rPr>
                <w:rFonts w:ascii="Arial" w:cs="Arial" w:eastAsia="Arial" w:hAnsi="Arial"/>
                <w:sz w:val="18"/>
                <w:szCs w:val="18"/>
                <w:color w:val="auto"/>
              </w:rPr>
              <w:t>Accretion expense</w:t>
            </w: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1,530</w:t>
            </w:r>
          </w:p>
        </w:tc>
      </w:tr>
      <w:tr>
        <w:trPr>
          <w:trHeight w:val="27"/>
        </w:trPr>
        <w:tc>
          <w:tcPr>
            <w:tcW w:w="74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Ending asset retirement obligations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31,086</w:t>
            </w:r>
          </w:p>
        </w:tc>
      </w:tr>
      <w:tr>
        <w:trPr>
          <w:trHeight w:val="270"/>
        </w:trPr>
        <w:tc>
          <w:tcPr>
            <w:tcW w:w="74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1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35,592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Included in “Accrued liabilities” in the Company’s consolidated balance sheets at December 31, 2019 and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Joint Ventures</w:t>
      </w:r>
    </w:p>
    <w:p>
      <w:pPr>
        <w:spacing w:after="0" w:line="11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On February 17, 2017, the Company contributed substantially all of its midstream assets located in the Rustler Breaks (Eddy County, New Mexico) and Wolf (Loving County, Texas) asset areas in the Delaware Basin to San Mateo I, a joint venture with a subsidiary of Five Point Energy LLC (“Five Point”). The midstream assets contributed to San Mateo I include (i) the Black River Processing Plant; (ii) one salt water disposal well and a related commercial salt water disposal facility in the Rustler Breaks asset area; (iii) three salt water disposal wells and related commercial salt water disposal facilities in the Wolf asset area; and (iv) substantially all related oil, natural gas and water gathering systems and pipelines in both the Rustler Breaks and Wolf asset areas (collectively, the “Delaware Midstream Assets”). The Company continues to operate the Delaware Midstream Assets and San Mateo I’s other assets. The Company retained its ownership in certain midstream assets owned in South Texas and Northwest Louisiana, which are not part of San Mateo.</w:t>
      </w:r>
    </w:p>
    <w:p>
      <w:pPr>
        <w:spacing w:after="0" w:line="73" w:lineRule="exact"/>
        <w:rPr>
          <w:sz w:val="20"/>
          <w:szCs w:val="20"/>
          <w:color w:val="auto"/>
        </w:rPr>
      </w:pPr>
    </w:p>
    <w:p>
      <w:pPr>
        <w:ind w:right="100" w:firstLine="405"/>
        <w:spacing w:after="0" w:line="285" w:lineRule="auto"/>
        <w:rPr>
          <w:sz w:val="20"/>
          <w:szCs w:val="20"/>
          <w:color w:val="auto"/>
        </w:rPr>
      </w:pPr>
      <w:r>
        <w:rPr>
          <w:rFonts w:ascii="Arial" w:cs="Arial" w:eastAsia="Arial" w:hAnsi="Arial"/>
          <w:sz w:val="17"/>
          <w:szCs w:val="17"/>
          <w:color w:val="auto"/>
        </w:rPr>
        <w:t>The Company and Five Point own 51% and 49% of San Mateo I, respectively. Five Point provided initial cash consideration of $176.4 million to San Mateo I in exchange for its 49% interest. Approximately $171.5 million of this cash contribution by Five Point was distributed by San Mateo I to the Company as a special distribution. The Company earned, and Five Point paid to the Company, $14.7 million in performance incentives during each of the twelve months ended December 31, 2019 and 2018. As of February 28, 2020, the Company had received an additional $14.7 million in performance incentives from Five Point and may earn an additional $29.4 million in performance incentives over the next two years</w:t>
      </w:r>
      <w:r>
        <w:rPr>
          <w:rFonts w:ascii="Arial" w:cs="Arial" w:eastAsia="Arial" w:hAnsi="Arial"/>
          <w:sz w:val="18"/>
          <w:szCs w:val="18"/>
          <w:color w:val="auto"/>
        </w:rPr>
        <w:t>.</w:t>
      </w:r>
      <w:r>
        <w:rPr>
          <w:rFonts w:ascii="Arial" w:cs="Arial" w:eastAsia="Arial" w:hAnsi="Arial"/>
          <w:sz w:val="17"/>
          <w:szCs w:val="17"/>
          <w:color w:val="auto"/>
        </w:rPr>
        <w:t xml:space="preserve"> These performance incentives are recorded as additional contributions related to the formation of the San Mateo I as they are received. The Company contributed the Delaware Midstream Assets and $5.1 million in cash to San Mateo I in exchange for its 51% interest. San Mateo I is consolidated in the Company’s financial statements with Five Point’s interest in San Mateo I being accounted for as a non-controlling interest.</w:t>
      </w:r>
    </w:p>
    <w:p>
      <w:pPr>
        <w:spacing w:after="0" w:line="6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dedicated its current and future leasehold interests in the Rustler Breaks and Wolf asset areas to San Mateo I pursuant to 15-year, fixed-fee natural gas, oil and salt water gathering agreements and salt water disposal agreements, effective as of February 1, 2017. In addition, the Company dedicated its current and future leasehold interests in the Rustler Breaks asset area to San Mateo I pursuant to a 15-year, fixed-fee natural gas processing agreement (see Note 14).</w:t>
      </w:r>
    </w:p>
    <w:p>
      <w:pPr>
        <w:spacing w:after="0" w:line="7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February 25, 2019, the Company announced the formation of San Mateo II, a strategic joint venture with a subsidiary of Five Point designed to expand the Company’s midstream operations in the Delaware Basin, specifically in Eddy County, New Mexico. San Mateo II is owned 51% by the Company and 49% by Five Point. In addition, Five Point has committed to pay $125 million of the first $150 million of capital expenditures incurred by San Mateo II to develop facilities in the Stebbins area and surrounding leaseholds in the southern portion of the Arrowhead asset area (the “Greater Stebbins Area”) and the Stateline asset area. Upon formation of San Mateo II, in the first quarter of 2019, the Company contributed $1.0 million of property to San Mateo II. During the year ended December 31, 2019, the Company contributed $15.5 million of cash, and Five Point contributed $69.0 million of cash, of which $28.4 million was paid to carry Matador’s proportionate interest in San Mateo II and was therefore recorded in “Additional paid-in capital” in the consolidated balance sheet, net of the $5.9 million deferred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121"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2019, 2018 and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BUSINESS COMBINATIONS AND DIVESTITURES — Continued</w:t>
      </w:r>
    </w:p>
    <w:p>
      <w:pPr>
        <w:spacing w:after="0" w:line="351" w:lineRule="exact"/>
        <w:rPr>
          <w:sz w:val="20"/>
          <w:szCs w:val="20"/>
          <w:color w:val="auto"/>
        </w:rPr>
      </w:pPr>
    </w:p>
    <w:p>
      <w:pPr>
        <w:ind w:right="520"/>
        <w:spacing w:after="0" w:line="311" w:lineRule="auto"/>
        <w:rPr>
          <w:sz w:val="20"/>
          <w:szCs w:val="20"/>
          <w:color w:val="auto"/>
        </w:rPr>
      </w:pPr>
      <w:r>
        <w:rPr>
          <w:rFonts w:ascii="Arial" w:cs="Arial" w:eastAsia="Arial" w:hAnsi="Arial"/>
          <w:sz w:val="17"/>
          <w:szCs w:val="17"/>
          <w:color w:val="auto"/>
        </w:rPr>
        <w:t>tax impact to Matador related to this equity contribution. In addition, the Company has the ability to earn up to $150.0 million in deferred performance incentives over the next several years</w:t>
      </w:r>
      <w:r>
        <w:rPr>
          <w:rFonts w:ascii="Arial" w:cs="Arial" w:eastAsia="Arial" w:hAnsi="Arial"/>
          <w:sz w:val="18"/>
          <w:szCs w:val="18"/>
          <w:color w:val="auto"/>
        </w:rPr>
        <w:t>,</w:t>
      </w:r>
      <w:r>
        <w:rPr>
          <w:rFonts w:ascii="Arial" w:cs="Arial" w:eastAsia="Arial" w:hAnsi="Arial"/>
          <w:sz w:val="17"/>
          <w:szCs w:val="17"/>
          <w:color w:val="auto"/>
        </w:rPr>
        <w:t xml:space="preserve"> plus additional performance incentives for securing volumes from third-party customers.</w:t>
      </w:r>
    </w:p>
    <w:p>
      <w:pPr>
        <w:spacing w:after="0" w:line="32"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In connection with the formation of San Mateo II, the Company dedicated to San Mateo II acreage in the Greater Stebbins Area and the Stateline asset area pursuant to 15-year, fixed-fee oil, natural gas and salt water gathering, natural gas processing and salt water disposal agreements (see Note 14).</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Divestitures</w:t>
      </w:r>
    </w:p>
    <w:p>
      <w:pPr>
        <w:spacing w:after="0" w:line="131" w:lineRule="exact"/>
        <w:rPr>
          <w:sz w:val="20"/>
          <w:szCs w:val="20"/>
          <w:color w:val="auto"/>
        </w:rPr>
      </w:pPr>
    </w:p>
    <w:p>
      <w:pPr>
        <w:ind w:right="640" w:firstLine="405"/>
        <w:spacing w:after="0" w:line="308" w:lineRule="auto"/>
        <w:rPr>
          <w:sz w:val="20"/>
          <w:szCs w:val="20"/>
          <w:color w:val="auto"/>
        </w:rPr>
      </w:pPr>
      <w:r>
        <w:rPr>
          <w:rFonts w:ascii="Arial" w:cs="Arial" w:eastAsia="Arial" w:hAnsi="Arial"/>
          <w:sz w:val="17"/>
          <w:szCs w:val="17"/>
          <w:color w:val="auto"/>
        </w:rPr>
        <w:t>During 2019, we converted approximately $21.9 million of non-core assets to cash. These properties were primarily located in South Texas and Northwest Louisiana and East Texas but included a small portion of our leasehold in a non-operated area of the Delaware Basin.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December 31, 2019, the Company had $1.05 billion of outstanding senior notes due 2026, $255.0 million in borrowings outstanding under its revolving credit facility and approximately $46.1 million in outstanding letters of credit issued pursuant to its revolving credit facility. At December 31, 2019, San Mateo I had $288.0 million in borrowings outstanding under its revolving credit facility and approximately $16.2 million in outstanding letters of credit issued pursuant to its revolving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jc w:val="both"/>
        <w:ind w:right="240" w:firstLine="432"/>
        <w:spacing w:after="0" w:line="288" w:lineRule="auto"/>
        <w:rPr>
          <w:sz w:val="20"/>
          <w:szCs w:val="20"/>
          <w:color w:val="auto"/>
        </w:rPr>
      </w:pPr>
      <w:r>
        <w:rPr>
          <w:rFonts w:ascii="Arial" w:cs="Arial" w:eastAsia="Arial" w:hAnsi="Arial"/>
          <w:sz w:val="16"/>
          <w:szCs w:val="16"/>
          <w:color w:val="auto"/>
        </w:rPr>
        <w:t>On September 28, 2012, the Company amended and restated its revolving credit facility with the lenders party thereto, led by Royal Bank of Canada (“RBC”) as administrative agent (the “Credit Agreement”). MRC Energy Company, a subsidiary of Matador that directly or indirectly holds the ownership interests in the Company’s other operating subsidiaries, other than its less-than-wholly-owned subsidiaries, is the borrower under the Credit Agreement.</w:t>
      </w:r>
    </w:p>
    <w:p>
      <w:pPr>
        <w:ind w:right="80"/>
        <w:spacing w:after="0" w:line="253" w:lineRule="auto"/>
        <w:rPr>
          <w:sz w:val="20"/>
          <w:szCs w:val="20"/>
          <w:color w:val="auto"/>
        </w:rPr>
      </w:pPr>
      <w:r>
        <w:rPr>
          <w:rFonts w:ascii="Arial" w:cs="Arial" w:eastAsia="Arial" w:hAnsi="Arial"/>
          <w:sz w:val="18"/>
          <w:szCs w:val="18"/>
          <w:color w:val="auto"/>
        </w:rPr>
        <w:t>Borrowings are secured by mortgages on at least 80% of the Company’s proved oil and natural gas properties and by the equity interests of certain of MRC Energy Company’s wholly-owned subsidiaries, which are also guarantors. San Mateo and its subsidiaries are not guarantors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Energy Company. The Credit Agreement matures October 31, 2023.</w:t>
      </w:r>
    </w:p>
    <w:p>
      <w:pPr>
        <w:spacing w:after="0" w:line="83"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October 2018, the lenders under the Credit Agreement completed their review of the Company’s proved oil and natural gas reserves at June 30, 2018. In connection with such review, the Company amended the Credit Agreement to, among other items, increase the maximum facility amount to $1.5 billion, increase the borrowing base to $850.0 million, increase the elected borrowing commitment to $500.0 million, extend the maturity to October 31, 2023, reduce borrowing rates by 0.25% per annum and set the maximum leverage ratio at 4.00 to 1.00.</w:t>
      </w:r>
    </w:p>
    <w:p>
      <w:pPr>
        <w:spacing w:after="0" w:line="7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April 2019, the lenders completed their review of the Company’s proved oil and natural gas reserves at December 31, 2018, and as a result, the borrowing base was increased from $850.0 million to $900.0 million. In October 2019, the lenders completed their review of the Company’s proved oil and natural gas reserves at June 30, 2019, and as a result, the borrowing base was affirmed at $900.0 million. The Company elected to keep the borrowing commitment at $500.0 million, and the maximum facility amount remained $1.5 billion.</w:t>
      </w:r>
    </w:p>
    <w:p>
      <w:pPr>
        <w:spacing w:after="0" w:line="79"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In February 2020, the lenders completed their review of the Company’s proved oil and natural gas reserves at December 31, 2019, and as a result, the borrowing base was again affirmed at $900.0 million. The Company elected to increase the borrowing commitment from $500.0 million to $700.0 million, and the maximum facility amount remained $1.5 billion. This February 2020 redetermination constituted the regularly scheduled May 1 redetermination. Borrowings under the Credit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121"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Agreement are limited to the lowest of the borrowing base, the maximum facility amount and the elected borrowing commitment.</w:t>
      </w:r>
    </w:p>
    <w:p>
      <w:pPr>
        <w:spacing w:after="0" w:line="117"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In the event of an increase in the elected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8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Total deferred loan costs were $1.6 million at December 31, 2019, and these costs are being amortized over the term of the Credit Agreement. The Company’s effective interest rate under the Credit Agreement was 3.28% at December 31, 2019. At December 31, 2019 and February 25, 2020, the Company had $255.0 million and $255.0 million in borrowings outstanding under the Credit Agreement and approximately $46.1 million and $46.0 million in outstanding letters of credit issued pursuant to the Credit Agreement, respectively.</w:t>
      </w:r>
    </w:p>
    <w:p>
      <w:pPr>
        <w:spacing w:after="0" w:line="7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Borrowings under the Credit Agreement may be in the form of a base rate loan or a Eurodollar loan. If the Company borrows funds as a base rate loan, such borrowings will bear interest at a rate equal to the greatest of (i) the prime rate for such day, (ii) the Federal Funds Effective Rate (as defined in the Credit Agreement) on such day, plus 0.50% and (iii) the daily adjusting LIBOR rate (as defined in the Credit Agreement) plus 1.0% plus, in each case, an amount ranging from 0.25% to 1.25% per annum depending on the level of borrowings under the Credit Agreement. If the Company borrows funds as a Eurodollar loan, such borrowings will bear interest at a rate equal to (x) the reserve adjusted LIBOR Rate (as defined in the Credit Agreement) plus (y) an amount ranging from 1.25% to 2.25% per annum depending on the level of borrowings under the Credit Agreement. The interest period for Eurodollar borrowings may be one, two, three or six months as designated by the Company. If the Company has outstanding borrowings under the Credit Agreement and interest rates increase, so will the Company’s interest costs, which may have a material adverse effect on the Company’s results of operations and financial condition.</w:t>
      </w:r>
    </w:p>
    <w:p>
      <w:pPr>
        <w:spacing w:after="0" w:line="8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 commitment fee of 0.375% to 0.50% per annum, depending on the level of borrowings under the Credit Agreement, 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a debt to EBITDA ratio, which is defined as debt outstanding (net of up to $50 million of cash or cash equivalents) divided by a rolling four quarter EBITDA calculation, of 4.00 or less.</w:t>
      </w:r>
    </w:p>
    <w:p>
      <w:pPr>
        <w:spacing w:after="0" w:line="8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Subject to certain exceptions, the Credit Agreement contains various covenants that limit the Company’s and its restricted subsidiaries’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incur indebtedness or grant liens on any of the Company’s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commodity hedging agreements;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declare or pay dividends, distributions or redemptions;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any loans or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certain asset dispositions, including a sale of all or substantially all of the Company’s assets;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take certain actions with respect to the Company’s senior unsecured notes.</w:t>
      </w:r>
    </w:p>
    <w:p>
      <w:pPr>
        <w:spacing w:after="0" w:line="17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If an event of default exists under the Credit Agreement, the lenders will be able to accelerate the maturity of the borrowings and exercise other rights and remedies. Events of default include, but are not limited to, the following events:</w:t>
      </w:r>
    </w:p>
    <w:p>
      <w:pPr>
        <w:spacing w:after="0" w:line="62" w:lineRule="exact"/>
        <w:rPr>
          <w:sz w:val="20"/>
          <w:szCs w:val="20"/>
          <w:color w:val="auto"/>
        </w:rPr>
      </w:pPr>
    </w:p>
    <w:p>
      <w:pPr>
        <w:ind w:left="340" w:right="10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perform or otherwise comply with the covenants and obligations in the Credit Agreement or other loan documents, subject, in certain instances, to certain grace periods;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121"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33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bankruptcy or insolvency events involving the Company or its subsidiaries;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change of control, as defined in the Credit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December 31, 2019.</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San Mateo Midstream, LLC</w:t>
      </w:r>
    </w:p>
    <w:p>
      <w:pPr>
        <w:spacing w:after="0" w:line="158" w:lineRule="exact"/>
        <w:rPr>
          <w:sz w:val="20"/>
          <w:szCs w:val="20"/>
          <w:color w:val="auto"/>
        </w:rPr>
      </w:pPr>
    </w:p>
    <w:p>
      <w:pPr>
        <w:ind w:right="320" w:firstLine="392"/>
        <w:spacing w:after="0" w:line="273" w:lineRule="auto"/>
        <w:rPr>
          <w:sz w:val="20"/>
          <w:szCs w:val="20"/>
          <w:color w:val="auto"/>
        </w:rPr>
      </w:pPr>
      <w:r>
        <w:rPr>
          <w:rFonts w:ascii="Arial" w:cs="Arial" w:eastAsia="Arial" w:hAnsi="Arial"/>
          <w:sz w:val="17"/>
          <w:szCs w:val="17"/>
          <w:color w:val="auto"/>
        </w:rPr>
        <w:t>On December 19, 2018, San Mateo I entered into a $250.0 million credit facility led by The Bank of Nova Scotia, as administrative agent (the “San Mateo Credit Facility”), and including all lenders party to the Credit Agreement at that time. The San Mateo Credit Facility, which matures December 19, 2023, includes an accordion feature, which provides for potential increases to up to $400.0 million. The San Mateo Credit Facility is non-recourse with respect to Matador and its wholly-owned subsidiaries, as well as San Mateo II and its subsidiaries, but is guaranteed by San Mateo I’s subsidiaries and secured by substantially all of San Mateo I’s assets, including real property. In June and October 2019, pursuant to the accordion feature, the lender commitments under the San Mateo Credit Facility were increased to $325.0 million and $375.0 million, respectively.</w:t>
      </w:r>
    </w:p>
    <w:p>
      <w:pPr>
        <w:spacing w:after="0" w:line="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Total deferred loan costs were $2.7 million at December 31, 2019, and these costs are being amortized over the term of the San Mateo Credit Facility. San Mateo I’s effective interest rate under the San Mateo Credit Facility was 3.55% at December 31, 2019. At both December 31, 2019 and February 25, 2020, San Mateo I had $288.0 million in borrowings outstanding under the San Mateo Credit Facility and $16.2 million in outstanding letters of credit issued pursuant to the San Mateo Credit Facility.</w:t>
      </w:r>
    </w:p>
    <w:p>
      <w:pPr>
        <w:spacing w:after="0" w:line="7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Borrowings under the San Mateo Credit Facility may be in the form of a base rate loan or a Eurodollar loan. If San Mateo I borrows funds as a base rate loan, such borrowings will bear interest at a rate equal to the greatest of (i) the prime rate for such day, (ii) the Federal Funds Effective Rate (as defined in the San Mateo Credit Facility) on such day, plus 0.50% and (iii) the Adjusted LIBO Rate (as defined in the San Mateo Credit Facility) plus 1.0% plus, in each case, an amount ranging from 0.50% to 1.50% per annum depending on San Mateo I’s Consolidated Total Leverage Ratio (as defined in the San Mateo Credit Facility). If San Mateo I borrows funds as a Eurodollar loan, such borrowings will bear interest at a rate equal to (x) the Adjusted LIBO Rate for the chosen interest period plus (y) an amount ranging from 1.50% to 2.50% per annum depending on San Mateo I’s Consolidated Total Leverage Ratio. If San Mateo I has outstanding borrowings under the San Mateo Credit Facility and interest rates increase, so will San Mateo I’s interest costs, which may have a material adverse effect on San Mateo I’s results of operations and financial condition.</w:t>
      </w:r>
    </w:p>
    <w:p>
      <w:pPr>
        <w:spacing w:after="0" w:line="7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 commitment fee of 0.30% to 0.50% per annum, depending on the unused availability under the San Mateo Credit Facility,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I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I to maintain an interest coverage ratio, which is defined as a rolling four quarter EBITDA calculation divided by San Mateo I’s consolidated interest expense, of 2.50 or more.</w:t>
      </w:r>
    </w:p>
    <w:p>
      <w:pPr>
        <w:spacing w:after="0" w:line="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Subject to certain exceptions, the San Mateo Credit Facility contains various covenants that limit San Mateo I’s and its restricted subsidiaries’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 indebtedness or grant liens on any of San Mateo I’s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hedging agreements;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declare or pay dividends, distributions or redemptions;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any loans or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engage in certain asset dispositions, including a sale of all or substantially all of San Mateo I’s assets;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 equity interests in San Mateo I or its subsidiaries.</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an event of default exists under the San Mateo Credit Facility, the lenders will be able to accelerate the maturity of the borrowings and exercise other rights and remedies. Events of default include, but are not limited to, the following events: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1"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337" w:lineRule="exact"/>
        <w:rPr>
          <w:sz w:val="20"/>
          <w:szCs w:val="20"/>
          <w:color w:val="auto"/>
        </w:rPr>
      </w:pPr>
    </w:p>
    <w:p>
      <w:pPr>
        <w:ind w:left="340" w:right="10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62"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to perform or otherwise comply with the covenants and obligations in the San Mateo Credit Facility or other loan documents, subject, in certain instances, to certain grace periods;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bankruptcy or insolvency events involving San Mateo I or its subsidiaries;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change of control, as defined in the San Mateo Credit Facility.</w:t>
      </w:r>
    </w:p>
    <w:p>
      <w:pPr>
        <w:spacing w:after="0" w:line="117" w:lineRule="exact"/>
        <w:rPr>
          <w:sz w:val="20"/>
          <w:szCs w:val="20"/>
          <w:color w:val="auto"/>
        </w:rPr>
      </w:pPr>
    </w:p>
    <w:p>
      <w:pPr>
        <w:ind w:right="1540" w:firstLine="432"/>
        <w:spacing w:after="0" w:line="375" w:lineRule="auto"/>
        <w:rPr>
          <w:sz w:val="20"/>
          <w:szCs w:val="20"/>
          <w:color w:val="auto"/>
        </w:rPr>
      </w:pPr>
      <w:r>
        <w:rPr>
          <w:rFonts w:ascii="Arial" w:cs="Arial" w:eastAsia="Arial" w:hAnsi="Arial"/>
          <w:sz w:val="18"/>
          <w:szCs w:val="18"/>
          <w:color w:val="auto"/>
        </w:rPr>
        <w:t xml:space="preserve">The Company believes that San Mateo I was in compliance with the terms of the San Mateo Credit Facility at December 31, 2019. </w:t>
      </w:r>
      <w:r>
        <w:rPr>
          <w:rFonts w:ascii="Arial" w:cs="Arial" w:eastAsia="Arial" w:hAnsi="Arial"/>
          <w:sz w:val="18"/>
          <w:szCs w:val="18"/>
          <w:i w:val="1"/>
          <w:iCs w:val="1"/>
          <w:u w:val="single" w:color="auto"/>
          <w:color w:val="auto"/>
        </w:rPr>
        <w:t>Senior Unsecured Notes</w:t>
      </w:r>
    </w:p>
    <w:p>
      <w:pPr>
        <w:spacing w:after="0" w:line="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April 14, 2015, Matador issued $400.0 million of 6.875% senior notes due 2023 (the “Original 2023 Notes”) in a private placement at par value. The Original 2023 Notes were later exchanged for a like principal amount of 6.875% senior notes due 2023 (the “2023 Exchange Notes”) that were registered under the Securities Act of 1933, as amended (the “Securities Act”), at par value. On December 9, 2016, Matador issued $175.0 million of 6.875% senior notes due 2023 (the “Additional 2023 Notes”) in a private placement, at 105.5% of par, plus accrued interest from October 15, 2016, resulting in an effective interest rate of 5.5%. The Company received net proceeds of approximately $181.5 million, including the issue premium, but after deducting the initial purchasers’ discounts and estimated offering expenses and excluding accrued interest paid by buyers of the Additional 2023 Notes. The Additional 2023 Notes were later exchanged for a like principal amount of 6.875% senior notes due 2023 that were registered under the Securities Act (together with the 2023 Exchange Notes, the “2023 Notes”).</w:t>
      </w:r>
    </w:p>
    <w:p>
      <w:pPr>
        <w:spacing w:after="0" w:line="8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August 21, 2018, the Company issued $750.0 million of 5.875% senior notes due 2026 (the “Original 2026 Notes”) in a private placement at par value (the “2026 Notes Offering”). The Company received net proceeds of approximately $740.0 million, after deducting the initial purchasers’ discounts and offering expenses. In conjunction with the 2026 Notes Offering, in August and September 2018, respectively, the Company completed a tender offer to purchase for cash and subsequent redemption of all of the 2023 Notes (the “2023 Notes Tender Offer and Redemption”). The Company used a portion of the net proceeds from the 2026 Notes Offering to fund the 2023 Notes Tender Offer and Redemption. In connection with the 2023 Notes Tender Offer and Redemption, the Company incurred a loss of $31.2 million, including total payments of $30.4 million to holders of the 2023 Notes as a result of the tender premium and the required 105.156% redemption price payable pursuant to the 2023 Notes indenture.</w:t>
      </w:r>
    </w:p>
    <w:p>
      <w:pPr>
        <w:spacing w:after="0" w:line="70"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On October 4, 2018, the Company issued an additional $300.0 million of 5.875% senior notes due 2026 (the “Additional 2026 Notes”). The Additional 2026 Notes were issued pursuant to, and are governed by, the same indenture governing the Original 2026 Notes (the “Indenture”). The Additional 2026 Notes were issued at 100.5% of par, plus accrued interest from August 21, 2018. The Company received net proceeds from this offering of approximately $297.3 million, including the issue premium, but after deducting the initial purchasers’ discounts and estimated offering expenses and excluding accrued interest from August 21, 2018 paid by the initial purchasers of the Additional 2026 Notes. The proceeds from this offering were used to repay a portion of the outstanding borrowings under the Credit Agreement, which were incurred in connection with the BLM Acquisition.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2018, the Company exchanged substantially all of the Original 2026 Notes and Additional 2026 Notes for a like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5.875% senior notes due 2026 that were registered under the Securities Act (the “Notes”). The terms of the Notes are substantially the same as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Original 2026 Notes and Additional 2026 Notes except that the transfer restrictions, registration rights and provisions for additional interest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 2026 Notes and Additional 2026 Notes do not apply to the Notes. The Notes will mature September 15, 2026, and interest is payable on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semi-annually in arrears on each March 15 and September 15. The Notes are guaranteed on a senior unsecured basis by certain subsidiaries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“Guarantors”). San Mateo and its subsidiaries are not Restricted Subsidiaries under the Indenture or Guarantors of the Notes (see Note 17).</w:t>
      </w:r>
    </w:p>
    <w:p>
      <w:pPr>
        <w:spacing w:after="0" w:line="11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or after September 15, 2021, the Company may redeem all or a part of the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121"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200" w:lineRule="exact"/>
        <w:rPr>
          <w:sz w:val="20"/>
          <w:szCs w:val="20"/>
          <w:color w:val="auto"/>
        </w:rPr>
      </w:pPr>
    </w:p>
    <w:p>
      <w:pPr>
        <w:spacing w:after="0" w:line="295" w:lineRule="exact"/>
        <w:rPr>
          <w:sz w:val="20"/>
          <w:szCs w:val="20"/>
          <w:color w:val="auto"/>
        </w:rPr>
      </w:pPr>
    </w:p>
    <w:tbl>
      <w:tblPr>
        <w:tblLayout w:type="fixed"/>
        <w:tblInd w:w="3580" w:type="dxa"/>
        <w:tblCellMar>
          <w:top w:w="0" w:type="dxa"/>
          <w:left w:w="0" w:type="dxa"/>
          <w:bottom w:w="0" w:type="dxa"/>
          <w:right w:w="0" w:type="dxa"/>
        </w:tblCellMar>
      </w:tblPr>
      <w:tr>
        <w:trPr>
          <w:trHeight w:val="234"/>
        </w:trPr>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Year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7"/>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104.406%</w:t>
            </w:r>
          </w:p>
        </w:tc>
      </w:tr>
      <w:tr>
        <w:trPr>
          <w:trHeight w:val="243"/>
        </w:trPr>
        <w:tc>
          <w:tcPr>
            <w:tcW w:w="19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102.938%</w:t>
            </w:r>
          </w:p>
        </w:tc>
      </w:tr>
      <w:tr>
        <w:trPr>
          <w:trHeight w:val="27"/>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101.469%</w:t>
            </w:r>
          </w:p>
        </w:tc>
      </w:tr>
      <w:tr>
        <w:trPr>
          <w:trHeight w:val="243"/>
        </w:trPr>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2024 and thereafter</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100.000%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firstLine="405"/>
        <w:spacing w:after="0" w:line="257" w:lineRule="auto"/>
        <w:rPr>
          <w:sz w:val="20"/>
          <w:szCs w:val="20"/>
          <w:color w:val="auto"/>
        </w:rPr>
      </w:pPr>
      <w:r>
        <w:rPr>
          <w:rFonts w:ascii="Arial" w:cs="Arial" w:eastAsia="Arial" w:hAnsi="Arial"/>
          <w:sz w:val="18"/>
          <w:szCs w:val="18"/>
          <w:color w:val="auto"/>
        </w:rPr>
        <w:t>At any time prior to September 15, 2021, the Company may redeem up to 35% of the aggregate principal amount of the Notes with net proceeds from certain equity offerings at a redemption price of 105.875% of the principal amount thereof, plus accrued and unpaid interest, if any, to the redemption date, provided that (i) at least 65% in aggregate principal amount of the Notes (including any additional notes) originally issued remains outstanding immediately after the occurrence of such redemption (excluding Notes held by the Company and its subsidiaries) and (ii) each such redemption occurs within 180 days of the date of the closing of the related equity offering.</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at any time prior to September 15, 2021, the Company may redeem all or part of the Notes at a redemption price equal to the sum of:</w:t>
      </w:r>
    </w:p>
    <w:p>
      <w:pPr>
        <w:spacing w:after="0" w:line="129" w:lineRule="exact"/>
        <w:rPr>
          <w:sz w:val="20"/>
          <w:szCs w:val="20"/>
          <w:color w:val="auto"/>
        </w:rPr>
      </w:pPr>
    </w:p>
    <w:p>
      <w:pPr>
        <w:ind w:left="620" w:hanging="207"/>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117" w:lineRule="exact"/>
        <w:rPr>
          <w:rFonts w:ascii="Arial" w:cs="Arial" w:eastAsia="Arial" w:hAnsi="Arial"/>
          <w:sz w:val="18"/>
          <w:szCs w:val="18"/>
          <w:color w:val="auto"/>
        </w:rPr>
      </w:pPr>
    </w:p>
    <w:p>
      <w:pPr>
        <w:ind w:right="20" w:firstLine="413"/>
        <w:spacing w:after="0" w:line="264" w:lineRule="auto"/>
        <w:tabs>
          <w:tab w:leader="none" w:pos="6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excess, if any, of (a) the present value at such time of (1) the redemption price of such Notes at September 15, 2021 plus (2) any required interest payments due on such Notes through September 15, 2021, discounted to the redemption date on a semi-annual basis using a discount rate equal to the Treasury Rate (as defined in the Indenture) plus 50 basis points, over (b) the principal amount of such Notes, plus</w:t>
      </w:r>
    </w:p>
    <w:p>
      <w:pPr>
        <w:spacing w:after="0" w:line="73" w:lineRule="exact"/>
        <w:rPr>
          <w:rFonts w:ascii="Arial" w:cs="Arial" w:eastAsia="Arial" w:hAnsi="Arial"/>
          <w:sz w:val="18"/>
          <w:szCs w:val="18"/>
          <w:color w:val="auto"/>
        </w:rPr>
      </w:pPr>
    </w:p>
    <w:p>
      <w:pPr>
        <w:ind w:left="720" w:hanging="307"/>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accrued and unpaid interest, if any, to the redemption date.</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Subject to certain exceptions, the Indenture contains various covenants that limit the Company’s ability to take certain actions, including, but not limited to, the following:</w:t>
      </w:r>
    </w:p>
    <w:p>
      <w:pPr>
        <w:spacing w:after="0" w:line="6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dividends or make certain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create liens that secure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In the case of an event of default arising from certain events of bankruptcy or insolvency with respect to Matador, any Restricted Subsidiary (as defined in the Indenture) that is a Significant Subsidiary (as defined in the Indenture)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 Events of default include, but are not limited to, the following events:</w:t>
      </w:r>
    </w:p>
    <w:p>
      <w:pPr>
        <w:spacing w:after="0" w:line="64"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when due of the principal of, or premium, if any, on the Notes;</w:t>
      </w:r>
    </w:p>
    <w:p>
      <w:pPr>
        <w:spacing w:after="0" w:line="117"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to offer to purchase or purchase Notes pursuant to the change of control or asset sale covenants of the Indenture or to comply with the covenant relating to mergers;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the Company for 180 days after notice to comply with its reporting obligations under the Indenture;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the Company for 60 days after notice to comply with any of the other agreements in the Indenture;</w:t>
      </w:r>
    </w:p>
    <w:p>
      <w:pPr>
        <w:spacing w:after="0" w:line="11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Company and its Restricted Subsidiaries in the aggregate principal amount of $50.0 million or more;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1"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20" w:right="260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 Continued</w:t>
      </w:r>
    </w:p>
    <w:p>
      <w:pPr>
        <w:spacing w:after="0" w:line="33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failure by the Company or any Restricted Subsidiary to pay certain final judgments aggregating in excess of $50.0 million within 60 days;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subsidiary guarantee by a Guarantor ceases to be in full force and effect, is declared null and void in a judicial proceeding or is denied or disaffirmed by its maker; and</w:t>
      </w:r>
    </w:p>
    <w:p>
      <w:pPr>
        <w:spacing w:after="0" w:line="6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62"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 outstanding borrowings of $255.0 million at December 31, 2019 under the Credit Agreement mature on October 31, 2023. The outstanding borrowings of $288.0 million at December 31, 2019 under the San Mateo Credit Facility mature on December 19, 2023. The $1.05 billion of outstanding Notes at December 31, 2019 mature on September 15, 2026.</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121"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Deferred tax assets and liabilities are the result of temporary differences between the financial statement carrying values and the tax bases of assets and liabilities. The Company’s net deferred tax position as of December 31, 2019 and 2018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119,900</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116,374</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Percentage depletion carryover</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Compensation</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10,574</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7,207</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135,779</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Valuation allowance on deferred tax assets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(6,519)</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 net of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129,260</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derivatives</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(12,326)</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(151,504)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(100,634)</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than wholly-owned subsidiaries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Lease right of use assets</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(17,107)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(191,856)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(122,024)</w:t>
            </w:r>
          </w:p>
        </w:tc>
      </w:tr>
      <w:tr>
        <w:trPr>
          <w:trHeight w:val="27"/>
        </w:trPr>
        <w:tc>
          <w:tcPr>
            <w:tcW w:w="7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deferred tax (liabilities)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At December 31, 2019, the Company had net operating loss carryforwards of $525.2 million for federal income tax purposes and $163.9 million for state income tax purposes available to offset future taxable income, as limited by the applicable provisions, and which expire at various dates beginning in 2027 for the federal net operating loss carryforwards. The state net operating loss carryforwards begin expiring at various dates beginning in 2024; however, the significant portion of the Company’s state net operating loss carryforwards expire beginning in 2027.</w:t>
      </w:r>
    </w:p>
    <w:p>
      <w:pPr>
        <w:spacing w:after="0" w:line="63"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At December 31, 2017, the Company’s deferred tax assets exceeded its deferred tax liabilities due to the deferred tax assets generated by impairment charges recorded in 2016 and 2015. As a result, the Company established a valuation allowance against most of the deferred tax assets beginning in the third quarter of 2015. Due to a variety of factors, including the Company’s significant net income in 2017 and 2018, the Company’s federal valuation allowance and a portion of the Company’s state valuation allowance were reversed at December 31, 2018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1"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 — Continued</w:t>
      </w:r>
    </w:p>
    <w:p>
      <w:pPr>
        <w:spacing w:after="0" w:line="33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8"/>
          <w:szCs w:val="18"/>
          <w:color w:val="auto"/>
        </w:rPr>
        <w:t>The current income tax provision and the deferred income tax provision for the years ended December 31, 2019, 2018 and 2017 were comprised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1"/>
              </w:rPr>
              <w:t>Year Ended December 31,</w:t>
            </w:r>
          </w:p>
        </w:tc>
        <w:tc>
          <w:tcPr>
            <w:tcW w:w="13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(benefit) provision</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Federal income tax</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(8,178)</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Net current income tax benefit</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(8,157)</w:t>
            </w:r>
          </w:p>
        </w:tc>
      </w:tr>
      <w:tr>
        <w:trPr>
          <w:trHeight w:val="67"/>
        </w:trPr>
        <w:tc>
          <w:tcPr>
            <w:tcW w:w="608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Federal income tax</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29,171</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Net deferred income tax provision (benefit)</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35,532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Reconciliations of the tax expense (benefit) computed at the statutory federal rate to the Company’s total income tax provision (benefit) for the years ended December 31, 2019, 2018 and 2017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89"/>
              </w:rPr>
              <w:t>Year Ended December 31,</w:t>
            </w:r>
          </w:p>
        </w:tc>
        <w:tc>
          <w:tcPr>
            <w:tcW w:w="13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ind w:left="380"/>
              <w:spacing w:after="0" w:line="264" w:lineRule="exact"/>
              <w:rPr>
                <w:sz w:val="20"/>
                <w:szCs w:val="20"/>
                <w:color w:val="auto"/>
              </w:rPr>
            </w:pPr>
            <w:r>
              <w:rPr>
                <w:rFonts w:ascii="Arial" w:cs="Arial" w:eastAsia="Arial" w:hAnsi="Arial"/>
                <w:sz w:val="18"/>
                <w:szCs w:val="18"/>
                <w:color w:val="auto"/>
              </w:rPr>
              <w:t>Federal tax expense at statutory rate</w:t>
            </w:r>
            <w:r>
              <w:rPr>
                <w:rFonts w:ascii="Arial" w:cs="Arial" w:eastAsia="Arial" w:hAnsi="Arial"/>
                <w:sz w:val="25"/>
                <w:szCs w:val="25"/>
                <w:color w:val="auto"/>
                <w:vertAlign w:val="superscript"/>
              </w:rPr>
              <w:t>(1)</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33,441</w:t>
            </w:r>
          </w:p>
        </w:tc>
        <w:tc>
          <w:tcPr>
            <w:tcW w:w="5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61,543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45,447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State income tax</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368</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Permanent differences</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(4,267)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AMT credit refundable</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8,178</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Cuts and Jobs Act rate change</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51,525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Change in federal valuation allowance</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(101,917)</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state valuation allowance</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1,139</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deferred income tax provision (benefit)</w:t>
            </w:r>
          </w:p>
        </w:tc>
        <w:tc>
          <w:tcPr>
            <w:tcW w:w="10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35,532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current income tax benefit</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r>
      <w:tr>
        <w:trPr>
          <w:trHeight w:val="237"/>
        </w:trPr>
        <w:tc>
          <w:tcPr>
            <w:tcW w:w="6060" w:type="dxa"/>
            <w:vAlign w:val="bottom"/>
          </w:tcPr>
          <w:p>
            <w:pPr>
              <w:ind w:left="1140"/>
              <w:spacing w:after="0"/>
              <w:rPr>
                <w:sz w:val="20"/>
                <w:szCs w:val="20"/>
                <w:color w:val="auto"/>
              </w:rPr>
            </w:pPr>
            <w:r>
              <w:rPr>
                <w:rFonts w:ascii="Arial" w:cs="Arial" w:eastAsia="Arial" w:hAnsi="Arial"/>
                <w:sz w:val="18"/>
                <w:szCs w:val="18"/>
                <w:color w:val="auto"/>
              </w:rPr>
              <w:t>Total income tax provision (benefit)</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35,532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(8,157)</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540" w:hanging="31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statutory federal tax rate was 21% for the years ended December 31, 2019 and 2018 and 35% for the year ended December 31, 2017.</w:t>
      </w:r>
    </w:p>
    <w:p>
      <w:pPr>
        <w:spacing w:after="0" w:line="11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2016. The earliest tax year open for examination for the State of Texas tax return is 2015.</w:t>
      </w:r>
    </w:p>
    <w:p>
      <w:pPr>
        <w:spacing w:after="0" w:line="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evaluated all tax positions for which the statute of limitations remains open and believes that the material positions taken would more likely than not be sustained by examination. Therefore, at December 31, 2019, the Company had not established any reserves for, nor recorded any unrecognized benefits related to, uncertain tax positions.</w:t>
      </w:r>
    </w:p>
    <w:p>
      <w:pPr>
        <w:spacing w:after="0" w:line="7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the temporary differences are expected to reverse. As a result of the reduction in the U.S. corporate income tax rate from 35% to 21% under the Tax Cuts and Jobs Act, the Company revalued its deferred tax assets and liabilities at December 31, 2017, which resulted in a $51.5 million tax provision. As the Company maintained a valuation allowance against its federal and state deferred tax assets at December 31, 2017, a corresponding reduction in the valuation allowance was recorded against this tax provision; therefore, there was no net impact to the Company’s consolidated statement of operations for the year ended December 31, 2017 as a result of this corporate income tax rate change.</w:t>
      </w:r>
    </w:p>
    <w:p>
      <w:pPr>
        <w:spacing w:after="0" w:line="8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Corporate alternative minimum taxes were also repealed under the Tax Cuts and Jobs Act; therefore, corporate alternative minimum tax carryforwards are expected to be refunded. As a result, the Company recorded $0.5 million and $8.2 million, respectively, as a current income tax benefit in its consolidated statements of operations for the years ended December 31, 2018 and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1" w:right="2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 Restricted Stock, Restricted Stock Units, Stock and Performance Awards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2003, the Company’s Board of Directors and shareholders approved the 2003 Plan. The 2003 Plan, as amended, provided that a maximum of 3,481,569 shares of common stock in the aggregate could be issued pursuant to options or restricted stock grants. The persons eligible to receive awards under the 2003 Plan included employees, directors, contractors or advisors of the Company.</w:t>
      </w:r>
    </w:p>
    <w:p>
      <w:pPr>
        <w:spacing w:after="0" w:line="7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2012, the Board of Directors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 The persons eligible to receive awards under the 2012 Incentive Plan included employees, directors, contractors or advisors of the Company.</w:t>
      </w:r>
    </w:p>
    <w:p>
      <w:pPr>
        <w:spacing w:after="0" w:line="79" w:lineRule="exact"/>
        <w:rPr>
          <w:sz w:val="20"/>
          <w:szCs w:val="20"/>
          <w:color w:val="auto"/>
        </w:rPr>
      </w:pPr>
    </w:p>
    <w:p>
      <w:pPr>
        <w:ind w:right="320" w:firstLine="432"/>
        <w:spacing w:after="0" w:line="272" w:lineRule="auto"/>
        <w:rPr>
          <w:sz w:val="20"/>
          <w:szCs w:val="20"/>
          <w:color w:val="auto"/>
        </w:rPr>
      </w:pPr>
      <w:r>
        <w:rPr>
          <w:rFonts w:ascii="Arial" w:cs="Arial" w:eastAsia="Arial" w:hAnsi="Arial"/>
          <w:sz w:val="17"/>
          <w:szCs w:val="17"/>
          <w:color w:val="auto"/>
        </w:rPr>
        <w:t>In 2019, the Board of Directors adopted and shareholders approved the 2019 Incentive Plan. As of December 31, 2019, the 2019 Incentive Plan provided for a maximum of 3,433,671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 With the adoption of the 2019 Incentive Plan, the Company does not expect to make any future awards under the 2003 Plan or the 2012 Incentive Plan, but both plans will remain in place until all awards outstanding under such plans have been settled. As of February 25, 2020, no awards remained outstanding under the 2003 Plan.</w:t>
      </w:r>
    </w:p>
    <w:p>
      <w:pPr>
        <w:spacing w:after="0" w:line="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2003 Plan, the 2012 Incentive Plan and the 2019 Incentive Plan are administered by the independent members of the Board of Directors, which, upon recommendation of the Strategic Planning and Compensation Committee of the Board of Directors, determine the number of options, restricted shares or other awards to be granted, the effective dates, the terms of the grants and the vesting periods. The Company typically uses newly issued shares of common stock to satisfy option exercises or restricted share grants. At December 31, 2018, all stock-based compensation awards granted since 2012 had been granted under the 2012 Incentive Plan and substantially all are equity-based awards for which the fair value is fixed at the grant date, while all stock-based compensation awards granted prior to January 1, 2012 were granted under the 2003 Plan and were liability-based awards for which the fair value was remeasured at each reporting period.</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2019, the Company began granting both equity-based and liability-based awards under the 2019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equity-based awards is fixed at the grant date, while the fair value of liability-based awards is remeasured at each reporting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the 2003 Plan, the 2012 Incentive Plan and the 2019 Incentive Plan, stock option awards have been granted to purchase the Company’s common stock at an exercise price equal to the fair market value on the date of grant, a typical vesting period of three or four years and a typical maximum term of five, six or 10 years. The 2003 Plan and the 2012 Incentive Plan define fair market value as the closing price of Matador’s common stock on the date of grant. Under the 2019 Incentive Plan, such fair market value of a stock option is determined using the closing price of Matador’s common stock on the trading day prior to the date of grant. All option awards granted under the 2003 Plan and still outstanding as of December 31, 2019 were settled in the first quarter of 2020.</w:t>
      </w:r>
    </w:p>
    <w:p>
      <w:pPr>
        <w:spacing w:after="0" w:line="85"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fair value of the 65,000, 67,500 and 75,000 stock option awards outstanding under the 2003 Plan at December 31, 2019, 2018 and 2017, respectively, was estimated using the following weighted average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410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37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pricing model</w:t>
            </w:r>
          </w:p>
        </w:tc>
        <w:tc>
          <w:tcPr>
            <w:tcW w:w="2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Black Scholes Merton</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Black Scholes Merton</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Black Scholes Merton</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option life</w:t>
            </w:r>
          </w:p>
        </w:tc>
        <w:tc>
          <w:tcPr>
            <w:tcW w:w="244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0.14 years</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1.14 years</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2.14 years</w:t>
            </w:r>
          </w:p>
        </w:tc>
      </w:tr>
      <w:tr>
        <w:trPr>
          <w:trHeight w:val="27"/>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100" w:type="dxa"/>
            <w:vAlign w:val="bottom"/>
            <w:tcBorders>
              <w:bottom w:val="single" w:sz="8" w:color="CCEEFF"/>
            </w:tcBorders>
            <w:gridSpan w:val="2"/>
            <w:shd w:val="clear" w:color="auto" w:fill="CCEEFF"/>
          </w:tcPr>
          <w:p>
            <w:pPr>
              <w:jc w:val="center"/>
              <w:ind w:left="2350"/>
              <w:spacing w:after="0"/>
              <w:rPr>
                <w:sz w:val="20"/>
                <w:szCs w:val="20"/>
                <w:color w:val="auto"/>
              </w:rPr>
            </w:pPr>
            <w:r>
              <w:rPr>
                <w:rFonts w:ascii="Arial" w:cs="Arial" w:eastAsia="Arial" w:hAnsi="Arial"/>
                <w:sz w:val="18"/>
                <w:szCs w:val="18"/>
                <w:color w:val="auto"/>
                <w:w w:val="90"/>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100" w:type="dxa"/>
            <w:vAlign w:val="bottom"/>
            <w:gridSpan w:val="2"/>
          </w:tcPr>
          <w:p>
            <w:pPr>
              <w:jc w:val="center"/>
              <w:ind w:left="2350"/>
              <w:spacing w:after="0"/>
              <w:rPr>
                <w:sz w:val="20"/>
                <w:szCs w:val="20"/>
                <w:color w:val="auto"/>
              </w:rPr>
            </w:pPr>
            <w:r>
              <w:rPr>
                <w:rFonts w:ascii="Arial" w:cs="Arial" w:eastAsia="Arial" w:hAnsi="Arial"/>
                <w:sz w:val="18"/>
                <w:szCs w:val="18"/>
                <w:color w:val="auto"/>
                <w:w w:val="88"/>
              </w:rPr>
              <w:t>32.38%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37.94%</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43.60%</w:t>
            </w:r>
          </w:p>
        </w:tc>
      </w:tr>
      <w:tr>
        <w:trPr>
          <w:trHeight w:val="27"/>
        </w:trPr>
        <w:tc>
          <w:tcPr>
            <w:tcW w:w="37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Estimated forfeiture rate</w:t>
            </w:r>
          </w:p>
        </w:tc>
        <w:tc>
          <w:tcPr>
            <w:tcW w:w="244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891"/>
        </w:trPr>
        <w:tc>
          <w:tcPr>
            <w:tcW w:w="3780" w:type="dxa"/>
            <w:vAlign w:val="bottom"/>
          </w:tcPr>
          <w:p>
            <w:pPr>
              <w:spacing w:after="0"/>
              <w:rPr>
                <w:sz w:val="24"/>
                <w:szCs w:val="24"/>
                <w:color w:val="auto"/>
              </w:rPr>
            </w:pPr>
          </w:p>
        </w:tc>
        <w:tc>
          <w:tcPr>
            <w:tcW w:w="4200" w:type="dxa"/>
            <w:vAlign w:val="bottom"/>
            <w:gridSpan w:val="3"/>
          </w:tcPr>
          <w:p>
            <w:pPr>
              <w:ind w:left="1760"/>
              <w:spacing w:after="0"/>
              <w:rPr>
                <w:sz w:val="20"/>
                <w:szCs w:val="20"/>
                <w:color w:val="auto"/>
              </w:rPr>
            </w:pPr>
            <w:r>
              <w:rPr>
                <w:rFonts w:ascii="Arial" w:cs="Arial" w:eastAsia="Arial" w:hAnsi="Arial"/>
                <w:sz w:val="18"/>
                <w:szCs w:val="18"/>
                <w:color w:val="auto"/>
              </w:rPr>
              <w:t>F-30</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 Continued</w:t>
      </w:r>
    </w:p>
    <w:p>
      <w:pPr>
        <w:spacing w:after="0" w:line="33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weighted average grant date fair value for stock option awards granted under the 2012 Incentive Plan and the 2019 Incentive Plan were estimated using the following weighted average assumptions during the years ended December 31, 2019, 2018 and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7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Black Scholes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Black Scholes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Black Scholes</w:t>
            </w:r>
          </w:p>
        </w:tc>
      </w:tr>
      <w:tr>
        <w:trPr>
          <w:trHeight w:val="23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pricing model</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Merton</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Merton</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Merton</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Expected option life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years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4.00 years</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1.77%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48.52%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45.17%</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47.00%</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Estimated forfeiture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4.43%</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2.24%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3.66%</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stock option awards granted during the year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$12.64</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$10.49</w:t>
            </w: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The Company estimated the future volatility of its common stock using the historical value of its stock for a period of time commensurate with the expected term of the stock option. The expected term was estimated using the simplified method outlined in Staff Accounting Bulletin Topic 14. The risk-free interest rate is the rate for constant yield U.S. Treasury securities with a term to maturity that is consistent with the expected term of the award.</w:t>
      </w:r>
    </w:p>
    <w:p>
      <w:pPr>
        <w:spacing w:after="0" w:line="5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Summarized information about stock options outstanding at December 31, 2019 under the 2003 Plan, the 2012 Incentive Plan and the 2019 Incentive Plan (collectively, the “LTIPs”)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average</w:t>
            </w:r>
          </w:p>
        </w:tc>
      </w:tr>
      <w:tr>
        <w:trPr>
          <w:trHeight w:val="234"/>
        </w:trPr>
        <w:tc>
          <w:tcPr>
            <w:tcW w:w="76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exercise price</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2018</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14.80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27.91</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Options outstanding at December 31, 2019</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22.64</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Options outstanding at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Options exercisable at</w:t>
            </w: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average</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remaining</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outstanding </w:t>
            </w:r>
            <w:r>
              <w:rPr>
                <w:rFonts w:ascii="Arial" w:cs="Arial" w:eastAsia="Arial" w:hAnsi="Arial"/>
                <w:sz w:val="16"/>
                <w:szCs w:val="16"/>
                <w:b w:val="1"/>
                <w:bCs w:val="1"/>
                <w:color w:val="auto"/>
                <w:w w:val="89"/>
              </w:rPr>
              <w:t>(in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contractual</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 xml:space="preserve">exercisable </w:t>
            </w:r>
            <w:r>
              <w:rPr>
                <w:rFonts w:ascii="Arial" w:cs="Arial" w:eastAsia="Arial" w:hAnsi="Arial"/>
                <w:sz w:val="16"/>
                <w:szCs w:val="16"/>
                <w:b w:val="1"/>
                <w:bCs w:val="1"/>
                <w:color w:val="auto"/>
                <w:w w:val="88"/>
              </w:rPr>
              <w:t>(in</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3"/>
              </w:rPr>
              <w:t>exercise</w:t>
            </w:r>
          </w:p>
        </w:tc>
      </w:tr>
      <w:tr>
        <w:trPr>
          <w:trHeight w:val="234"/>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Range of exercise prices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life</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price</w:t>
            </w:r>
          </w:p>
        </w:tc>
      </w:tr>
      <w:tr>
        <w:trPr>
          <w:trHeight w:val="27"/>
        </w:trPr>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$13.22 - $15.40</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933</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14.97</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$20.01 - $22.70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21.95</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$25.31 - $29.68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1,599</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27.66</w:t>
            </w:r>
          </w:p>
        </w:tc>
      </w:tr>
    </w:tbl>
    <w:p>
      <w:pPr>
        <w:spacing w:after="0" w:line="39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December 31, 2019, the aggregate intrinsic value was $3.3 million for outstanding options and $1.8 million for exercisable options, based on the closing price of Matador’s common stock on the appropriate date under the LTIPs. The remaining weighted average contractual term of exercisable options at December 31, 2019 was 1.69 years.</w:t>
      </w:r>
    </w:p>
    <w:p>
      <w:pPr>
        <w:spacing w:after="0" w:line="23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total intrinsic value of options exercised during the years ended December 31, 2019, 2018 and 2017 was $0.8 million, $7.0 million and $13.2 million, respectively. The tax related benefit realized from the exercise of stock options totaled $2.8 million, $5.7 million and $5.0 million for the years ended December 31, 2019, 2018 and 2017,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21"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 Continued</w:t>
      </w:r>
    </w:p>
    <w:p>
      <w:pPr>
        <w:spacing w:after="0" w:line="391"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December 31, 2019, the total remaining unrecognized compensation expense related to unvested stock options was approximately $5.5 million and the weighted average remaining requisite service period (vesting period) of all unvested stock options was 1.72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options vested during 2019, 2018 and 2017 was $9.7 million, $11.8 million and $2.1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Service-Based Restricted Stock, Restricted Stock Units and Common Stock</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The Company has granted stock, restricted stock and restricted stock unit awards to employees,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2018 and 2017 were service-based awards and vest over the service period, which is one to four years. Restricted stock and restricted stock units granted in 2019 were either service-based awards, which will settle in cash or equity, or performance-based restricted stock units, which vest in an amount between zero and 200% of the target units granted based on the Company’s relative total shareholder return over the three-year period ending December 31, 2021, as compared to a designated peer group, and will be settled in stock. All restricted stock and restricted stock unit awards outstanding at December 31, 2019 were granted under the 2012 Incentive Plan and the 2019 Incentive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Equity-Based</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summary of the non-vested equity-based restricted stock and restricted stock units as of December 31, 2019 is presented below (in thousands, except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Restricted Stock</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7"/>
              </w:rPr>
              <w:t>Restricted Stock Units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6"/>
              </w:rPr>
              <w:t>Service Based</w:t>
            </w:r>
          </w:p>
        </w:tc>
        <w:tc>
          <w:tcPr>
            <w:tcW w:w="2480" w:type="dxa"/>
            <w:vAlign w:val="bottom"/>
            <w:gridSpan w:val="5"/>
          </w:tcPr>
          <w:p>
            <w:pPr>
              <w:ind w:left="660"/>
              <w:spacing w:after="0"/>
              <w:rPr>
                <w:sz w:val="20"/>
                <w:szCs w:val="20"/>
                <w:color w:val="auto"/>
              </w:rPr>
            </w:pPr>
            <w:r>
              <w:rPr>
                <w:rFonts w:ascii="Arial" w:cs="Arial" w:eastAsia="Arial" w:hAnsi="Arial"/>
                <w:sz w:val="18"/>
                <w:szCs w:val="18"/>
                <w:b w:val="1"/>
                <w:bCs w:val="1"/>
                <w:color w:val="auto"/>
              </w:rPr>
              <w:t>Service Based</w:t>
            </w:r>
          </w:p>
        </w:tc>
        <w:tc>
          <w:tcPr>
            <w:tcW w:w="23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Performance Based</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Non-vested restricted stock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fair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fair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fair</w:t>
            </w:r>
          </w:p>
        </w:tc>
      </w:tr>
      <w:tr>
        <w:trPr>
          <w:trHeight w:val="234"/>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restricted stock units</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Liability-Based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non-vested liability-based restricted stock units as of December 31, 2019 is presented below (in thousands, except fair value).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Non-vested</w:t>
            </w:r>
          </w:p>
        </w:tc>
        <w:tc>
          <w:tcPr>
            <w:tcW w:w="1140" w:type="dxa"/>
            <w:vAlign w:val="bottom"/>
          </w:tcPr>
          <w:p>
            <w:pPr>
              <w:spacing w:after="0"/>
              <w:rPr>
                <w:sz w:val="18"/>
                <w:szCs w:val="18"/>
                <w:color w:val="auto"/>
              </w:rPr>
            </w:pPr>
          </w:p>
        </w:tc>
      </w:tr>
      <w:tr>
        <w:trPr>
          <w:trHeight w:val="234"/>
        </w:trPr>
        <w:tc>
          <w:tcPr>
            <w:tcW w:w="10280" w:type="dxa"/>
            <w:vAlign w:val="bottom"/>
            <w:gridSpan w:val="2"/>
          </w:tcPr>
          <w:p>
            <w:pPr>
              <w:ind w:left="40"/>
              <w:spacing w:after="0"/>
              <w:rPr>
                <w:sz w:val="20"/>
                <w:szCs w:val="20"/>
                <w:color w:val="auto"/>
              </w:rPr>
            </w:pPr>
            <w:r>
              <w:rPr>
                <w:rFonts w:ascii="Arial" w:cs="Arial" w:eastAsia="Arial" w:hAnsi="Arial"/>
                <w:sz w:val="18"/>
                <w:szCs w:val="18"/>
                <w:b w:val="1"/>
                <w:bCs w:val="1"/>
                <w:color w:val="auto"/>
              </w:rPr>
              <w:t>restricted stock units</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r>
      <w:tr>
        <w:trPr>
          <w:trHeight w:val="27"/>
        </w:trPr>
        <w:tc>
          <w:tcPr>
            <w:tcW w:w="10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687</w:t>
            </w:r>
          </w:p>
        </w:tc>
      </w:tr>
      <w:tr>
        <w:trPr>
          <w:trHeight w:val="27"/>
        </w:trPr>
        <w:tc>
          <w:tcPr>
            <w:tcW w:w="10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0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r>
      <w:tr>
        <w:trPr>
          <w:trHeight w:val="20"/>
        </w:trPr>
        <w:tc>
          <w:tcPr>
            <w:tcW w:w="10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At December 31, 2019, the aggregate intrinsic value for the restricted stock and restricted stock units outstanding was $37.7 million, of which $12.3 million is expected to be settled in cash as calculated based on the maximum number of shares of restricted stock and restricted stock units vesting, based on the closing price of Matador’s common stock on the appropriate date under the LTIPs.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 — Continued</w:t>
      </w:r>
    </w:p>
    <w:p>
      <w:pPr>
        <w:spacing w:after="0" w:line="33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At December 31, 2019, the total remaining unrecognized compensation expense related to unvested restricted stock and restricted stock units was approximately $28.3 million, of which $9.1 million is expected to be settled in cash, and the weighted average remaining requisite service period (vesting period) of all non-vested restricted stock and restricted stock units was 1.80 years.</w:t>
      </w:r>
    </w:p>
    <w:p>
      <w:pPr>
        <w:spacing w:after="0" w:line="7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fair value of restricted stock and restricted stock units vested during 2019, 2018 and 2017 was $13.6 million, $13.0 million and $9.9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the years ended December 31, 2019, 2018 and 2017, the total expense attributable to stock options was $6.4 million, $6.3 million and $7.1 million, respectively. At December 31, 2019, 2018 and 2017, the Company recorded a decrease of $0.1 million to current liabilities, a decrease of $1.1 million to long-term liabilities and an increase of $0.4 million to long-term liabilities, respectively, related to its outstanding liability-based stock options. The Company did not settle any liability-based awards in cash for the years ended December 31, 2019, 2018 and 2017, respectively. During the years ended December 31, 2019, 2018 and 2017, the total expense attributable to restricted stock and restricted stock units was $20.2 million, $15.3 million and $12.9 million, respectively. During the years ended December 31, 2019, 2018 and 2017, the Company capitalized $5.0 million, $4.4 million and $4.1 million, respectively, related to stock-based compensation and expensed the remaining $21.6 million, $17.2 million and $16.7 million, respectively.</w:t>
      </w:r>
    </w:p>
    <w:p>
      <w:pPr>
        <w:spacing w:after="0" w:line="17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total tax benefit recognized for all stock-based compensation was $5.6 million, $4.8 million and $6.8 million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00" w:right="262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401(k) Plan</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which equals 3% of the employee’s annual compensation, referred to as the Employer’s Safe Harbor Non-Elective Contribution, which totaled $1.4 million, $1.1 million and $0.9 million in 2019, 2018 and 2017, respectively. In addition, each year, the Company may make a discretionary matching contribution, as well as additional contributions. The Company’s discretionary matching contributions totaled $1.7 million, $1.4 million and $1.1 million in 2019, 2018 and 2017, respectively. The Company made no additional contributions in any reporting period presented.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On May 17, 2018, the Company completed a public offering of 7,000,000 shares of its common stock. After deducting offering costs totaling approximately $0.2 million, the Company received net proceeds of approximately $226.4 million.</w:t>
      </w:r>
    </w:p>
    <w:p>
      <w:pPr>
        <w:spacing w:after="0" w:line="62"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On October 10, 2017, the Company completed a public offering of 8,000,000 shares of its common stock. After deducting offering costs totaling approximately $0.3 million, the Company received net proceeds of approximately $208.4 million.</w:t>
      </w:r>
    </w:p>
    <w:p>
      <w:pPr>
        <w:spacing w:after="0" w:line="6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June 1, 2017, the shareholders of the Company approved an amendment to the Company’s Amended and Restated Certificate of Formation that authorized an increase in the number of authorized shares of common stock from 120,000,000 to 160,000,000 shares.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Treasury Stock</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October 24, 2019, October 25, 2018 and November 1, 2017, Matador’s Board of Directors canceled all of the shares of treasury stock outstanding as of September 30, 2019, 2018 and 2017, respectively. These shares were restored to the status of authorized but unissued shares of common stock of the Company.</w:t>
      </w:r>
    </w:p>
    <w:p>
      <w:pPr>
        <w:spacing w:after="0" w:line="73"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shares of treasury stock outstanding at December 31, 2019, 2018 and 2017 represent forfeitures of non-vested restricted stock awards and forfeitures of fully vested restricted stock awards due to net share settlements with employees.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Company’s Amended and Restated Certificate of Formation authorizes 2,000,000 shares of preferred stock. Before any such shares are issued, the Board of Directors shall fix and determine the designations, preferences, limitations and relative rights, including voting rights of the shares of each such series.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121"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w:t>
      </w:r>
    </w:p>
    <w:p>
      <w:pPr>
        <w:spacing w:after="0" w:line="200" w:lineRule="exact"/>
        <w:rPr>
          <w:sz w:val="20"/>
          <w:szCs w:val="20"/>
          <w:color w:val="auto"/>
        </w:rPr>
      </w:pPr>
    </w:p>
    <w:p>
      <w:pPr>
        <w:spacing w:after="0" w:line="35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operations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8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At December 31, 2019, the Company had various costless collar and swap contracts open and in place to mitigate its exposure to oil price volatility, each with a specific term (calculation period), notional quantity (volume hedged) and price floor and ceiling and fixed price for the swaps. Each contract is set to expire at varying times during 2020, 2021 and 2022. The Company had no open contracts associated with natural gas or NGL prices at December 31, 2019.</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Company’s open costless collar contracts for oil at December 31,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Asset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Notional Quantity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Floor ($/Bbl 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Ceiling ($/Bbl or</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28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Commodity</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Calculation Period</w:t>
            </w:r>
          </w:p>
        </w:tc>
        <w:tc>
          <w:tcPr>
            <w:tcW w:w="12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(Bbl or MMBtu)</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rPr>
              <w:t>$/MMBtu)</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01/01/2020 - 12/31/2020</w:t>
            </w:r>
          </w:p>
        </w:tc>
        <w:tc>
          <w:tcPr>
            <w:tcW w:w="1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7,200,000</w:t>
            </w:r>
          </w:p>
        </w:tc>
        <w:tc>
          <w:tcPr>
            <w:tcW w:w="920" w:type="dxa"/>
            <w:vAlign w:val="bottom"/>
            <w:tcBorders>
              <w:bottom w:val="single" w:sz="8" w:color="CCEEFF"/>
            </w:tcBorders>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47.69</w:t>
            </w:r>
          </w:p>
        </w:tc>
        <w:tc>
          <w:tcPr>
            <w:tcW w:w="3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57"/>
        </w:trPr>
        <w:tc>
          <w:tcPr>
            <w:tcW w:w="2880" w:type="dxa"/>
            <w:vAlign w:val="bottom"/>
            <w:gridSpan w:val="2"/>
          </w:tcPr>
          <w:p>
            <w:pPr>
              <w:ind w:left="280"/>
              <w:spacing w:after="0"/>
              <w:rPr>
                <w:sz w:val="20"/>
                <w:szCs w:val="20"/>
                <w:color w:val="auto"/>
              </w:rPr>
            </w:pPr>
            <w:r>
              <w:rPr>
                <w:rFonts w:ascii="Arial" w:cs="Arial" w:eastAsia="Arial" w:hAnsi="Arial"/>
                <w:sz w:val="18"/>
                <w:szCs w:val="18"/>
                <w:color w:val="auto"/>
                <w:w w:val="91"/>
              </w:rPr>
              <w:t>Total open costless collar contracts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8040" w:type="dxa"/>
            <w:vAlign w:val="bottom"/>
            <w:gridSpan w:val="12"/>
            <w:vMerge w:val="restart"/>
          </w:tcPr>
          <w:p>
            <w:pPr>
              <w:ind w:left="440"/>
              <w:spacing w:after="0"/>
              <w:rPr>
                <w:sz w:val="20"/>
                <w:szCs w:val="20"/>
                <w:color w:val="auto"/>
              </w:rPr>
            </w:pPr>
            <w:r>
              <w:rPr>
                <w:rFonts w:ascii="Arial" w:cs="Arial" w:eastAsia="Arial" w:hAnsi="Arial"/>
                <w:sz w:val="18"/>
                <w:szCs w:val="18"/>
                <w:color w:val="auto"/>
                <w:w w:val="91"/>
              </w:rPr>
              <w:t>The following is a summary of the Company’s open basis swaps contracts for oil at December 31, 2019.</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4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1"/>
              </w:rPr>
              <w:t>Notional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Asset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4"/>
              </w:rPr>
              <w:t>Quantity (Bbl 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Fixed Price</w:t>
            </w: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5"/>
          </w:tcPr>
          <w:p>
            <w:pPr>
              <w:ind w:left="920"/>
              <w:spacing w:after="0"/>
              <w:rPr>
                <w:sz w:val="20"/>
                <w:szCs w:val="20"/>
                <w:color w:val="auto"/>
              </w:rPr>
            </w:pPr>
            <w:r>
              <w:rPr>
                <w:rFonts w:ascii="Arial" w:cs="Arial" w:eastAsia="Arial" w:hAnsi="Arial"/>
                <w:sz w:val="18"/>
                <w:szCs w:val="18"/>
                <w:b w:val="1"/>
                <w:bCs w:val="1"/>
                <w:color w:val="auto"/>
              </w:rPr>
              <w:t>Calculation Period</w:t>
            </w:r>
          </w:p>
        </w:tc>
        <w:tc>
          <w:tcPr>
            <w:tcW w:w="10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Gal)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5"/>
          </w:tcPr>
          <w:p>
            <w:pPr>
              <w:ind w:left="20"/>
              <w:spacing w:after="0"/>
              <w:rPr>
                <w:sz w:val="20"/>
                <w:szCs w:val="20"/>
                <w:color w:val="auto"/>
              </w:rPr>
            </w:pPr>
            <w:r>
              <w:rPr>
                <w:rFonts w:ascii="Arial" w:cs="Arial" w:eastAsia="Arial" w:hAnsi="Arial"/>
                <w:sz w:val="18"/>
                <w:szCs w:val="18"/>
                <w:b w:val="1"/>
                <w:bCs w:val="1"/>
                <w:color w:val="auto"/>
              </w:rPr>
              <w:t>($/Bbl or $/Gal)</w:t>
            </w: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24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w w:val="96"/>
              </w:rPr>
              <w:t>01/01/2020 - 12/31/2020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89"/>
              </w:rPr>
              <w:t>9,774,000</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Oil Basis Swaps</w:t>
            </w:r>
          </w:p>
        </w:tc>
        <w:tc>
          <w:tcPr>
            <w:tcW w:w="2400" w:type="dxa"/>
            <w:vAlign w:val="bottom"/>
            <w:gridSpan w:val="3"/>
          </w:tcPr>
          <w:p>
            <w:pPr>
              <w:ind w:left="480"/>
              <w:spacing w:after="0"/>
              <w:rPr>
                <w:sz w:val="20"/>
                <w:szCs w:val="20"/>
                <w:color w:val="auto"/>
              </w:rPr>
            </w:pPr>
            <w:r>
              <w:rPr>
                <w:rFonts w:ascii="Arial" w:cs="Arial" w:eastAsia="Arial" w:hAnsi="Arial"/>
                <w:sz w:val="18"/>
                <w:szCs w:val="18"/>
                <w:color w:val="auto"/>
                <w:w w:val="96"/>
              </w:rPr>
              <w:t>01/01/2021 - 12/31/2021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ind w:left="180"/>
              <w:spacing w:after="0"/>
              <w:rPr>
                <w:sz w:val="20"/>
                <w:szCs w:val="20"/>
                <w:color w:val="auto"/>
              </w:rPr>
            </w:pPr>
            <w:r>
              <w:rPr>
                <w:rFonts w:ascii="Arial" w:cs="Arial" w:eastAsia="Arial" w:hAnsi="Arial"/>
                <w:sz w:val="18"/>
                <w:szCs w:val="18"/>
                <w:color w:val="auto"/>
                <w:w w:val="89"/>
              </w:rPr>
              <w:t>6,480,000</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28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24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w w:val="96"/>
              </w:rPr>
              <w:t>01/01/2022 - 12/31/2022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89"/>
              </w:rPr>
              <w:t>3,600,000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57"/>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Total open swap contracts</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the Company had an aggregate net liability value for open derivative financial instruments of $3.9 million.</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 — Continued</w:t>
      </w:r>
    </w:p>
    <w:p>
      <w:pPr>
        <w:spacing w:after="0" w:line="33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the gross asset and liability fair values of the Company’s commodity price derivative financial instruments and the location of these balances in the consolidated balance sheets as of December 31, 2019 and December 31, 2018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 balance</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consolidated balance</w:t>
            </w:r>
          </w:p>
        </w:tc>
      </w:t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sheets</w:t>
            </w: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sheets</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442,291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(442,291)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(444,188)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442,291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280,397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r>
      <w:tr>
        <w:trPr>
          <w:trHeight w:val="297"/>
        </w:trPr>
        <w:tc>
          <w:tcPr>
            <w:tcW w:w="6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49,929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The following table summarizes the location and aggregate gain (loss) of all derivative financial instruments recorded in the consolidated statements of operations for the periods presented (in thousands). These derivative financial instruments are not designated as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45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Type of Instrument</w:t>
            </w:r>
          </w:p>
        </w:tc>
        <w:tc>
          <w:tcPr>
            <w:tcW w:w="4580" w:type="dxa"/>
            <w:vAlign w:val="bottom"/>
            <w:gridSpan w:val="2"/>
          </w:tcPr>
          <w:p>
            <w:pPr>
              <w:ind w:left="800"/>
              <w:spacing w:after="0"/>
              <w:rPr>
                <w:sz w:val="20"/>
                <w:szCs w:val="20"/>
                <w:color w:val="auto"/>
              </w:rPr>
            </w:pPr>
            <w:r>
              <w:rPr>
                <w:rFonts w:ascii="Arial" w:cs="Arial" w:eastAsia="Arial" w:hAnsi="Arial"/>
                <w:sz w:val="18"/>
                <w:szCs w:val="18"/>
                <w:b w:val="1"/>
                <w:bCs w:val="1"/>
                <w:color w:val="auto"/>
              </w:rPr>
              <w:t>Location in Statements of Operations</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Oil</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Revenues: Realized gain (loss) on derivatives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Natural Gas</w:t>
            </w: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gain (loss) on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NGLs</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Revenues: Realized loss on derivatives</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Realized gain (loss) on derivatives</w:t>
            </w:r>
          </w:p>
        </w:tc>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Oil</w:t>
            </w: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Revenues: Unrealized (loss) gain on derivatives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(53,443)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65,991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Natural Gas</w:t>
            </w:r>
          </w:p>
        </w:tc>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(loss) gain on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37"/>
        </w:trPr>
        <w:tc>
          <w:tcPr>
            <w:tcW w:w="3900" w:type="dxa"/>
            <w:vAlign w:val="bottom"/>
            <w:gridSpan w:val="2"/>
          </w:tcPr>
          <w:p>
            <w:pPr>
              <w:ind w:left="500"/>
              <w:spacing w:after="0"/>
              <w:rPr>
                <w:sz w:val="20"/>
                <w:szCs w:val="20"/>
                <w:color w:val="auto"/>
              </w:rPr>
            </w:pPr>
            <w:r>
              <w:rPr>
                <w:rFonts w:ascii="Arial" w:cs="Arial" w:eastAsia="Arial" w:hAnsi="Arial"/>
                <w:sz w:val="18"/>
                <w:szCs w:val="18"/>
                <w:color w:val="auto"/>
              </w:rPr>
              <w:t>Unrealized (loss) gain on derivatives</w:t>
            </w: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(53,727)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4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(44,245)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2"/>
            <w:vMerge w:val="restart"/>
          </w:tcPr>
          <w:p>
            <w:pPr>
              <w:ind w:left="1640"/>
              <w:spacing w:after="0"/>
              <w:rPr>
                <w:sz w:val="20"/>
                <w:szCs w:val="20"/>
                <w:color w:val="auto"/>
              </w:rPr>
            </w:pPr>
            <w:r>
              <w:rPr>
                <w:rFonts w:ascii="Arial" w:cs="Arial" w:eastAsia="Arial" w:hAnsi="Arial"/>
                <w:sz w:val="18"/>
                <w:szCs w:val="18"/>
                <w:color w:val="auto"/>
              </w:rPr>
              <w:t>F-36</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31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4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December 31, 2019 and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Fair Value Measurements at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December 31, 2019 using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3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Fair Value Measurements at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December 31, 2018 using</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0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3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49,562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49,562</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37"/>
        </w:trPr>
        <w:tc>
          <w:tcPr>
            <w:tcW w:w="7000" w:type="dxa"/>
            <w:vAlign w:val="bottom"/>
            <w:gridSpan w:val="2"/>
          </w:tcPr>
          <w:p>
            <w:pPr>
              <w:ind w:left="6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49,846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240" w:firstLine="441"/>
        <w:spacing w:after="0" w:line="271" w:lineRule="auto"/>
        <w:rPr>
          <w:sz w:val="20"/>
          <w:szCs w:val="20"/>
          <w:color w:val="auto"/>
        </w:rPr>
      </w:pPr>
      <w:r>
        <w:rPr>
          <w:rFonts w:ascii="Arial" w:cs="Arial" w:eastAsia="Arial" w:hAnsi="Arial"/>
          <w:sz w:val="18"/>
          <w:szCs w:val="18"/>
          <w:color w:val="auto"/>
        </w:rPr>
        <w:t>At December 31, 2019 and 2018, the carrying values reported on the consolidated balance sheets for accounts receivable, prepaid expenses and other current assets, accounts payable, accrued liabilities, royalties payable, amounts due to affiliates, advances from joint interest owners, amounts due to joint ventures and other current liabilities approximate their fair values due to their short-term maturities.</w:t>
      </w:r>
    </w:p>
    <w:p>
      <w:pPr>
        <w:spacing w:after="0" w:line="6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At December 31,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7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At December 31, 2019 and 2018, the fair value of the Notes was $1.06 billion and $968.9 million, respectively, based on quoted market prices, which represent Level 1 inputs in the fair value hierarchy.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 Continued</w:t>
      </w:r>
    </w:p>
    <w:p>
      <w:pPr>
        <w:spacing w:after="0" w:line="33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impairment to its lease and well equipment inventory or other property and equipment in 2019 and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From time to time, the Company enters into agreements with third parties whereby the Company commits to deliver anticipated natural gas and oil production and salt water from certain portions of its acreage for gathering, transportation, processing, fractionation, sales and, in the case of salt water, disposal. The Company paid approximately $28.7 million and $20.6 million for deliveries under these agreements during the years ended December 31, 2019 and 2018,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December 31, 2019, the total deficiencies required to be paid by the Company under these agreements would be approximately $406.8 million, in addition to the commitments described below.</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Future Commitments</w:t>
      </w:r>
    </w:p>
    <w:p>
      <w:pPr>
        <w:spacing w:after="0" w:line="11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In late 2017, the Company entered into a fixed-fee NGL sales agreement whereby the Company committed to deliver its NGL production at the tailgate of the Black River Processing Plant to a certain counterparty. The Company is committed to deliver a minimum amount of NGLs to the counterparty upon construction and completion of a pipeline extension and a fractionation facility by the counterparty, which is currently expected to be completed in 2020.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$132.3 million.</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October 2019, the Company entered into a 15-year, fixed-fee natural gas transportation agreement whereby the Company committed to deliver a portion of the residue gas production at the tailgate of the Black River Processing Plant to transport through the counterparty’s pipeline. The agreement begins when the counterparty’s pipeline is placed in service, which is anticipated to be the third quarter of 2020. Should the pipeline be placed in service, the Company will owe the fees to transport the committed volume whether or not the committed volume is transported through the counterparty’s pipeline, and the minimum contractual obligation would be approximately $106.9 million.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 In addition, the Company dedicated its current and future leasehold interests in the Rustler Breaks asset area pursuant to a 15-year, fixed-fee natural gas processing agreement (collectively with the gathering and salt water disposal agreements, the “Operational Agreements”). San Mateo I provides the Company with firm service under each of the Operational Agreements in exchange for certain minimum volume commitments. The minimum contractual obligation under the Operational Agreements at December 31, 2019 was approximately $152.9 million.</w:t>
      </w:r>
    </w:p>
    <w:p>
      <w:pPr>
        <w:spacing w:after="0" w:line="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connection with the February 2019 formation of San Mateo II, the Company dedicated to San Mateo II acreage in the Greater Stebbins Area and the Stateline asset area pursuant to 15-year, fixed-fee agreements for oil, natural gas and salt water gathering, natural gas processing and salt water disposal (collectively, the “San Mateo II Operational Agreements”). San Mateo II provides the Company with firm service under each of the San Mateo II Operational Agreements in exchange for certain minimum volume commitments. The minimum contractual obligation under the San Mateo II Operational Agreements at inception was approximately $363.8 million and begins in 2020.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1"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360" w:right="25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 — Continued</w:t>
      </w:r>
    </w:p>
    <w:p>
      <w:pPr>
        <w:spacing w:after="0" w:line="33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June 2019, a subsidiary of San Mateo II entered into an agreement with third parties for the engineering, procurement, construction and installation of an expansion of the Black River Processing Plant, including required compression. The expansion is expected to be placed in service in 2020. San Mateo II’s total commitments under this agreement are $80.4 million. San Mateo II paid approximately $40.1 million under this agreement during the year ended December 31, 2019. As of December 31, 2019, the remaining obligations under this agreement were $40.3 million, which are expected to be paid within the next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$41.7 million at December 31, 2019, of which $1.2 million is related to short-term drilling rig contracts, which are not recorded on the consolidated balance sheet.</w:t>
      </w:r>
    </w:p>
    <w:p>
      <w:pPr>
        <w:spacing w:after="0" w:line="7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At December 31, 2019, the Company had outstanding commitments to participate in the drilling and completion of various non-operated wells. If all of these wells are drilled and completed as proposed, the Company’s minimum outstanding aggregate commitments for its participation in these non-operated wells were approximately $26.9 million at December 31, 2019. The Company expects these costs to be incurred within the next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20"/>
          </w:cols>
          <w:pgMar w:left="240" w:top="121"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3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SUPPLEMENTAL 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December 31, 2019 and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86,318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midstream properties costs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46,402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16,808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22,448</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17,037</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payable related to purchased natural gas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9,747</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170,855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supplemental disclosures of cash flow information for the years ended December 31, 2019, 2018 and 2017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4,385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asset retirement obligations related to midstream properties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(Decrease) increase in liabilities for oil and natural gas properties 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(16,802)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48,929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liabilities for midstream properties 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Stock-based compensation expense (benefit) recognized as liability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liabilities for accrued cost to issue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in liabilities for accrued cost to issue senior notes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from (to) oil and natural gas properties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Transfer of inventory to midstream properties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r>
    </w:tbl>
    <w:p>
      <w:pPr>
        <w:spacing w:after="0" w:line="121"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19,439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5,977</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102,482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12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w:t>
      </w:r>
    </w:p>
    <w:p>
      <w:pPr>
        <w:sectPr>
          <w:pgSz w:w="11900" w:h="16838" w:orient="portrait"/>
          <w:cols w:equalWidth="0" w:num="1">
            <w:col w:w="11420"/>
          </w:cols>
          <w:pgMar w:left="240" w:top="121"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121" w:right="2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3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 Continued</w:t>
      </w:r>
    </w:p>
    <w:p>
      <w:pPr>
        <w:spacing w:after="0" w:line="33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oil transportation services, oil, natural gas and salt water gathering services and salt water disposal services to third parties. Substantially all of the Company’s midstream operations in the Rustler Breaks and Wolf asset areas in the Delaware Basin are conducted through San Mateo (see Note 6).</w:t>
      </w:r>
    </w:p>
    <w:p>
      <w:pPr>
        <w:spacing w:after="0" w:line="3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Exploration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Consolidations and</w:t>
            </w: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and Production</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886,127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892,325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74,769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bonus - mineral acreage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(53,727)</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621,687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130,612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72,734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(76,843)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748,190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226,708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235,480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line="251"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(3)</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3,360,725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647,937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61,014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4,069,676</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(4)</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718,712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223,612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946,025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00" w:right="340" w:hanging="330"/>
        <w:spacing w:after="0" w:line="273" w:lineRule="auto"/>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$331.7 million and $16.1 million for the exploration and production and midstream segments, respectively. Also includes corporate depletion, depreciation and amortization expenses of $2.7 million.</w:t>
      </w:r>
    </w:p>
    <w:p>
      <w:pPr>
        <w:spacing w:after="0" w:line="65" w:lineRule="exact"/>
        <w:rPr>
          <w:rFonts w:ascii="Arial" w:cs="Arial" w:eastAsia="Arial" w:hAnsi="Arial"/>
          <w:sz w:val="14"/>
          <w:szCs w:val="14"/>
          <w:color w:val="auto"/>
        </w:rPr>
      </w:pPr>
    </w:p>
    <w:p>
      <w:pPr>
        <w:ind w:left="500" w:hanging="330"/>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$35.2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500" w:hanging="330"/>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09" w:lineRule="exact"/>
        <w:rPr>
          <w:rFonts w:ascii="Arial" w:cs="Arial" w:eastAsia="Arial" w:hAnsi="Arial"/>
          <w:sz w:val="14"/>
          <w:szCs w:val="14"/>
          <w:color w:val="auto"/>
        </w:rPr>
      </w:pPr>
    </w:p>
    <w:p>
      <w:pPr>
        <w:ind w:left="500" w:right="160" w:hanging="330"/>
        <w:spacing w:after="0" w:line="273" w:lineRule="auto"/>
        <w:tabs>
          <w:tab w:leader="none" w:pos="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$48.3 million attributable to land and seismic acquisition expenditures related to the exploration and production segment and $145.4 million in capital expenditures attributable to non-controlling interest in subsidiaries related to the midstream segment.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80" w:right="2640"/>
        <w:spacing w:after="0" w:line="337"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Exploration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and Production</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6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794,261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800,700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bonus - mineral acreage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65,085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487,539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44,098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69,508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536,328</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377,532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363,271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line="251"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(3)</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2,910,326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439,953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105,239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3,455,518</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1,335,690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1,504,659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320" w:hanging="330"/>
        <w:spacing w:after="0" w:line="273"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$252.3 million and $10.5 million for the exploration and production and midstream segments, respectively. Also includes corporate depletion, depreciation and amortization expenses of $2.4 million.</w:t>
      </w:r>
    </w:p>
    <w:p>
      <w:pPr>
        <w:spacing w:after="0" w:line="65" w:lineRule="exact"/>
        <w:rPr>
          <w:rFonts w:ascii="Arial" w:cs="Arial" w:eastAsia="Arial" w:hAnsi="Arial"/>
          <w:sz w:val="14"/>
          <w:szCs w:val="14"/>
          <w:color w:val="auto"/>
        </w:rPr>
      </w:pPr>
    </w:p>
    <w:p>
      <w:pPr>
        <w:ind w:left="500" w:hanging="330"/>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$25.6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500" w:hanging="330"/>
        <w:spacing w:after="0"/>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09" w:lineRule="exact"/>
        <w:rPr>
          <w:rFonts w:ascii="Arial" w:cs="Arial" w:eastAsia="Arial" w:hAnsi="Arial"/>
          <w:sz w:val="14"/>
          <w:szCs w:val="14"/>
          <w:color w:val="auto"/>
        </w:rPr>
      </w:pPr>
    </w:p>
    <w:p>
      <w:pPr>
        <w:ind w:left="500" w:right="140" w:hanging="330"/>
        <w:spacing w:after="0" w:line="273" w:lineRule="auto"/>
        <w:tabs>
          <w:tab w:leader="none" w:pos="5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$656.9 million attributable to land and seismic acquisition expenditures related to the exploration and production segment and $80.2 million in capital expenditures attributable to non-controlling interest in subsidiaries related to the midstream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Exploration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and Production</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6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525,862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528,684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333,923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23,420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383,435</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197,333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tcPr>
          <w:p>
            <w:pPr>
              <w:ind w:left="40"/>
              <w:spacing w:after="0" w:line="251" w:lineRule="exact"/>
              <w:rPr>
                <w:sz w:val="20"/>
                <w:szCs w:val="20"/>
                <w:color w:val="auto"/>
              </w:rPr>
            </w:pPr>
            <w:r>
              <w:rPr>
                <w:rFonts w:ascii="Arial" w:cs="Arial" w:eastAsia="Arial" w:hAnsi="Arial"/>
                <w:sz w:val="18"/>
                <w:szCs w:val="18"/>
                <w:color w:val="auto"/>
              </w:rPr>
              <w:t>Total assets</w:t>
            </w:r>
            <w:r>
              <w:rPr>
                <w:rFonts w:ascii="Arial" w:cs="Arial" w:eastAsia="Arial" w:hAnsi="Arial"/>
                <w:sz w:val="25"/>
                <w:szCs w:val="25"/>
                <w:color w:val="auto"/>
                <w:vertAlign w:val="superscript"/>
              </w:rPr>
              <w:t>(3)</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1,768,393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257,871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119,426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2,145,690</w:t>
            </w:r>
          </w:p>
        </w:tc>
        <w:tc>
          <w:tcPr>
            <w:tcW w:w="0" w:type="dxa"/>
            <w:vAlign w:val="bottom"/>
          </w:tcPr>
          <w:p>
            <w:pPr>
              <w:spacing w:after="0"/>
              <w:rPr>
                <w:sz w:val="1"/>
                <w:szCs w:val="1"/>
                <w:color w:val="auto"/>
              </w:rPr>
            </w:pPr>
          </w:p>
        </w:tc>
      </w:tr>
      <w:tr>
        <w:trPr>
          <w:trHeight w:val="251"/>
        </w:trPr>
        <w:tc>
          <w:tcPr>
            <w:tcW w:w="412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(4)</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753,157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872,958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400" w:hanging="330"/>
        <w:spacing w:after="0" w:line="273" w:lineRule="auto"/>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$170.5 million and $5.2 million for the exploration and production and midstream segments, respectively. Also includes corporate depletion, depreciation and amortization expenses of $1.7 million.</w:t>
      </w:r>
    </w:p>
    <w:p>
      <w:pPr>
        <w:spacing w:after="0" w:line="65" w:lineRule="exact"/>
        <w:rPr>
          <w:rFonts w:ascii="Arial" w:cs="Arial" w:eastAsia="Arial" w:hAnsi="Arial"/>
          <w:sz w:val="14"/>
          <w:szCs w:val="14"/>
          <w:color w:val="auto"/>
        </w:rPr>
      </w:pPr>
    </w:p>
    <w:p>
      <w:pPr>
        <w:ind w:left="500" w:hanging="330"/>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$12.1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500" w:hanging="330"/>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09" w:lineRule="exact"/>
        <w:rPr>
          <w:rFonts w:ascii="Arial" w:cs="Arial" w:eastAsia="Arial" w:hAnsi="Arial"/>
          <w:sz w:val="14"/>
          <w:szCs w:val="14"/>
          <w:color w:val="auto"/>
        </w:rPr>
      </w:pPr>
    </w:p>
    <w:p>
      <w:pPr>
        <w:ind w:left="500" w:hanging="330"/>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$54.9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121"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SUBSIDIARY GUARANTORS</w:t>
      </w:r>
    </w:p>
    <w:p>
      <w:pPr>
        <w:spacing w:after="0" w:line="200" w:lineRule="exact"/>
        <w:rPr>
          <w:sz w:val="20"/>
          <w:szCs w:val="20"/>
          <w:color w:val="auto"/>
        </w:rPr>
      </w:pPr>
    </w:p>
    <w:p>
      <w:pPr>
        <w:spacing w:after="0" w:line="367"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December 31, 2019,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4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following tables present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140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1,578,133</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29,217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(1,607,350)</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assets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240,530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278,492</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583,899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3,115,696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3,699,595</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1,332,237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144,697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(1,476,934)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Long-term assets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99,049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(10,532)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91,589</w:t>
            </w:r>
          </w:p>
        </w:tc>
        <w:tc>
          <w:tcPr>
            <w:tcW w:w="0" w:type="dxa"/>
            <w:vAlign w:val="bottom"/>
          </w:tcPr>
          <w:p>
            <w:pPr>
              <w:spacing w:after="0"/>
              <w:rPr>
                <w:sz w:val="1"/>
                <w:szCs w:val="1"/>
                <w:color w:val="auto"/>
              </w:rPr>
            </w:pPr>
          </w:p>
        </w:tc>
      </w:tr>
      <w:tr>
        <w:trPr>
          <w:trHeight w:val="74"/>
        </w:trPr>
        <w:tc>
          <w:tcPr>
            <w:tcW w:w="408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14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2,910,399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654,121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3,599,972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(3,094,816)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60"/>
        </w:trPr>
        <w:tc>
          <w:tcPr>
            <w:tcW w:w="4080" w:type="dxa"/>
            <w:vAlign w:val="bottom"/>
            <w:shd w:val="clear" w:color="auto" w:fill="CCEEFF"/>
          </w:tcPr>
          <w:p>
            <w:pPr>
              <w:spacing w:after="0"/>
              <w:rPr>
                <w:sz w:val="5"/>
                <w:szCs w:val="5"/>
                <w:color w:val="auto"/>
              </w:rPr>
            </w:pPr>
          </w:p>
        </w:tc>
        <w:tc>
          <w:tcPr>
            <w:tcW w:w="140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 AND EQUITY</w:t>
            </w: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14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1,607,350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(1,607,350)</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400" w:type="dxa"/>
            <w:vAlign w:val="bottom"/>
            <w:gridSpan w:val="3"/>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Current liabilities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73,086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327,595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399,772</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1,039,416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1,039,416</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37,329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300,540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332,790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(9,623)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661,036</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 attributable to Matador Resources Company</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1,833,654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144,697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1,332,237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(1,476,934)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1,833,654</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135,798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135,798</w:t>
            </w:r>
          </w:p>
        </w:tc>
        <w:tc>
          <w:tcPr>
            <w:tcW w:w="0" w:type="dxa"/>
            <w:vAlign w:val="bottom"/>
          </w:tcPr>
          <w:p>
            <w:pPr>
              <w:spacing w:after="0"/>
              <w:rPr>
                <w:sz w:val="1"/>
                <w:szCs w:val="1"/>
                <w:color w:val="auto"/>
              </w:rPr>
            </w:pPr>
          </w:p>
        </w:tc>
      </w:tr>
      <w:tr>
        <w:trPr>
          <w:trHeight w:val="74"/>
        </w:trPr>
        <w:tc>
          <w:tcPr>
            <w:tcW w:w="408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1200" w:type="dxa"/>
            <w:vAlign w:val="bottom"/>
            <w:gridSpan w:val="2"/>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2,910,399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654,121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3,599,972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(3,094,816)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4,069,676</w:t>
            </w:r>
          </w:p>
        </w:tc>
        <w:tc>
          <w:tcPr>
            <w:tcW w:w="0" w:type="dxa"/>
            <w:vAlign w:val="bottom"/>
          </w:tcPr>
          <w:p>
            <w:pPr>
              <w:spacing w:after="0"/>
              <w:rPr>
                <w:sz w:val="1"/>
                <w:szCs w:val="1"/>
                <w:color w:val="auto"/>
              </w:rPr>
            </w:pPr>
          </w:p>
        </w:tc>
      </w:tr>
      <w:tr>
        <w:trPr>
          <w:trHeight w:val="60"/>
        </w:trPr>
        <w:tc>
          <w:tcPr>
            <w:tcW w:w="4080" w:type="dxa"/>
            <w:vAlign w:val="bottom"/>
            <w:tcBorders>
              <w:bottom w:val="single" w:sz="8" w:color="CCEEFF"/>
            </w:tcBorders>
            <w:shd w:val="clear" w:color="auto" w:fill="CCEEFF"/>
          </w:tcPr>
          <w:p>
            <w:pPr>
              <w:spacing w:after="0"/>
              <w:rPr>
                <w:sz w:val="5"/>
                <w:szCs w:val="5"/>
                <w:color w:val="auto"/>
              </w:rPr>
            </w:pPr>
          </w:p>
        </w:tc>
        <w:tc>
          <w:tcPr>
            <w:tcW w:w="120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80" w:type="dxa"/>
            <w:vAlign w:val="bottom"/>
          </w:tcPr>
          <w:p>
            <w:pPr>
              <w:spacing w:after="0"/>
              <w:rPr>
                <w:sz w:val="24"/>
                <w:szCs w:val="24"/>
                <w:color w:val="auto"/>
              </w:rPr>
            </w:pPr>
          </w:p>
        </w:tc>
        <w:tc>
          <w:tcPr>
            <w:tcW w:w="37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center"/>
              <w:ind w:left="728"/>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140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1,244,405</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29,816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(1,274,221)</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assets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34,027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267,549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305,685</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379,052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2,743,812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3,122,864</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1,490,401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(1,585,747)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Long-term assets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23,897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1,479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11,095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(9,502)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74"/>
        </w:trPr>
        <w:tc>
          <w:tcPr>
            <w:tcW w:w="408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14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2,762,812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444,374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3,117,802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(2,869,470)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4080" w:type="dxa"/>
            <w:vAlign w:val="bottom"/>
            <w:shd w:val="clear" w:color="auto" w:fill="CCEEFF"/>
          </w:tcPr>
          <w:p>
            <w:pPr>
              <w:spacing w:after="0"/>
              <w:rPr>
                <w:sz w:val="5"/>
                <w:szCs w:val="5"/>
                <w:color w:val="auto"/>
              </w:rPr>
            </w:pPr>
          </w:p>
        </w:tc>
        <w:tc>
          <w:tcPr>
            <w:tcW w:w="140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 AND EQUITY</w:t>
            </w: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14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1,274,221</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(1,274,221)</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400" w:type="dxa"/>
            <w:vAlign w:val="bottom"/>
            <w:gridSpan w:val="3"/>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Current liabilities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22,874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27,988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279,884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330,022</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1,037,837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1,037,837</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13,221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230,263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73,296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(8,778)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308,002</w:t>
            </w:r>
          </w:p>
        </w:tc>
        <w:tc>
          <w:tcPr>
            <w:tcW w:w="0" w:type="dxa"/>
            <w:vAlign w:val="bottom"/>
          </w:tcPr>
          <w:p>
            <w:pPr>
              <w:spacing w:after="0"/>
              <w:rPr>
                <w:sz w:val="1"/>
                <w:szCs w:val="1"/>
                <w:color w:val="auto"/>
              </w:rPr>
            </w:pPr>
          </w:p>
        </w:tc>
      </w:tr>
      <w:tr>
        <w:trPr>
          <w:trHeight w:val="74"/>
        </w:trPr>
        <w:tc>
          <w:tcPr>
            <w:tcW w:w="4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 attributable to Matador Resources Company</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1,688,880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1,490,401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(1,585,747)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1,688,880</w:t>
            </w:r>
          </w:p>
        </w:tc>
        <w:tc>
          <w:tcPr>
            <w:tcW w:w="0" w:type="dxa"/>
            <w:vAlign w:val="bottom"/>
          </w:tcPr>
          <w:p>
            <w:pPr>
              <w:spacing w:after="0"/>
              <w:rPr>
                <w:sz w:val="1"/>
                <w:szCs w:val="1"/>
                <w:color w:val="auto"/>
              </w:rPr>
            </w:pPr>
          </w:p>
        </w:tc>
      </w:tr>
      <w:tr>
        <w:trPr>
          <w:trHeight w:val="80"/>
        </w:trPr>
        <w:tc>
          <w:tcPr>
            <w:tcW w:w="40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8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90,777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90,777</w:t>
            </w:r>
          </w:p>
        </w:tc>
        <w:tc>
          <w:tcPr>
            <w:tcW w:w="0" w:type="dxa"/>
            <w:vAlign w:val="bottom"/>
          </w:tcPr>
          <w:p>
            <w:pPr>
              <w:spacing w:after="0"/>
              <w:rPr>
                <w:sz w:val="1"/>
                <w:szCs w:val="1"/>
                <w:color w:val="auto"/>
              </w:rPr>
            </w:pPr>
          </w:p>
        </w:tc>
      </w:tr>
      <w:tr>
        <w:trPr>
          <w:trHeight w:val="74"/>
        </w:trPr>
        <w:tc>
          <w:tcPr>
            <w:tcW w:w="408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14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2,762,812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444,374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3,117,802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(2,869,470)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4080" w:type="dxa"/>
            <w:vAlign w:val="bottom"/>
            <w:shd w:val="clear" w:color="auto" w:fill="CCEEFF"/>
          </w:tcPr>
          <w:p>
            <w:pPr>
              <w:spacing w:after="0"/>
              <w:rPr>
                <w:sz w:val="5"/>
                <w:szCs w:val="5"/>
                <w:color w:val="auto"/>
              </w:rPr>
            </w:pPr>
          </w:p>
        </w:tc>
        <w:tc>
          <w:tcPr>
            <w:tcW w:w="140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121" w:right="239" w:bottom="906"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SUBSIDIARY GUARANTORS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Consolidating Statement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Matador</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0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209,887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848,502</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(74,719)</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983,670</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Total expenses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128,758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695,609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(74,719)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748,190</w:t>
            </w:r>
          </w:p>
        </w:tc>
        <w:tc>
          <w:tcPr>
            <w:tcW w:w="0" w:type="dxa"/>
            <w:vAlign w:val="bottom"/>
          </w:tcPr>
          <w:p>
            <w:pPr>
              <w:spacing w:after="0"/>
              <w:rPr>
                <w:sz w:val="1"/>
                <w:szCs w:val="1"/>
                <w:color w:val="auto"/>
              </w:rPr>
            </w:pPr>
          </w:p>
        </w:tc>
      </w:tr>
      <w:tr>
        <w:trPr>
          <w:trHeight w:val="74"/>
        </w:trPr>
        <w:tc>
          <w:tcPr>
            <w:tcW w:w="446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(loss) income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81,129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152,893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235,480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loss on asset sales and inventory impairment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(64,591)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(73,873)</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in subsidiaries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186,442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36,645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380"/>
              <w:spacing w:after="0"/>
              <w:rPr>
                <w:sz w:val="20"/>
                <w:szCs w:val="20"/>
                <w:color w:val="auto"/>
              </w:rPr>
            </w:pPr>
            <w:r>
              <w:rPr>
                <w:rFonts w:ascii="Arial" w:cs="Arial" w:eastAsia="Arial" w:hAnsi="Arial"/>
                <w:sz w:val="14"/>
                <w:szCs w:val="14"/>
                <w:color w:val="auto"/>
              </w:rPr>
              <w:t>Income before income taxes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123,309</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71,850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186,442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(223,087)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158,514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income tax provision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35,532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35,532</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(35,205)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(35,205)</w:t>
            </w:r>
          </w:p>
        </w:tc>
        <w:tc>
          <w:tcPr>
            <w:tcW w:w="0" w:type="dxa"/>
            <w:vAlign w:val="bottom"/>
          </w:tcPr>
          <w:p>
            <w:pPr>
              <w:spacing w:after="0"/>
              <w:rPr>
                <w:sz w:val="1"/>
                <w:szCs w:val="1"/>
                <w:color w:val="auto"/>
              </w:rPr>
            </w:pPr>
          </w:p>
        </w:tc>
      </w:tr>
      <w:tr>
        <w:trPr>
          <w:trHeight w:val="74"/>
        </w:trPr>
        <w:tc>
          <w:tcPr>
            <w:tcW w:w="446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Net income attributable to Matador Resources Company shareholders</w:t>
            </w:r>
          </w:p>
        </w:tc>
        <w:tc>
          <w:tcPr>
            <w:tcW w:w="820" w:type="dxa"/>
            <w:vAlign w:val="bottom"/>
            <w:gridSpan w:val="2"/>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87,777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36,645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186,442</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(223,087)</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87,777</w:t>
            </w:r>
          </w:p>
        </w:tc>
        <w:tc>
          <w:tcPr>
            <w:tcW w:w="0" w:type="dxa"/>
            <w:vAlign w:val="bottom"/>
          </w:tcPr>
          <w:p>
            <w:pPr>
              <w:spacing w:after="0"/>
              <w:rPr>
                <w:sz w:val="1"/>
                <w:szCs w:val="1"/>
                <w:color w:val="auto"/>
              </w:rPr>
            </w:pPr>
          </w:p>
        </w:tc>
      </w:tr>
      <w:tr>
        <w:trPr>
          <w:trHeight w:val="60"/>
        </w:trPr>
        <w:tc>
          <w:tcPr>
            <w:tcW w:w="446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840" w:type="dxa"/>
            <w:vAlign w:val="bottom"/>
            <w:gridSpan w:val="9"/>
          </w:tcPr>
          <w:p>
            <w:pPr>
              <w:jc w:val="center"/>
              <w:ind w:left="3508"/>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8"/>
          </w:tcPr>
          <w:p>
            <w:pPr>
              <w:jc w:val="center"/>
              <w:ind w:right="880"/>
              <w:spacing w:after="0"/>
              <w:rPr>
                <w:sz w:val="20"/>
                <w:szCs w:val="20"/>
                <w:color w:val="auto"/>
              </w:rPr>
            </w:pPr>
            <w:r>
              <w:rPr>
                <w:rFonts w:ascii="Arial" w:cs="Arial" w:eastAsia="Arial" w:hAnsi="Arial"/>
                <w:sz w:val="14"/>
                <w:szCs w:val="14"/>
                <w:b w:val="1"/>
                <w:bCs w:val="1"/>
                <w:color w:val="auto"/>
                <w:w w:val="93"/>
              </w:rPr>
              <w:t>For the Year Ended December 31,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Matador</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10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98,665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865,725</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(64,791)</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899,599</w:t>
            </w:r>
          </w:p>
        </w:tc>
        <w:tc>
          <w:tcPr>
            <w:tcW w:w="0" w:type="dxa"/>
            <w:vAlign w:val="bottom"/>
          </w:tcPr>
          <w:p>
            <w:pPr>
              <w:spacing w:after="0"/>
              <w:rPr>
                <w:sz w:val="1"/>
                <w:szCs w:val="1"/>
                <w:color w:val="auto"/>
              </w:rPr>
            </w:pPr>
          </w:p>
        </w:tc>
      </w:tr>
      <w:tr>
        <w:trPr>
          <w:trHeight w:val="66"/>
        </w:trPr>
        <w:tc>
          <w:tcPr>
            <w:tcW w:w="446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Total expenses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4,935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46,236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549,948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(64,791)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536,328</w:t>
            </w:r>
          </w:p>
        </w:tc>
        <w:tc>
          <w:tcPr>
            <w:tcW w:w="0" w:type="dxa"/>
            <w:vAlign w:val="bottom"/>
          </w:tcPr>
          <w:p>
            <w:pPr>
              <w:spacing w:after="0"/>
              <w:rPr>
                <w:sz w:val="1"/>
                <w:szCs w:val="1"/>
                <w:color w:val="auto"/>
              </w:rPr>
            </w:pPr>
          </w:p>
        </w:tc>
      </w:tr>
      <w:tr>
        <w:trPr>
          <w:trHeight w:val="74"/>
        </w:trPr>
        <w:tc>
          <w:tcPr>
            <w:tcW w:w="446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(loss) income</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52,429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315,777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363,271</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loss on asset sales and inventory impairment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(40,994)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(41,327)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Prepayment penalty on extinguishment of debt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(31,226)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(31,226)</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Earnings in subsidiaries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343,106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26,601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(369,707)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Income before income taxes</w:t>
            </w: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266,516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52,158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343,106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(369,707)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292,073</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Total income tax benefit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(7,691)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(7,691)</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(25,557)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(25,557)</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460" w:type="dxa"/>
            <w:vAlign w:val="bottom"/>
          </w:tcPr>
          <w:p>
            <w:pPr>
              <w:ind w:left="380"/>
              <w:spacing w:after="0"/>
              <w:rPr>
                <w:sz w:val="20"/>
                <w:szCs w:val="20"/>
                <w:color w:val="auto"/>
              </w:rPr>
            </w:pPr>
            <w:r>
              <w:rPr>
                <w:rFonts w:ascii="Arial" w:cs="Arial" w:eastAsia="Arial" w:hAnsi="Arial"/>
                <w:sz w:val="14"/>
                <w:szCs w:val="14"/>
                <w:color w:val="auto"/>
                <w:w w:val="93"/>
              </w:rPr>
              <w:t>Net income attributable to Matador Resources Company shareholders</w:t>
            </w:r>
          </w:p>
        </w:tc>
        <w:tc>
          <w:tcPr>
            <w:tcW w:w="102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274,207</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26,601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343,106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(369,707)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274,207</w:t>
            </w:r>
          </w:p>
        </w:tc>
        <w:tc>
          <w:tcPr>
            <w:tcW w:w="0" w:type="dxa"/>
            <w:vAlign w:val="bottom"/>
          </w:tcPr>
          <w:p>
            <w:pPr>
              <w:spacing w:after="0"/>
              <w:rPr>
                <w:sz w:val="1"/>
                <w:szCs w:val="1"/>
                <w:color w:val="auto"/>
              </w:rPr>
            </w:pPr>
          </w:p>
        </w:tc>
      </w:tr>
      <w:tr>
        <w:trPr>
          <w:trHeight w:val="60"/>
        </w:trPr>
        <w:tc>
          <w:tcPr>
            <w:tcW w:w="44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1"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left="260" w:right="2660"/>
        <w:spacing w:after="0" w:line="349" w:lineRule="auto"/>
        <w:rPr>
          <w:sz w:val="20"/>
          <w:szCs w:val="20"/>
          <w:color w:val="auto"/>
        </w:rPr>
      </w:pPr>
      <w:r>
        <w:rPr>
          <w:rFonts w:ascii="Arial" w:cs="Arial" w:eastAsia="Arial" w:hAnsi="Arial"/>
          <w:sz w:val="18"/>
          <w:szCs w:val="18"/>
          <w:b w:val="1"/>
          <w:bCs w:val="1"/>
          <w:color w:val="auto"/>
        </w:rPr>
        <w:t>Matador Resources Company and Subsidiaries NOTES TO CONSOLIDATED FINANCIAL STATEMENTS — CONTINUED December 31, 2019, 2018 and 2017</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SUBSIDIARY GUARANTORS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Consolidating Statement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Matador</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4"/>
                <w:szCs w:val="14"/>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480" w:type="dxa"/>
            <w:vAlign w:val="bottom"/>
            <w:shd w:val="clear" w:color="auto" w:fill="CCEEFF"/>
          </w:tcPr>
          <w:p>
            <w:pPr>
              <w:spacing w:after="0"/>
              <w:rPr>
                <w:sz w:val="16"/>
                <w:szCs w:val="16"/>
                <w:color w:val="auto"/>
              </w:rPr>
            </w:pPr>
          </w:p>
        </w:tc>
        <w:tc>
          <w:tcPr>
            <w:tcW w:w="10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47,883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531,508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(35,115)</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544,276</w:t>
            </w:r>
          </w:p>
        </w:tc>
        <w:tc>
          <w:tcPr>
            <w:tcW w:w="0" w:type="dxa"/>
            <w:vAlign w:val="bottom"/>
          </w:tcPr>
          <w:p>
            <w:pPr>
              <w:spacing w:after="0"/>
              <w:rPr>
                <w:sz w:val="1"/>
                <w:szCs w:val="1"/>
                <w:color w:val="auto"/>
              </w:rPr>
            </w:pPr>
          </w:p>
        </w:tc>
      </w:tr>
      <w:tr>
        <w:trPr>
          <w:trHeight w:val="66"/>
        </w:trPr>
        <w:tc>
          <w:tcPr>
            <w:tcW w:w="39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Total expenses</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5,610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21,260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391,680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(35,115)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383,435</w:t>
            </w:r>
          </w:p>
        </w:tc>
        <w:tc>
          <w:tcPr>
            <w:tcW w:w="0" w:type="dxa"/>
            <w:vAlign w:val="bottom"/>
          </w:tcPr>
          <w:p>
            <w:pPr>
              <w:spacing w:after="0"/>
              <w:rPr>
                <w:sz w:val="1"/>
                <w:szCs w:val="1"/>
                <w:color w:val="auto"/>
              </w:rPr>
            </w:pPr>
          </w:p>
        </w:tc>
      </w:tr>
      <w:tr>
        <w:trPr>
          <w:trHeight w:val="74"/>
        </w:trPr>
        <w:tc>
          <w:tcPr>
            <w:tcW w:w="39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(loss) income</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26,623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139,828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160,841</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Net gain on asset sales and inventory impairment</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3,487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3,551</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in subsidiaries</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157,589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14,251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(171,840)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Income before income taxes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117,441</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26,660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157,589</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(171,840)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129,850</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income tax (benefit) provision</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w w:val="98"/>
              </w:rPr>
              <w:t>Net income attributable to non-controlling interest in subsidiaries</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(12,140)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(12,140)</w:t>
            </w:r>
          </w:p>
        </w:tc>
        <w:tc>
          <w:tcPr>
            <w:tcW w:w="0" w:type="dxa"/>
            <w:vAlign w:val="bottom"/>
          </w:tcPr>
          <w:p>
            <w:pPr>
              <w:spacing w:after="0"/>
              <w:rPr>
                <w:sz w:val="1"/>
                <w:szCs w:val="1"/>
                <w:color w:val="auto"/>
              </w:rPr>
            </w:pPr>
          </w:p>
        </w:tc>
      </w:tr>
      <w:tr>
        <w:trPr>
          <w:trHeight w:val="74"/>
        </w:trPr>
        <w:tc>
          <w:tcPr>
            <w:tcW w:w="398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93"/>
              </w:rPr>
              <w:t>Net income attributable to Matador Resources Company shareholders</w:t>
            </w:r>
          </w:p>
        </w:tc>
        <w:tc>
          <w:tcPr>
            <w:tcW w:w="820" w:type="dxa"/>
            <w:vAlign w:val="bottom"/>
            <w:gridSpan w:val="2"/>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125,867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14,251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157,589</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(171,840)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125,867</w:t>
            </w:r>
          </w:p>
        </w:tc>
        <w:tc>
          <w:tcPr>
            <w:tcW w:w="0" w:type="dxa"/>
            <w:vAlign w:val="bottom"/>
          </w:tcPr>
          <w:p>
            <w:pPr>
              <w:spacing w:after="0"/>
              <w:rPr>
                <w:sz w:val="1"/>
                <w:szCs w:val="1"/>
                <w:color w:val="auto"/>
              </w:rPr>
            </w:pPr>
          </w:p>
        </w:tc>
      </w:tr>
      <w:tr>
        <w:trPr>
          <w:trHeight w:val="60"/>
        </w:trPr>
        <w:tc>
          <w:tcPr>
            <w:tcW w:w="398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gridSpan w:val="2"/>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80" w:type="dxa"/>
            <w:vAlign w:val="bottom"/>
          </w:tcPr>
          <w:p>
            <w:pPr>
              <w:spacing w:after="0"/>
              <w:rPr>
                <w:sz w:val="24"/>
                <w:szCs w:val="24"/>
                <w:color w:val="auto"/>
              </w:rPr>
            </w:pPr>
          </w:p>
        </w:tc>
        <w:tc>
          <w:tcPr>
            <w:tcW w:w="38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8"/>
          </w:tcPr>
          <w:p>
            <w:pPr>
              <w:jc w:val="center"/>
              <w:ind w:right="880"/>
              <w:spacing w:after="0"/>
              <w:rPr>
                <w:sz w:val="20"/>
                <w:szCs w:val="20"/>
                <w:color w:val="auto"/>
              </w:rPr>
            </w:pPr>
            <w:r>
              <w:rPr>
                <w:rFonts w:ascii="Arial" w:cs="Arial" w:eastAsia="Arial" w:hAnsi="Arial"/>
                <w:sz w:val="14"/>
                <w:szCs w:val="14"/>
                <w:b w:val="1"/>
                <w:bCs w:val="1"/>
                <w:color w:val="auto"/>
                <w:w w:val="93"/>
              </w:rPr>
              <w:t>For the Year Ended December 31,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Matador</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480" w:type="dxa"/>
            <w:vAlign w:val="bottom"/>
            <w:shd w:val="clear" w:color="auto" w:fill="CCEEFF"/>
          </w:tcPr>
          <w:p>
            <w:pPr>
              <w:spacing w:after="0"/>
              <w:rPr>
                <w:sz w:val="16"/>
                <w:szCs w:val="16"/>
                <w:color w:val="auto"/>
              </w:rPr>
            </w:pPr>
          </w:p>
        </w:tc>
        <w:tc>
          <w:tcPr>
            <w:tcW w:w="10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106,650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445,819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552,042</w:t>
            </w:r>
          </w:p>
        </w:tc>
        <w:tc>
          <w:tcPr>
            <w:tcW w:w="0" w:type="dxa"/>
            <w:vAlign w:val="bottom"/>
          </w:tcPr>
          <w:p>
            <w:pPr>
              <w:spacing w:after="0"/>
              <w:rPr>
                <w:sz w:val="1"/>
                <w:szCs w:val="1"/>
                <w:color w:val="auto"/>
              </w:rPr>
            </w:pPr>
          </w:p>
        </w:tc>
      </w:tr>
      <w:tr>
        <w:trPr>
          <w:trHeight w:val="66"/>
        </w:trPr>
        <w:tc>
          <w:tcPr>
            <w:tcW w:w="39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(188,893)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(698,455)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(16,628)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(903,976)</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88,059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228,391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16,628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333,078</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(Decrease) increase in cash and restricted cash</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5,816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(24,245)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(18,856)</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year</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64,688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Cash and restricted cash at end of year</w:t>
            </w:r>
          </w:p>
        </w:tc>
        <w:tc>
          <w:tcPr>
            <w:tcW w:w="480" w:type="dxa"/>
            <w:vAlign w:val="bottom"/>
          </w:tcPr>
          <w:p>
            <w:pPr>
              <w:spacing w:after="0"/>
              <w:rPr>
                <w:sz w:val="14"/>
                <w:szCs w:val="14"/>
                <w:color w:val="auto"/>
              </w:rPr>
            </w:pPr>
          </w:p>
        </w:tc>
        <w:tc>
          <w:tcPr>
            <w:tcW w:w="820" w:type="dxa"/>
            <w:vAlign w:val="bottom"/>
            <w:gridSpan w:val="2"/>
            <w:vMerge w:val="restart"/>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24,656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40,443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65,128</w:t>
            </w:r>
          </w:p>
        </w:tc>
        <w:tc>
          <w:tcPr>
            <w:tcW w:w="0" w:type="dxa"/>
            <w:vAlign w:val="bottom"/>
          </w:tcPr>
          <w:p>
            <w:pPr>
              <w:spacing w:after="0"/>
              <w:rPr>
                <w:sz w:val="1"/>
                <w:szCs w:val="1"/>
                <w:color w:val="auto"/>
              </w:rPr>
            </w:pPr>
          </w:p>
        </w:tc>
      </w:tr>
      <w:tr>
        <w:trPr>
          <w:trHeight w:val="65"/>
        </w:trPr>
        <w:tc>
          <w:tcPr>
            <w:tcW w:w="3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80" w:type="dxa"/>
            <w:vAlign w:val="bottom"/>
          </w:tcPr>
          <w:p>
            <w:pPr>
              <w:spacing w:after="0"/>
              <w:rPr>
                <w:sz w:val="24"/>
                <w:szCs w:val="24"/>
                <w:color w:val="auto"/>
              </w:rPr>
            </w:pPr>
          </w:p>
        </w:tc>
        <w:tc>
          <w:tcPr>
            <w:tcW w:w="38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8"/>
          </w:tcPr>
          <w:p>
            <w:pPr>
              <w:jc w:val="center"/>
              <w:ind w:right="880"/>
              <w:spacing w:after="0"/>
              <w:rPr>
                <w:sz w:val="20"/>
                <w:szCs w:val="20"/>
                <w:color w:val="auto"/>
              </w:rPr>
            </w:pPr>
            <w:r>
              <w:rPr>
                <w:rFonts w:ascii="Arial" w:cs="Arial" w:eastAsia="Arial" w:hAnsi="Arial"/>
                <w:sz w:val="14"/>
                <w:szCs w:val="14"/>
                <w:b w:val="1"/>
                <w:bCs w:val="1"/>
                <w:color w:val="auto"/>
                <w:w w:val="93"/>
              </w:rPr>
              <w:t>For the Year Ended December 31,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Matador</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480" w:type="dxa"/>
            <w:vAlign w:val="bottom"/>
            <w:shd w:val="clear" w:color="auto" w:fill="CCEEFF"/>
          </w:tcPr>
          <w:p>
            <w:pPr>
              <w:spacing w:after="0"/>
              <w:rPr>
                <w:sz w:val="16"/>
                <w:szCs w:val="16"/>
                <w:color w:val="auto"/>
              </w:rPr>
            </w:pPr>
          </w:p>
        </w:tc>
        <w:tc>
          <w:tcPr>
            <w:tcW w:w="10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(657,860)</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35,119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1,231,264</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608,523</w:t>
            </w:r>
          </w:p>
        </w:tc>
        <w:tc>
          <w:tcPr>
            <w:tcW w:w="0" w:type="dxa"/>
            <w:vAlign w:val="bottom"/>
          </w:tcPr>
          <w:p>
            <w:pPr>
              <w:spacing w:after="0"/>
              <w:rPr>
                <w:sz w:val="1"/>
                <w:szCs w:val="1"/>
                <w:color w:val="auto"/>
              </w:rPr>
            </w:pPr>
          </w:p>
        </w:tc>
      </w:tr>
      <w:tr>
        <w:trPr>
          <w:trHeight w:val="66"/>
        </w:trPr>
        <w:tc>
          <w:tcPr>
            <w:tcW w:w="39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(162,147)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(1,310,776)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(42,330)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(1,515,253)</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658,030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140,205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47,667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42,330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888,232</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Increase (decrease) in cash and restricted cash</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13,177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(31,845)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(18,498)</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year</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96,533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Cash and restricted cash at end of year</w:t>
            </w:r>
          </w:p>
        </w:tc>
        <w:tc>
          <w:tcPr>
            <w:tcW w:w="480" w:type="dxa"/>
            <w:vAlign w:val="bottom"/>
          </w:tcPr>
          <w:p>
            <w:pPr>
              <w:spacing w:after="0"/>
              <w:rPr>
                <w:sz w:val="14"/>
                <w:szCs w:val="14"/>
                <w:color w:val="auto"/>
              </w:rPr>
            </w:pPr>
          </w:p>
        </w:tc>
        <w:tc>
          <w:tcPr>
            <w:tcW w:w="820" w:type="dxa"/>
            <w:vAlign w:val="bottom"/>
            <w:gridSpan w:val="2"/>
            <w:vMerge w:val="restart"/>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18,840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64,688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65"/>
        </w:trPr>
        <w:tc>
          <w:tcPr>
            <w:tcW w:w="3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980" w:type="dxa"/>
            <w:vAlign w:val="bottom"/>
          </w:tcPr>
          <w:p>
            <w:pPr>
              <w:spacing w:after="0"/>
              <w:rPr>
                <w:sz w:val="24"/>
                <w:szCs w:val="24"/>
                <w:color w:val="auto"/>
              </w:rPr>
            </w:pPr>
          </w:p>
        </w:tc>
        <w:tc>
          <w:tcPr>
            <w:tcW w:w="38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1"/>
              </w:rPr>
              <w:t>Condensed Consolidating Statement of 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8"/>
          </w:tcPr>
          <w:p>
            <w:pPr>
              <w:jc w:val="center"/>
              <w:ind w:right="880"/>
              <w:spacing w:after="0"/>
              <w:rPr>
                <w:sz w:val="20"/>
                <w:szCs w:val="20"/>
                <w:color w:val="auto"/>
              </w:rPr>
            </w:pPr>
            <w:r>
              <w:rPr>
                <w:rFonts w:ascii="Arial" w:cs="Arial" w:eastAsia="Arial" w:hAnsi="Arial"/>
                <w:sz w:val="14"/>
                <w:szCs w:val="14"/>
                <w:b w:val="1"/>
                <w:bCs w:val="1"/>
                <w:color w:val="auto"/>
                <w:w w:val="93"/>
              </w:rPr>
              <w:t>For the Year Ended December 31, 2017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Matador</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Eliminating</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480" w:type="dxa"/>
            <w:vAlign w:val="bottom"/>
            <w:shd w:val="clear" w:color="auto" w:fill="CCEEFF"/>
          </w:tcPr>
          <w:p>
            <w:pPr>
              <w:spacing w:after="0"/>
              <w:rPr>
                <w:sz w:val="16"/>
                <w:szCs w:val="16"/>
                <w:color w:val="auto"/>
              </w:rPr>
            </w:pPr>
          </w:p>
        </w:tc>
        <w:tc>
          <w:tcPr>
            <w:tcW w:w="102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(307,982)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21,308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585,799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299,125</w:t>
            </w:r>
          </w:p>
        </w:tc>
        <w:tc>
          <w:tcPr>
            <w:tcW w:w="0" w:type="dxa"/>
            <w:vAlign w:val="bottom"/>
          </w:tcPr>
          <w:p>
            <w:pPr>
              <w:spacing w:after="0"/>
              <w:rPr>
                <w:sz w:val="1"/>
                <w:szCs w:val="1"/>
                <w:color w:val="auto"/>
              </w:rPr>
            </w:pPr>
          </w:p>
        </w:tc>
      </w:tr>
      <w:tr>
        <w:trPr>
          <w:trHeight w:val="66"/>
        </w:trPr>
        <w:tc>
          <w:tcPr>
            <w:tcW w:w="39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2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98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(114,852)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(597,870)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(106,595)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(819,284)</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208,440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96,307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106,595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408,499</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Decrease (increase) in cash and restricted cash</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(99,509)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(14,914)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(111,660)</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year</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99,795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111,447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214,142</w:t>
            </w:r>
          </w:p>
        </w:tc>
        <w:tc>
          <w:tcPr>
            <w:tcW w:w="0" w:type="dxa"/>
            <w:vAlign w:val="bottom"/>
          </w:tcPr>
          <w:p>
            <w:pPr>
              <w:spacing w:after="0"/>
              <w:rPr>
                <w:sz w:val="1"/>
                <w:szCs w:val="1"/>
                <w:color w:val="auto"/>
              </w:rPr>
            </w:pPr>
          </w:p>
        </w:tc>
      </w:tr>
      <w:tr>
        <w:trPr>
          <w:trHeight w:val="80"/>
        </w:trPr>
        <w:tc>
          <w:tcPr>
            <w:tcW w:w="3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380"/>
              <w:spacing w:after="0"/>
              <w:rPr>
                <w:sz w:val="20"/>
                <w:szCs w:val="20"/>
                <w:color w:val="auto"/>
              </w:rPr>
            </w:pPr>
            <w:r>
              <w:rPr>
                <w:rFonts w:ascii="Arial" w:cs="Arial" w:eastAsia="Arial" w:hAnsi="Arial"/>
                <w:sz w:val="14"/>
                <w:szCs w:val="14"/>
                <w:color w:val="auto"/>
              </w:rPr>
              <w:t>Cash and restricted cash at end of year</w:t>
            </w:r>
          </w:p>
        </w:tc>
        <w:tc>
          <w:tcPr>
            <w:tcW w:w="480" w:type="dxa"/>
            <w:vAlign w:val="bottom"/>
          </w:tcPr>
          <w:p>
            <w:pPr>
              <w:spacing w:after="0"/>
              <w:rPr>
                <w:sz w:val="14"/>
                <w:szCs w:val="14"/>
                <w:color w:val="auto"/>
              </w:rPr>
            </w:pPr>
          </w:p>
        </w:tc>
        <w:tc>
          <w:tcPr>
            <w:tcW w:w="102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5,663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96,533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60"/>
        </w:trPr>
        <w:tc>
          <w:tcPr>
            <w:tcW w:w="3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121"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Incurred</w:t>
      </w:r>
    </w:p>
    <w:p>
      <w:pPr>
        <w:spacing w:after="0" w:line="11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costs incurred and capitalized by the Company in the acquisition, exploration and development of oil and natural gas properties for the years ended December 31, 2019,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Proved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3,767</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45,270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Unproved and unevaluated</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633,502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214,662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Exploration costs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229,974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167,213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570,290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467,426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326,012</w:t>
            </w:r>
          </w:p>
        </w:tc>
      </w:tr>
      <w:tr>
        <w:trPr>
          <w:trHeight w:val="264"/>
        </w:trPr>
        <w:tc>
          <w:tcPr>
            <w:tcW w:w="7440" w:type="dxa"/>
            <w:vAlign w:val="bottom"/>
          </w:tcPr>
          <w:p>
            <w:pPr>
              <w:ind w:left="380"/>
              <w:spacing w:after="0" w:line="264" w:lineRule="exact"/>
              <w:rPr>
                <w:sz w:val="20"/>
                <w:szCs w:val="20"/>
                <w:color w:val="auto"/>
              </w:rPr>
            </w:pPr>
            <w:r>
              <w:rPr>
                <w:rFonts w:ascii="Arial" w:cs="Arial" w:eastAsia="Arial" w:hAnsi="Arial"/>
                <w:sz w:val="18"/>
                <w:szCs w:val="18"/>
                <w:color w:val="auto"/>
              </w:rPr>
              <w:t>Total costs incurred</w:t>
            </w:r>
            <w:r>
              <w:rPr>
                <w:rFonts w:ascii="Arial" w:cs="Arial" w:eastAsia="Arial" w:hAnsi="Arial"/>
                <w:sz w:val="25"/>
                <w:szCs w:val="25"/>
                <w:color w:val="auto"/>
                <w:vertAlign w:val="superscript"/>
              </w:rPr>
              <w:t>(1)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723,091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1,335,690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753,157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460" w:right="220" w:hanging="330"/>
        <w:spacing w:after="0" w:line="273" w:lineRule="auto"/>
        <w:tabs>
          <w:tab w:leader="none" w:pos="4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Excludes midstream-related development and corporate costs of approximately $227.3 million, $169.0 million and $119.8 million for the years ended December 31, 2019, 2018 and 2017, respectively.</w:t>
      </w:r>
    </w:p>
    <w:p>
      <w:pPr>
        <w:spacing w:after="0" w:line="70" w:lineRule="exact"/>
        <w:rPr>
          <w:sz w:val="20"/>
          <w:szCs w:val="20"/>
          <w:color w:val="auto"/>
        </w:rPr>
      </w:pPr>
    </w:p>
    <w:p>
      <w:pPr>
        <w:ind w:right="680" w:firstLine="432"/>
        <w:spacing w:after="0" w:line="286" w:lineRule="auto"/>
        <w:rPr>
          <w:sz w:val="20"/>
          <w:szCs w:val="20"/>
          <w:color w:val="auto"/>
        </w:rPr>
      </w:pPr>
      <w:r>
        <w:rPr>
          <w:rFonts w:ascii="Arial" w:cs="Arial" w:eastAsia="Arial" w:hAnsi="Arial"/>
          <w:sz w:val="17"/>
          <w:szCs w:val="17"/>
          <w:color w:val="auto"/>
        </w:rPr>
        <w:t>Property acquisition costs are costs incurred to purchase, lease or otherwise acquire oil and natural gas properties, including both unproved and unevaluated leasehold and purchases of reserves in place. For the years ended December 31, 2019, 2018 and 2017, most of the Company’s property acquisition costs resulted from the acquisition of unproved and unevaluated leasehold and mineral interests.</w:t>
      </w:r>
    </w:p>
    <w:p>
      <w:pPr>
        <w:spacing w:after="0" w:line="5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Exploration costs are costs incurred in identifying areas of these oil and natural gas properties that may warrant further examination and in examining specific areas that are considered to be prospective for oil and natural gas, including costs of drilling exploratory wells, geological and geophysical costs and costs of carrying and retaining unproved and unevaluated properties. Exploration costs may be incurred before or after acquiring the related oil and natural gas properties. For the years ended December 31, 2019, 2018 and 2017, the Company capitalized $2.9 million, $17.7 million and $1.8 million, respectively, of geological and geophysical costs, which are included as exploration costs in the table above.</w:t>
      </w:r>
    </w:p>
    <w:p>
      <w:pPr>
        <w:spacing w:after="0" w:line="6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spacing w:after="0" w:line="7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Costs incurred also include newly established asset retirement obligations, as well as changes to asset retirement obligations resulting from revisions in cost estimates or abandonment dates. Asset retirement obligations included in the table above were approximately $4.3 million, $4.0 million and $4.8 million for the years ended December 31, 2019, 2018 and 2017, respectively. Capitalized general and administrative expenses that are directly related to acquisition, exploration and development activities are also included in the table above. The Company capitalized $31.1 million, $29.9 million and $23.1 million of these internal costs for the years ended December 31, 2019, 2018 and 2017, respectively, excluding midstream-related capitalized general and administrative expenses. Capitalized interest expense for qualifying projects is also included in the table above. The Company capitalized $7.6 million, $8.8 million and $7.3 million of its interest expense for the years ended December 31, 2019, 2018 and 2017,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Oil and Natural Gas Reserves</w:t>
      </w:r>
    </w:p>
    <w:p>
      <w:pPr>
        <w:spacing w:after="0" w:line="9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Proved reserves are estimated quantities of oil and natural gas that geological and engineering data demonstrate with reasonable certainty to be recoverable in future years from known reservoirs using existing economic and operating conditions.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 production, oil and natural gas prices, revenues, taxes, development expenditures, operating expenses and quantities of recoverable oil and natural gas most likely will vary from the Company’s estimates.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75"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2019, 2018 and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37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NGLs are extracted and sold. The Company’s oil and natural gas reserves estimates for the years ended December 31, 2019, 2018 and 2017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190" w:lineRule="exact"/>
        <w:rPr>
          <w:sz w:val="20"/>
          <w:szCs w:val="20"/>
          <w:color w:val="auto"/>
        </w:rPr>
      </w:pPr>
    </w:p>
    <w:p>
      <w:pPr>
        <w:ind w:right="220" w:firstLine="432"/>
        <w:spacing w:after="0" w:line="268" w:lineRule="auto"/>
        <w:rPr>
          <w:sz w:val="20"/>
          <w:szCs w:val="20"/>
          <w:color w:val="auto"/>
        </w:rPr>
      </w:pPr>
      <w:r>
        <w:rPr>
          <w:rFonts w:ascii="Arial" w:cs="Arial" w:eastAsia="Arial" w:hAnsi="Arial"/>
          <w:sz w:val="17"/>
          <w:szCs w:val="17"/>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2019, these average oil and natural gas prices were $52.19 per Bbl and $2.58 per MMBtu, respectively. For the period from January through December 2018, these average oil and natural gas prices were $62.04 per Bbl and $3.10 per MMBtu, respectively. For the period from January through December 2017, these average oil and natural gas prices were $47.79 per Bbl and $2.98 per MMBtu, respectively.</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121"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2019, 2018 and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89"/>
              </w:rPr>
              <w:t>Net Proved Reserves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Oil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Natural Gas</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920" w:type="dxa"/>
            <w:vAlign w:val="bottom"/>
          </w:tcPr>
          <w:p>
            <w:pPr>
              <w:jc w:val="center"/>
              <w:ind w:right="12"/>
              <w:spacing w:after="0" w:line="153" w:lineRule="exact"/>
              <w:rPr>
                <w:sz w:val="20"/>
                <w:szCs w:val="20"/>
                <w:color w:val="auto"/>
              </w:rPr>
            </w:pPr>
            <w:r>
              <w:rPr>
                <w:rFonts w:ascii="Arial" w:cs="Arial" w:eastAsia="Arial" w:hAnsi="Arial"/>
                <w:sz w:val="14"/>
                <w:szCs w:val="14"/>
                <w:b w:val="1"/>
                <w:bCs w:val="1"/>
                <w:color w:val="auto"/>
                <w:w w:val="96"/>
              </w:rPr>
              <w:t>Oil</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Equivalent</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000" w:type="dxa"/>
            <w:vAlign w:val="bottom"/>
          </w:tcPr>
          <w:p>
            <w:pPr>
              <w:jc w:val="right"/>
              <w:ind w:right="171"/>
              <w:spacing w:after="0"/>
              <w:rPr>
                <w:sz w:val="20"/>
                <w:szCs w:val="20"/>
                <w:color w:val="auto"/>
              </w:rPr>
            </w:pPr>
            <w:r>
              <w:rPr>
                <w:rFonts w:ascii="Arial" w:cs="Arial" w:eastAsia="Arial" w:hAnsi="Arial"/>
                <w:sz w:val="14"/>
                <w:szCs w:val="14"/>
                <w:b w:val="1"/>
                <w:bCs w:val="1"/>
                <w:color w:val="auto"/>
              </w:rPr>
              <w:t>(MBbl)</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(MMcf)</w:t>
            </w:r>
          </w:p>
        </w:tc>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rPr>
              <w:t>(MBOE)</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at December 31,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292,649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105,752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8"/>
                <w:szCs w:val="18"/>
                <w:color w:val="auto"/>
              </w:rPr>
              <w:t>3,847</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34,395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minerals in-place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28,513</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99,935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at December 31, 2017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86,743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396,164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152,771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of prior estimates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32,497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Purchases of minerals-in-place</w:t>
            </w:r>
          </w:p>
        </w:tc>
        <w:tc>
          <w:tcPr>
            <w:tcW w:w="1000" w:type="dxa"/>
            <w:vAlign w:val="bottom"/>
          </w:tcPr>
          <w:p>
            <w:pPr>
              <w:jc w:val="right"/>
              <w:spacing w:after="0"/>
              <w:rPr>
                <w:sz w:val="20"/>
                <w:szCs w:val="20"/>
                <w:color w:val="auto"/>
              </w:rPr>
            </w:pPr>
            <w:r>
              <w:rPr>
                <w:rFonts w:ascii="Arial" w:cs="Arial" w:eastAsia="Arial" w:hAnsi="Arial"/>
                <w:sz w:val="18"/>
                <w:szCs w:val="18"/>
                <w:color w:val="auto"/>
              </w:rPr>
              <w:t>446</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Extensions and discoveries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41,445</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169,224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69,646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1000" w:type="dxa"/>
            <w:vAlign w:val="bottom"/>
          </w:tcPr>
          <w:p>
            <w:pPr>
              <w:jc w:val="right"/>
              <w:spacing w:after="0"/>
              <w:rPr>
                <w:sz w:val="20"/>
                <w:szCs w:val="20"/>
                <w:color w:val="auto"/>
              </w:rPr>
            </w:pPr>
            <w:r>
              <w:rPr>
                <w:rFonts w:ascii="Arial" w:cs="Arial" w:eastAsia="Arial" w:hAnsi="Arial"/>
                <w:sz w:val="18"/>
                <w:szCs w:val="18"/>
                <w:color w:val="auto"/>
              </w:rPr>
              <w:t>(11,141)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(19,026)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at December 31,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123,401</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551,474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215,313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Revisions of prior estimates</w:t>
            </w: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34,062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divestitures of minerals-in-place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Extensions and discoveries</w:t>
            </w:r>
          </w:p>
        </w:tc>
        <w:tc>
          <w:tcPr>
            <w:tcW w:w="1000" w:type="dxa"/>
            <w:vAlign w:val="bottom"/>
          </w:tcPr>
          <w:p>
            <w:pPr>
              <w:jc w:val="right"/>
              <w:spacing w:after="0"/>
              <w:rPr>
                <w:sz w:val="20"/>
                <w:szCs w:val="20"/>
                <w:color w:val="auto"/>
              </w:rPr>
            </w:pPr>
            <w:r>
              <w:rPr>
                <w:rFonts w:ascii="Arial" w:cs="Arial" w:eastAsia="Arial" w:hAnsi="Arial"/>
                <w:sz w:val="18"/>
                <w:szCs w:val="18"/>
                <w:color w:val="auto"/>
              </w:rPr>
              <w:t>39,477</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114,833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(61,083)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at December 31,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147,991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627,238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252,531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Proved Developed Reserves</w:t>
            </w: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2016</w:t>
            </w:r>
          </w:p>
        </w:tc>
        <w:tc>
          <w:tcPr>
            <w:tcW w:w="1000" w:type="dxa"/>
            <w:vAlign w:val="bottom"/>
          </w:tcPr>
          <w:p>
            <w:pPr>
              <w:jc w:val="right"/>
              <w:spacing w:after="0"/>
              <w:rPr>
                <w:sz w:val="20"/>
                <w:szCs w:val="20"/>
                <w:color w:val="auto"/>
              </w:rPr>
            </w:pPr>
            <w:r>
              <w:rPr>
                <w:rFonts w:ascii="Arial" w:cs="Arial" w:eastAsia="Arial" w:hAnsi="Arial"/>
                <w:sz w:val="18"/>
                <w:szCs w:val="18"/>
                <w:color w:val="auto"/>
              </w:rPr>
              <w:t>22,604</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126,759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43,731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190,109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2018</w:t>
            </w:r>
          </w:p>
        </w:tc>
        <w:tc>
          <w:tcPr>
            <w:tcW w:w="1000" w:type="dxa"/>
            <w:vAlign w:val="bottom"/>
          </w:tcPr>
          <w:p>
            <w:pPr>
              <w:jc w:val="right"/>
              <w:spacing w:after="0"/>
              <w:rPr>
                <w:sz w:val="20"/>
                <w:szCs w:val="20"/>
                <w:color w:val="auto"/>
              </w:rPr>
            </w:pPr>
            <w:r>
              <w:rPr>
                <w:rFonts w:ascii="Arial" w:cs="Arial" w:eastAsia="Arial" w:hAnsi="Arial"/>
                <w:sz w:val="18"/>
                <w:szCs w:val="18"/>
                <w:color w:val="auto"/>
              </w:rPr>
              <w:t>53,223</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246,229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59,667</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276,258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105,710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Proved Undeveloped Reserves</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34,373</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165,890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62,021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2017</w:t>
            </w:r>
          </w:p>
        </w:tc>
        <w:tc>
          <w:tcPr>
            <w:tcW w:w="1000" w:type="dxa"/>
            <w:vAlign w:val="bottom"/>
          </w:tcPr>
          <w:p>
            <w:pPr>
              <w:jc w:val="right"/>
              <w:spacing w:after="0"/>
              <w:rPr>
                <w:sz w:val="20"/>
                <w:szCs w:val="20"/>
                <w:color w:val="auto"/>
              </w:rPr>
            </w:pPr>
            <w:r>
              <w:rPr>
                <w:rFonts w:ascii="Arial" w:cs="Arial" w:eastAsia="Arial" w:hAnsi="Arial"/>
                <w:sz w:val="18"/>
                <w:szCs w:val="18"/>
                <w:color w:val="auto"/>
              </w:rPr>
              <w:t>49,777</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206,055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84,120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December 31,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70,178</w:t>
            </w: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305,245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121,052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December 31, 2019</w:t>
            </w:r>
          </w:p>
        </w:tc>
        <w:tc>
          <w:tcPr>
            <w:tcW w:w="1000" w:type="dxa"/>
            <w:vAlign w:val="bottom"/>
          </w:tcPr>
          <w:p>
            <w:pPr>
              <w:jc w:val="right"/>
              <w:spacing w:after="0"/>
              <w:rPr>
                <w:sz w:val="20"/>
                <w:szCs w:val="20"/>
                <w:color w:val="auto"/>
              </w:rPr>
            </w:pPr>
            <w:r>
              <w:rPr>
                <w:rFonts w:ascii="Arial" w:cs="Arial" w:eastAsia="Arial" w:hAnsi="Arial"/>
                <w:sz w:val="18"/>
                <w:szCs w:val="18"/>
                <w:color w:val="auto"/>
              </w:rPr>
              <w:t>88,324</w:t>
            </w: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350,980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146,821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is a discussion of the changes in the Company’s proved oil and natural gas reserves estimates for the years ended December 31, 2019, 2018 and 2017.</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proved oil and natural gas reserves increased to 252,531 MBOE at December 31, 2019 from 215,313 MBOE at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proved oil and natural gas reserves increased by 61,382 MBOE and the Company produced 24,164 MBOE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resulting in a net increase of 37,218 MBOE. The Company’s proved oil and natural gas reserves increased by 58,616 MBOE during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extensions and discoveries during the year, which were primarily attributable to drilling operations in the Wolfcamp and Bone Spring plays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Delaware Basin in Southeast New Mexico and West Texas. The Company’s proved oil and natural gas reserves increased by 5,073 MBOE during 2019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revisions of prior estimates, which were attributable to better-than-projected well performance from certain wells, but which were offset by lower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oil and natural gas prices used to estimate proved reserves in 2019, as compared to 2018. The Company’s proved oil and natural gas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decreased by 2,307 MBOE in 2019 as a result of net divestitures of minerals-in-place primarily in the Eagle Ford shale in South Texas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Haynesville shale in Northwest Louisiana. The Company’s proved developed oil and natural gas reserves increased to 105,710 MBOE at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94,261 MBOE at December 31, 2018, primarily due to proved developed reserves added as a result of drilling operations in the Wolfcamp and Bone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Spring plays in the Delaware Basin. At December 31, 2019, the Company’s proved reserves were made up of approximately 59% oil and 41% natural gas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approximately 42% proved developed and approximately 58% proved undeveloped.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420"/>
          </w:cols>
          <w:pgMar w:left="240" w:top="121" w:right="2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2019, 2018 and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37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Company’s proved oil and natural gas reserves increased to 215,313 MBOE at December 31, 2018 from 152,771 MBOE at December 31, 2017. The Company’s proved oil and natural gas reserves increased by 81,568 MBOE and the Company produced 19,026 MBOE during the year ended December 31, 2018, resulting in a net increase of 62,542 MBOE. The Company’s proved oil and natural gas reserves increased by 69,646 MBOE as a result of extensions and discoveries during the year, which were primarily attributable to drilling operations in the Wolfcamp and Bone Spring plays in the Delaware Basin in Southeast New Mexico and West Texas. The Company’s proved oil and natural gas reserves increased by 11,326 MBOE during 2018 as a result of revisions of prior estimates, which were attributable to better-than-projected well performance from certain wells and higher weighted average oil and natural gas prices used to estimate proved reserves in 2018, as compared to 2017. The Company also added 596 MBOE in proved oil and natural gas reserves in 2018 as a result of purchases of minerals-in-place in the Delaware Basin. The Company’s proved developed oil and natural gas reserves increased to 94,261 MBOE at December 31, 2018 from 68,651 MBOE at December 31, 2017, primarily due to proved developed reserves added as a result of drilling operations in the Wolfcamp and Bone Spring plays in the Delaware Basin. At December 31, 2018, the Company’s proved reserves were made up of approximately 57% oil and 43% natural gas and were approximately 44% proved developed and approximately 56% proved undeveloped.</w:t>
      </w:r>
    </w:p>
    <w:p>
      <w:pPr>
        <w:spacing w:after="0" w:line="6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Company’s proved oil and natural gas reserves increased to 152,771 MBOE at December 31, 2017 from 105,752 MBOE at December 31, 2016. The Company’s proved oil and natural gas reserves increased by 61,231 MBOE and the Company produced 14,212 MBOE during the year ended December 31, 2017, resulting in a net increase of 47,019 MBOE. The Company’s proved oil and natural gas reserves increased by 45,169 MBOE as a result of extensions and discoveries during the year, which were primarily attributable to drilling operations in the Wolfcamp and Bone Spring plays in the Delaware Basin in Southeast New Mexico and West Texas. The Company’s proved oil and natural gas reserves increased by 9,580 MBOE during 2017 as a result of revisions of prior estimates, which were attributable to better-than-projected well performance from certain wells and higher weighted average oil and natural gas prices used to estimate proved reserves in 2017, as compared to 2016. The Company also added 6,482 MBOE in proved oil and natural gas reserves in 2017 as a result of purchases of minerals-in-place in the Delaware Basin. The Company’s proved developed oil and natural gas reserves increased to 68,651 MBOE at December 31, 2017 from 43,731 MBOE at December 31, 2016, primarily due to proved developed reserves added as a result of drilling operations in the Wolfcamp and Bone Spring plays in the Delaware Basin. At December 31, 2017, the Company’s proved reserves were made up of approximately 57% oil and 43% natural gas and were approximately 45% proved developed and approximately 55% proved undeveloped.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Standardized Measure of Discounted Future Net Cash Flows and Changes Therein Relating to Proved Oil and Natural Gas Reserves</w:t>
      </w:r>
    </w:p>
    <w:p>
      <w:pPr>
        <w:spacing w:after="0" w:line="117"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6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noted previously, for the period from January through December 2019, the unweighted, arithmetic averages of first-day-of-the-month oil and natural gas prices were $52.19 per Bbl and $2.58 per MMBtu, respectively. For the period from January through December 2018, the comparable average oil and natural gas prices were $62.04 per Bbl and $3.10 per MMBtu, respectively. For the period from January through December 2017, the comparable average oil and natural gas prices were $47.79 per Bbl and $2.98 per MMBtu, respectively.</w:t>
      </w:r>
    </w:p>
    <w:p>
      <w:pPr>
        <w:spacing w:after="0" w:line="79"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and development costs associated with producing these reserves; neither prices nor costs were escalated with time in these computations.</w:t>
      </w:r>
    </w:p>
    <w:p>
      <w:pPr>
        <w:spacing w:after="0" w:line="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1"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December 31, 2019, 2018 and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OIL AND NATURAL GAS DISCLOSURES — Continued</w:t>
      </w:r>
    </w:p>
    <w:p>
      <w:pPr>
        <w:spacing w:after="0" w:line="37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presents the standardized measure of discounted future net cash flows relating to proved oil and natural gas reserves for the years ended December 31, 2019,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8,771,595</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8,822,004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5,249,116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Future production costs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(3,087,142)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(2,713,043)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(1,759,495)</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(1,029,105)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Future income tax expense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(479,011)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(228,622)</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net cash flows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3,566,698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4,013,823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2,231,894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10% annual discount for estimated timing of cash flows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(1,532,715)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(1,763,210)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(973,248)</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2,033,983</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2,250,613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1,258,646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summarizes the changes in the standardized measure of discounted future net cash flows relating to proved oil and natural gas reserves for the years ended December 31, 2019,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2,250,613</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575,043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4"/>
              </w:rPr>
              <w:t>Net change in sales and transfer prices and in production (lifting) costs related to future production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(622,710)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574,381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374,370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(298,504)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Sales and transfers of oil and natural gas produced during the period</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(682,747)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(403,095)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(divestitures) purchases of reserves in place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97,225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change due to extensions and discoveries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733,208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1,078,935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677,681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due to revisions in estimates of reserves quantities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63,436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143,749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258,593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279,799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151,974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discount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114,500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(110,491)</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Standardized measure of discounted future net cash flows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2,033,983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2,250,613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1,258,646</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5540"/>
              <w:spacing w:after="0"/>
              <w:rPr>
                <w:sz w:val="20"/>
                <w:szCs w:val="20"/>
                <w:color w:val="auto"/>
              </w:rPr>
            </w:pPr>
            <w:r>
              <w:rPr>
                <w:rFonts w:ascii="Arial" w:cs="Arial" w:eastAsia="Arial" w:hAnsi="Arial"/>
                <w:sz w:val="18"/>
                <w:szCs w:val="18"/>
                <w:color w:val="auto"/>
              </w:rPr>
              <w:t>F-50</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SUPPLEMENTARY INFORMATION — CONTINUED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selected unaudited quarterly financial information for 2019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7"/>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Oil and natural gas revenues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258,619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229,377</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211,060</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193,269</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Third-party midstream services revenues</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11,838</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Sales of purchased gas</w:t>
            </w:r>
          </w:p>
        </w:tc>
        <w:tc>
          <w:tcPr>
            <w:tcW w:w="1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34,711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19,864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8,963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11,231</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bonus - mineral acreage</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Realized gain on derivatives</w:t>
            </w:r>
          </w:p>
        </w:tc>
        <w:tc>
          <w:tcPr>
            <w:tcW w:w="1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3,346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1,165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gain on derivatives</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(45,719)</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223,627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193,300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164,915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166,348</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(21,209)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(18,039)</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43,839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67,243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57,930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(10,498)</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provision (benefit)</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33,642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53,753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45,072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74"/>
        </w:trPr>
        <w:tc>
          <w:tcPr>
            <w:tcW w:w="60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(8,320)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(7,462)</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6080" w:type="dxa"/>
            <w:vAlign w:val="bottom"/>
          </w:tcPr>
          <w:p>
            <w:pPr>
              <w:ind w:left="40"/>
              <w:spacing w:after="0" w:line="137" w:lineRule="exact"/>
              <w:rPr>
                <w:sz w:val="20"/>
                <w:szCs w:val="20"/>
                <w:color w:val="auto"/>
              </w:rPr>
            </w:pPr>
            <w:r>
              <w:rPr>
                <w:rFonts w:ascii="Arial" w:cs="Arial" w:eastAsia="Arial" w:hAnsi="Arial"/>
                <w:sz w:val="14"/>
                <w:szCs w:val="14"/>
                <w:color w:val="auto"/>
              </w:rPr>
              <w:t>Net income (loss) attributable to</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24,019</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43,953</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36,752</w:t>
            </w:r>
          </w:p>
        </w:tc>
        <w:tc>
          <w:tcPr>
            <w:tcW w:w="12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(16,947)</w:t>
            </w:r>
          </w:p>
        </w:tc>
        <w:tc>
          <w:tcPr>
            <w:tcW w:w="0" w:type="dxa"/>
            <w:vAlign w:val="bottom"/>
          </w:tcPr>
          <w:p>
            <w:pPr>
              <w:spacing w:after="0"/>
              <w:rPr>
                <w:sz w:val="1"/>
                <w:szCs w:val="1"/>
                <w:color w:val="auto"/>
              </w:rPr>
            </w:pPr>
          </w:p>
        </w:tc>
      </w:tr>
      <w:tr>
        <w:trPr>
          <w:trHeight w:val="22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Matador Resources Company shareholders</w:t>
            </w: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Earnings (loss) per common share</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38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00"/>
        </w:trPr>
        <w:tc>
          <w:tcPr>
            <w:tcW w:w="60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380"/>
              <w:spacing w:after="0" w:line="150" w:lineRule="exact"/>
              <w:rPr>
                <w:sz w:val="20"/>
                <w:szCs w:val="20"/>
                <w:color w:val="auto"/>
              </w:rPr>
            </w:pPr>
            <w:r>
              <w:rPr>
                <w:rFonts w:ascii="Arial" w:cs="Arial" w:eastAsia="Arial" w:hAnsi="Arial"/>
                <w:sz w:val="14"/>
                <w:szCs w:val="14"/>
                <w:color w:val="auto"/>
              </w:rPr>
              <w:t>Diluted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60"/>
        </w:trPr>
        <w:tc>
          <w:tcPr>
            <w:tcW w:w="60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selected unaudited quarterly financial information for 2018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7"/>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Oil and natural gas revenues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193,445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216,282</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209,019</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181,954</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Third-party midstream services revenues</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8,636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3,068</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Sales of purchased gas</w:t>
            </w:r>
          </w:p>
        </w:tc>
        <w:tc>
          <w:tcPr>
            <w:tcW w:w="1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7,071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bonus - mineral acreage</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Realized gain (loss) on derivatives</w:t>
            </w:r>
          </w:p>
        </w:tc>
        <w:tc>
          <w:tcPr>
            <w:tcW w:w="1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3,656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5,424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derivatives</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74,577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10,416</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141,811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139,325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137,374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117,818</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(11,666)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4"/>
                <w:szCs w:val="14"/>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136,397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25,115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65,637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144,088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25,115</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65,637</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74"/>
        </w:trPr>
        <w:tc>
          <w:tcPr>
            <w:tcW w:w="60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 in subsidiaries</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(5,831)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6080" w:type="dxa"/>
            <w:vAlign w:val="bottom"/>
          </w:tcPr>
          <w:p>
            <w:pPr>
              <w:ind w:left="40"/>
              <w:spacing w:after="0" w:line="137" w:lineRule="exact"/>
              <w:rPr>
                <w:sz w:val="20"/>
                <w:szCs w:val="20"/>
                <w:color w:val="auto"/>
              </w:rPr>
            </w:pPr>
            <w:r>
              <w:rPr>
                <w:rFonts w:ascii="Arial" w:cs="Arial" w:eastAsia="Arial" w:hAnsi="Arial"/>
                <w:sz w:val="14"/>
                <w:szCs w:val="14"/>
                <w:color w:val="auto"/>
              </w:rPr>
              <w:t>Net income attributable to</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136,713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17,794</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59,806</w:t>
            </w:r>
          </w:p>
        </w:tc>
        <w:tc>
          <w:tcPr>
            <w:tcW w:w="12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59,894</w:t>
            </w:r>
          </w:p>
        </w:tc>
        <w:tc>
          <w:tcPr>
            <w:tcW w:w="0" w:type="dxa"/>
            <w:vAlign w:val="bottom"/>
          </w:tcPr>
          <w:p>
            <w:pPr>
              <w:spacing w:after="0"/>
              <w:rPr>
                <w:sz w:val="1"/>
                <w:szCs w:val="1"/>
                <w:color w:val="auto"/>
              </w:rPr>
            </w:pPr>
          </w:p>
        </w:tc>
      </w:tr>
      <w:tr>
        <w:trPr>
          <w:trHeight w:val="22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Matador Resources Company shareholders</w:t>
            </w:r>
          </w:p>
        </w:tc>
        <w:tc>
          <w:tcPr>
            <w:tcW w:w="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Earnings per common share</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0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38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0.53</w:t>
            </w:r>
          </w:p>
        </w:tc>
        <w:tc>
          <w:tcPr>
            <w:tcW w:w="12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00"/>
        </w:trPr>
        <w:tc>
          <w:tcPr>
            <w:tcW w:w="60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080" w:type="dxa"/>
            <w:vAlign w:val="bottom"/>
            <w:shd w:val="clear" w:color="auto" w:fill="CCEEFF"/>
          </w:tcPr>
          <w:p>
            <w:pPr>
              <w:ind w:left="380"/>
              <w:spacing w:after="0" w:line="150" w:lineRule="exact"/>
              <w:rPr>
                <w:sz w:val="20"/>
                <w:szCs w:val="20"/>
                <w:color w:val="auto"/>
              </w:rPr>
            </w:pPr>
            <w:r>
              <w:rPr>
                <w:rFonts w:ascii="Arial" w:cs="Arial" w:eastAsia="Arial" w:hAnsi="Arial"/>
                <w:sz w:val="14"/>
                <w:szCs w:val="14"/>
                <w:color w:val="auto"/>
              </w:rPr>
              <w:t>Diluted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0.53</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60"/>
        </w:trPr>
        <w:tc>
          <w:tcPr>
            <w:tcW w:w="60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420"/>
          </w:cols>
          <w:pgMar w:left="240" w:top="121" w:right="23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authorized capital stock consists of 160,000,000 shares of common stock, par value $0.01 per share, and 2,000,000 shares of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NYSE under the symbol “MTDR.”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Holders of all of our common stock will be entitled to receive their pro rata shares of dividends in the amounts and at the times declared by our board of directors in its discretion out of funds legally available for the payment of dividends.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any special voting rights of any series of preferred stock that we may issue in the future, each share of common stock has one vote on all matters voted on by our shareholders, including the election of directors. No share of common stock has any cumulative voting or preemptive rights or is redeemable, assessable or entitled to the benefits of any sinking or repurchase fund. Holders of common stock will share equally in our assets on liquidation after payment or provision for all liabilities and any preferential liquidation rights of any preferred stock then outstanding. All outstanding shares of common stock are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direction of our board of directors, we may issue shares of preferred stock from time to time. Our board of directors may, without any action by holders of common stock, adopt resolutions to issue preferred stock by establishing the number, rights and preferences of, and designating, one or more series of preferred stock. No series of preferred stock has been designated and established by our board of directors. The rights of any series of preferred stock may include, among others:</w:t>
      </w:r>
    </w:p>
    <w:p>
      <w:pPr>
        <w:spacing w:after="0" w:line="254" w:lineRule="exact"/>
        <w:rPr>
          <w:sz w:val="20"/>
          <w:szCs w:val="20"/>
          <w:color w:val="auto"/>
        </w:rPr>
      </w:pPr>
    </w:p>
    <w:p>
      <w:pPr>
        <w:ind w:left="340" w:hanging="305"/>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general or special voting rights;</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preferential liquidation or preemptive rights;</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preferential cumulative or noncumulative dividend rights;</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redemption or put rights; and</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may issue shares of, or rights to purchase shares of, preferred stock the terms of which might:</w:t>
      </w:r>
    </w:p>
    <w:p>
      <w:pPr>
        <w:spacing w:after="0" w:line="293" w:lineRule="exact"/>
        <w:rPr>
          <w:sz w:val="20"/>
          <w:szCs w:val="20"/>
          <w:color w:val="auto"/>
        </w:rPr>
      </w:pPr>
    </w:p>
    <w:p>
      <w:pPr>
        <w:ind w:left="340" w:hanging="305"/>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adversely affect voting or other rights evidenced by, or amounts otherwise payable with respect to, the common stock;</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discourage an unsolicited proposal to acquire us; or</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facilitate a particular business combination involving us.</w:t>
      </w:r>
    </w:p>
    <w:p>
      <w:pPr>
        <w:sectPr>
          <w:pgSz w:w="11900" w:h="16838" w:orient="portrait"/>
          <w:cols w:equalWidth="0" w:num="1">
            <w:col w:w="11420"/>
          </w:cols>
          <w:pgMar w:left="240" w:top="121" w:right="239" w:bottom="1440" w:gutter="0" w:footer="0" w:header="0"/>
        </w:sectPr>
      </w:pPr>
    </w:p>
    <w:bookmarkStart w:id="156" w:name="page157"/>
    <w:bookmarkEnd w:id="156"/>
    <w:p>
      <w:pPr>
        <w:ind w:right="360"/>
        <w:spacing w:after="0" w:line="277" w:lineRule="auto"/>
        <w:rPr>
          <w:sz w:val="20"/>
          <w:szCs w:val="20"/>
          <w:color w:val="auto"/>
        </w:rPr>
      </w:pPr>
      <w:r>
        <w:rPr>
          <w:rFonts w:ascii="Arial" w:cs="Arial" w:eastAsia="Arial" w:hAnsi="Arial"/>
          <w:sz w:val="18"/>
          <w:szCs w:val="18"/>
          <w:color w:val="auto"/>
        </w:rPr>
        <w:t>Any of these actions could discourage a transaction that some or a majority of our shareholders might believe to be in their best interests or in which our shareholders might receive a premium for their stock over our then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under Texas Law</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 number of provisions of Texas law, our certificate of formation and bylaws could make more difficult the acquisition of the Company by means of a tender offer, a proxy contest or otherwise and the removal of incumbent officers and directors. These provisions are intended to discourage coercive takeover practices and inadequate takeover bids and to encourage persons seeking to acquire control of the Company to negotiate first with our board of directors.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the provisions of Title 2, Chapter 21, Subchapter M of the Texas Business Organizations Code (the “Texas Business Combination Law”). That law provides that a Texas corporation may not engage in specified types of business combinations, including mergers, consolidations and asset sales, with a person, or an affiliate or associate of that person, who is an “affiliated shareholder.” An “affiliated shareholder” is generally defined as (i) the holder of 20% or more of the corporation’s voting shares or (ii) a person who, during the preceding three year period, was a holder of 20% or more of the corporation’s voting shares. The law’s prohibitions do not apply if:</w:t>
      </w:r>
    </w:p>
    <w:p>
      <w:pPr>
        <w:spacing w:after="0" w:line="256" w:lineRule="exact"/>
        <w:rPr>
          <w:sz w:val="20"/>
          <w:szCs w:val="20"/>
          <w:color w:val="auto"/>
        </w:rPr>
      </w:pPr>
    </w:p>
    <w:p>
      <w:pPr>
        <w:ind w:left="340" w:right="1820" w:hanging="305"/>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business combination or the acquisition of shares by the affiliated shareholder was approved by the board of directors of the corporation before the affiliated shareholder became an affiliated shareholder; or</w:t>
      </w:r>
    </w:p>
    <w:p>
      <w:pPr>
        <w:spacing w:after="0" w:line="265" w:lineRule="exact"/>
        <w:rPr>
          <w:rFonts w:ascii="Arial" w:cs="Arial" w:eastAsia="Arial" w:hAnsi="Arial"/>
          <w:sz w:val="18"/>
          <w:szCs w:val="18"/>
          <w:color w:val="auto"/>
        </w:rPr>
      </w:pPr>
    </w:p>
    <w:p>
      <w:pPr>
        <w:ind w:left="340" w:right="1120" w:hanging="305"/>
        <w:spacing w:after="0" w:line="264"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business combination was approved by the affirmative vote of the holders of at least two-thirds of the outstanding voting shares of the corporation not beneficially owned by the affiliated shareholder, at a meeting of shareholders called for that purpose, not less than six months after the affiliated shareholder became an affiliated shareholder.</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Because we have a class of voting shares registered under the Exchange Act, we are considered an “issuing public corporation” for purposes of this law. The Texas Business Combination Law does not apply to the following:</w:t>
      </w:r>
    </w:p>
    <w:p>
      <w:pPr>
        <w:spacing w:after="0" w:line="238" w:lineRule="exact"/>
        <w:rPr>
          <w:sz w:val="20"/>
          <w:szCs w:val="20"/>
          <w:color w:val="auto"/>
        </w:rPr>
      </w:pPr>
    </w:p>
    <w:p>
      <w:pPr>
        <w:ind w:left="340" w:right="1180" w:hanging="305"/>
        <w:spacing w:after="0" w:line="273"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business combination of an issuing public corporation: where the corporation’s original charter or bylaws contain a provision expressly electing not to be governed by the Texas Business Combination Law; or that adopts an amendment to its charter or bylaws, by the affirmative vote of the holders, other than affiliated shareholders, of at least two-thirds of the outstanding voting shares of the corporation, expressly electing not to be governed by the Texas Business Combination Law and so long as the amendment does not take effect for 18 months following the date of the vote and does not apply to a business combination with an affiliated shareholder who became affiliated on or before the effective date of the amendment;</w:t>
      </w:r>
    </w:p>
    <w:p>
      <w:pPr>
        <w:spacing w:after="0" w:line="273" w:lineRule="exact"/>
        <w:rPr>
          <w:rFonts w:ascii="Arial" w:cs="Arial" w:eastAsia="Arial" w:hAnsi="Arial"/>
          <w:sz w:val="17"/>
          <w:szCs w:val="17"/>
          <w:color w:val="auto"/>
        </w:rPr>
      </w:pPr>
    </w:p>
    <w:p>
      <w:pPr>
        <w:ind w:left="340" w:right="1100" w:hanging="305"/>
        <w:spacing w:after="0" w:line="25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business combination of an issuing public corporation with an affiliated shareholder that became an affiliated shareholder inadvertently, if the affiliated shareholder divests itself, as soon as possible, of enough shares to no longer be an affiliated shareholder and would not at any time within the three-year period preceding the announcement of the business combination have been an affiliated shareholder but for the inadvertent acquisition;</w:t>
      </w:r>
    </w:p>
    <w:p>
      <w:pPr>
        <w:spacing w:after="0" w:line="281" w:lineRule="exact"/>
        <w:rPr>
          <w:rFonts w:ascii="Arial" w:cs="Arial" w:eastAsia="Arial" w:hAnsi="Arial"/>
          <w:sz w:val="18"/>
          <w:szCs w:val="18"/>
          <w:color w:val="auto"/>
        </w:rPr>
      </w:pPr>
    </w:p>
    <w:p>
      <w:pPr>
        <w:ind w:left="340" w:right="1660" w:hanging="305"/>
        <w:spacing w:after="0" w:line="342"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business combination with an affiliated shareholder who became an affiliated shareholder through a transfer of shares by will or intestacy and continuously was an affiliated shareholder until the announcement date of the business combination; and</w:t>
      </w:r>
    </w:p>
    <w:p>
      <w:pPr>
        <w:spacing w:after="0" w:line="218" w:lineRule="exact"/>
        <w:rPr>
          <w:rFonts w:ascii="Arial" w:cs="Arial" w:eastAsia="Arial" w:hAnsi="Arial"/>
          <w:sz w:val="16"/>
          <w:szCs w:val="16"/>
          <w:color w:val="auto"/>
        </w:rPr>
      </w:pPr>
    </w:p>
    <w:p>
      <w:pPr>
        <w:ind w:left="340" w:right="1420" w:hanging="305"/>
        <w:spacing w:after="0" w:line="342"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business combination of a corporation with its wholly owned Texas subsidiary if the subsidiary is not an affiliate or associate of the affiliated shareholder other than by reason of the affiliated shareholder’s beneficial ownership of voting shares of the corporation.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57" w:right="319" w:bottom="1440" w:gutter="0" w:footer="0" w:header="0"/>
        </w:sectPr>
      </w:pPr>
    </w:p>
    <w:bookmarkStart w:id="157" w:name="page158"/>
    <w:bookmarkEnd w:id="157"/>
    <w:p>
      <w:pPr>
        <w:spacing w:after="0" w:line="264" w:lineRule="auto"/>
        <w:rPr>
          <w:sz w:val="20"/>
          <w:szCs w:val="20"/>
          <w:color w:val="auto"/>
        </w:rPr>
      </w:pPr>
      <w:r>
        <w:rPr>
          <w:rFonts w:ascii="Arial" w:cs="Arial" w:eastAsia="Arial" w:hAnsi="Arial"/>
          <w:sz w:val="18"/>
          <w:szCs w:val="18"/>
          <w:color w:val="auto"/>
        </w:rPr>
        <w:t>Neither our certificate of formation nor our bylaws contain any provision expressly providing that we will not be subject to the Texas Business Combination Law. The Texas Business Combination Law may have the effect of inhibiting a non-negotiated merger or other business combination involving the Company, even if that event would be beneficial to our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Consent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bylaws and Texas law provide that any action that can be taken at any special or annual meeting of shareholders may be taken by unanimous written consent of all shareholders entitled to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Charter and Bylaw Provisions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certificate of formation and bylaws contain certain provisions that could discourage potential takeover attempts and make it more difficult for our shareholders to change management or receive a premium for their shares. These provisions include:</w:t>
      </w:r>
    </w:p>
    <w:p>
      <w:pPr>
        <w:spacing w:after="0" w:line="238" w:lineRule="exact"/>
        <w:rPr>
          <w:sz w:val="20"/>
          <w:szCs w:val="20"/>
          <w:color w:val="auto"/>
        </w:rPr>
      </w:pPr>
    </w:p>
    <w:p>
      <w:pPr>
        <w:ind w:left="340" w:hanging="305"/>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authorization for our board of directors to issue preferred stock without shareholder approval;</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319" w:lineRule="exact"/>
        <w:rPr>
          <w:rFonts w:ascii="Arial" w:cs="Arial" w:eastAsia="Arial" w:hAnsi="Arial"/>
          <w:sz w:val="18"/>
          <w:szCs w:val="18"/>
          <w:color w:val="auto"/>
        </w:rPr>
      </w:pPr>
    </w:p>
    <w:p>
      <w:pPr>
        <w:ind w:left="340" w:hanging="305"/>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prohibition of cumulative voting in the election of directors; and</w:t>
      </w:r>
    </w:p>
    <w:p>
      <w:pPr>
        <w:spacing w:after="0" w:line="319" w:lineRule="exact"/>
        <w:rPr>
          <w:rFonts w:ascii="Arial" w:cs="Arial" w:eastAsia="Arial" w:hAnsi="Arial"/>
          <w:sz w:val="18"/>
          <w:szCs w:val="18"/>
          <w:color w:val="auto"/>
        </w:rPr>
      </w:pPr>
    </w:p>
    <w:p>
      <w:pPr>
        <w:ind w:left="340" w:right="1460" w:hanging="305"/>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limitation on the ability of shareholders to call special meetings to those owning at least 25% of our outstanding shares of common stock.</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57" w:right="2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10.55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FOURTEENTH AMENDMENT TO THIRD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FOURTEENTH AMENDMENT TO THIRD AMENDED AND RESTATED CREDIT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February 27, 2020, by and among MRC ENERGY COMPANY, a Texas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LENDERS party hereto and ROYAL BANK OF CANADA, as Administrative Agent for the Lenders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Unless otherwise expressly defined herein, capitalized terms used but not defined in this Amendment have the meanings assigned to such terms in the Credit Agreement (as defined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 the Administrative Agent and the Lenders have entered into that certain Third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Credit Agreement, dated as of September 28, 2012 (as the same has been and may hereafter be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39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 the Guarantors party thereto, the Lenders party thereto and the Administrative Agent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into that certain Borrowing Base Increase Letter, dated as of April 22, 2019 (the “</w:t>
      </w:r>
      <w:r>
        <w:rPr>
          <w:rFonts w:ascii="Arial" w:cs="Arial" w:eastAsia="Arial" w:hAnsi="Arial"/>
          <w:sz w:val="22"/>
          <w:szCs w:val="22"/>
          <w:u w:val="single" w:color="auto"/>
          <w:color w:val="auto"/>
        </w:rPr>
        <w:t>Borrowing Base Increase Letter</w:t>
      </w:r>
      <w:r>
        <w:rPr>
          <w:rFonts w:ascii="Arial" w:cs="Arial" w:eastAsia="Arial" w:hAnsi="Arial"/>
          <w:sz w:val="22"/>
          <w:szCs w:val="22"/>
          <w:color w:val="auto"/>
        </w:rPr>
        <w:t xml:space="preserve">”), pursuant to which the Borrowing Base and Conforming Borrowing Base were increased in accordance with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of the Credit Agreement from $850,000,000 to $900,000,000, effective as of April 22, 2019 (the “</w:t>
      </w:r>
      <w:r>
        <w:rPr>
          <w:rFonts w:ascii="Arial" w:cs="Arial" w:eastAsia="Arial" w:hAnsi="Arial"/>
          <w:sz w:val="22"/>
          <w:szCs w:val="22"/>
          <w:u w:val="single" w:color="auto"/>
          <w:color w:val="auto"/>
        </w:rPr>
        <w:t>Borrowing Base Increase Letter 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and</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Borrower has requested that the Administrative Agent and the Lenders amend the Credit Agreement in</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respects, subject to the terms and conditions set forth herein, and the Administrative Agent and the Lenders have agreed to such request on the terms and conditions hereinafter set forth.</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and in consideration of the mutual covenants and agreements herein contained and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and confessed, the Borrower, the Administrative Agent and the Lenders hereby agree as follows: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SECTION 1. Amendments to Credit Agreement. </w:t>
      </w:r>
      <w:r>
        <w:rPr>
          <w:rFonts w:ascii="Arial" w:cs="Arial" w:eastAsia="Arial" w:hAnsi="Arial"/>
          <w:sz w:val="19"/>
          <w:szCs w:val="19"/>
          <w:color w:val="auto"/>
        </w:rPr>
        <w:t>Subject to the satisfaction or waiver in writing of each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precedent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of this Amendment, and in reliance on the representations, warranties, covenants and agreements contained in this Amendment, the Credit Agreement shall be amended in the manner provided in this </w:t>
      </w:r>
      <w:r>
        <w:rPr>
          <w:rFonts w:ascii="Arial" w:cs="Arial" w:eastAsia="Arial" w:hAnsi="Arial"/>
          <w:sz w:val="19"/>
          <w:szCs w:val="19"/>
          <w:u w:val="single" w:color="auto"/>
          <w:color w:val="auto"/>
        </w:rPr>
        <w:t>Section 1</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1.1 Amended Definition. </w:t>
      </w:r>
      <w:r>
        <w:rPr>
          <w:rFonts w:ascii="Arial" w:cs="Arial" w:eastAsia="Arial" w:hAnsi="Arial"/>
          <w:sz w:val="22"/>
          <w:szCs w:val="22"/>
          <w:color w:val="auto"/>
        </w:rPr>
        <w:t>The following definition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 Agreement shall be and it hereby is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in its entirety to read as follows:</w:t>
      </w:r>
    </w:p>
    <w:p>
      <w:pPr>
        <w:spacing w:after="0" w:line="154"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Defaulting Lender</w:t>
      </w:r>
      <w:r>
        <w:rPr>
          <w:rFonts w:ascii="Arial" w:cs="Arial" w:eastAsia="Arial" w:hAnsi="Arial"/>
          <w:sz w:val="22"/>
          <w:szCs w:val="22"/>
          <w:i w:val="1"/>
          <w:iCs w:val="1"/>
          <w:color w:val="auto"/>
        </w:rPr>
        <w:t>” means a Lender that, as determined by Administrative Agent (with notice to Borrower of such determination), (a) has failed to perform any of its funding obligations hereunder, including, without limitation, in respect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420"/>
          </w:cols>
          <w:pgMar w:left="240" w:top="121" w:right="239" w:bottom="1440" w:gutter="0" w:footer="0" w:header="0"/>
        </w:sectPr>
      </w:pPr>
    </w:p>
    <w:bookmarkStart w:id="159" w:name="page160"/>
    <w:bookmarkEnd w:id="159"/>
    <w:p>
      <w:pPr>
        <w:jc w:val="both"/>
        <w:ind w:left="660"/>
        <w:spacing w:after="0" w:line="286" w:lineRule="auto"/>
        <w:rPr>
          <w:sz w:val="20"/>
          <w:szCs w:val="20"/>
          <w:color w:val="auto"/>
        </w:rPr>
      </w:pPr>
      <w:r>
        <w:rPr>
          <w:rFonts w:ascii="Arial" w:cs="Arial" w:eastAsia="Arial" w:hAnsi="Arial"/>
          <w:sz w:val="19"/>
          <w:szCs w:val="19"/>
          <w:i w:val="1"/>
          <w:iCs w:val="1"/>
          <w:color w:val="auto"/>
        </w:rPr>
        <w:t>Revolving Credit Percentage of any Advances or participations in Letters of Credit, within two Business Days of the date required to be funded by it hereunder, (b) has notified Borrower, Administrative Agent or any Lender that it does not intend to comply with its funding obligations or has made a public statement to that effect with respect to its funding obligations hereunder or under other agreements in which it commits to extend credit, (c) has failed, within three Business Days after request by Administrative Agent, to confirm in a manner satisfactory to Administrative Agent that it will comply with its funding obligations; provided that such Lender shall cease to be a Defaulting Lender pursuant to this clause (c) upon receipt by Administrative Agent of such confirmation in form and substance satisfactory to Administrative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federal or other governmental or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unless deemed so by Administrative Agent in its sole discretion.</w:t>
      </w:r>
    </w:p>
    <w:p>
      <w:pPr>
        <w:spacing w:after="0" w:line="157"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1.2 Additional Definitions</w:t>
      </w:r>
      <w:r>
        <w:rPr>
          <w:rFonts w:ascii="Arial" w:cs="Arial" w:eastAsia="Arial" w:hAnsi="Arial"/>
          <w:sz w:val="22"/>
          <w:szCs w:val="22"/>
          <w:color w:val="auto"/>
        </w:rPr>
        <w:t>. The following definitions shall be and they hereby are added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alphabetical order:</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21"/>
          <w:szCs w:val="21"/>
          <w:i w:val="1"/>
          <w:iCs w:val="1"/>
          <w:color w:val="auto"/>
        </w:rPr>
        <w:t>“</w:t>
      </w:r>
      <w:r>
        <w:rPr>
          <w:rFonts w:ascii="Arial" w:cs="Arial" w:eastAsia="Arial" w:hAnsi="Arial"/>
          <w:sz w:val="21"/>
          <w:szCs w:val="21"/>
          <w:i w:val="1"/>
          <w:iCs w:val="1"/>
          <w:u w:val="single" w:color="auto"/>
          <w:color w:val="auto"/>
        </w:rPr>
        <w:t>Affected Financial Institution</w:t>
      </w:r>
      <w:r>
        <w:rPr>
          <w:rFonts w:ascii="Arial" w:cs="Arial" w:eastAsia="Arial" w:hAnsi="Arial"/>
          <w:sz w:val="21"/>
          <w:szCs w:val="21"/>
          <w:i w:val="1"/>
          <w:iCs w:val="1"/>
          <w:color w:val="auto"/>
        </w:rPr>
        <w:t>” means (a) any EEA Financial Institution or (b) any UK Financial Institution.</w:t>
      </w:r>
    </w:p>
    <w:p>
      <w:pPr>
        <w:spacing w:after="0" w:line="23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Bail-In Action</w:t>
      </w:r>
      <w:r>
        <w:rPr>
          <w:rFonts w:ascii="Arial" w:cs="Arial" w:eastAsia="Arial" w:hAnsi="Arial"/>
          <w:sz w:val="22"/>
          <w:szCs w:val="22"/>
          <w:i w:val="1"/>
          <w:iCs w:val="1"/>
          <w:color w:val="auto"/>
        </w:rPr>
        <w:t>” means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Bail-In Legislation</w:t>
      </w:r>
      <w:r>
        <w:rPr>
          <w:rFonts w:ascii="Arial" w:cs="Arial" w:eastAsia="Arial" w:hAnsi="Arial"/>
          <w:sz w:val="22"/>
          <w:szCs w:val="22"/>
          <w:i w:val="1"/>
          <w:iCs w:val="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BHC Act Affiliate</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13.25(b)</w:t>
      </w:r>
      <w:r>
        <w:rPr>
          <w:rFonts w:ascii="Arial" w:cs="Arial" w:eastAsia="Arial" w:hAnsi="Arial"/>
          <w:sz w:val="22"/>
          <w:szCs w:val="22"/>
          <w:i w:val="1"/>
          <w:iCs w:val="1"/>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Covered Entity</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13.25(b)</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420"/>
          </w:cols>
          <w:pgMar w:left="240" w:top="604" w:right="239" w:bottom="1440" w:gutter="0" w:footer="0" w:header="0"/>
        </w:sectPr>
      </w:pPr>
    </w:p>
    <w:bookmarkStart w:id="160" w:name="page161"/>
    <w:bookmarkEnd w:id="160"/>
    <w:p>
      <w:pPr>
        <w:ind w:left="6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Covered Party</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13.25(a)</w:t>
      </w:r>
      <w:r>
        <w:rPr>
          <w:rFonts w:ascii="Arial" w:cs="Arial" w:eastAsia="Arial" w:hAnsi="Arial"/>
          <w:sz w:val="22"/>
          <w:szCs w:val="22"/>
          <w:i w:val="1"/>
          <w:iCs w:val="1"/>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Default Right</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13.25(b)</w:t>
      </w:r>
      <w:r>
        <w:rPr>
          <w:rFonts w:ascii="Arial" w:cs="Arial" w:eastAsia="Arial" w:hAnsi="Arial"/>
          <w:sz w:val="22"/>
          <w:szCs w:val="22"/>
          <w:i w:val="1"/>
          <w:iCs w:val="1"/>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EEA Financial Institution</w:t>
      </w:r>
      <w:r>
        <w:rPr>
          <w:rFonts w:ascii="Arial" w:cs="Arial" w:eastAsia="Arial" w:hAnsi="Arial"/>
          <w:sz w:val="22"/>
          <w:szCs w:val="22"/>
          <w:i w:val="1"/>
          <w:iCs w:val="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EEA Member Country</w:t>
      </w:r>
      <w:r>
        <w:rPr>
          <w:rFonts w:ascii="Arial" w:cs="Arial" w:eastAsia="Arial" w:hAnsi="Arial"/>
          <w:sz w:val="22"/>
          <w:szCs w:val="22"/>
          <w:i w:val="1"/>
          <w:iCs w:val="1"/>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EEA Resolution Authority</w:t>
      </w:r>
      <w:r>
        <w:rPr>
          <w:rFonts w:ascii="Arial" w:cs="Arial" w:eastAsia="Arial" w:hAnsi="Arial"/>
          <w:sz w:val="22"/>
          <w:szCs w:val="22"/>
          <w:i w:val="1"/>
          <w:iCs w:val="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EU Bail-In Legislation Schedule</w:t>
      </w:r>
      <w:r>
        <w:rPr>
          <w:rFonts w:ascii="Arial" w:cs="Arial" w:eastAsia="Arial" w:hAnsi="Arial"/>
          <w:sz w:val="22"/>
          <w:szCs w:val="22"/>
          <w:i w:val="1"/>
          <w:iCs w:val="1"/>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QFC</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13.25(b)</w:t>
      </w:r>
      <w:r>
        <w:rPr>
          <w:rFonts w:ascii="Arial" w:cs="Arial" w:eastAsia="Arial" w:hAnsi="Arial"/>
          <w:sz w:val="22"/>
          <w:szCs w:val="22"/>
          <w:i w:val="1"/>
          <w:iCs w:val="1"/>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QFC Credit Support</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w:t>
      </w:r>
      <w:r>
        <w:rPr>
          <w:rFonts w:ascii="Arial" w:cs="Arial" w:eastAsia="Arial" w:hAnsi="Arial"/>
          <w:sz w:val="22"/>
          <w:szCs w:val="22"/>
          <w:i w:val="1"/>
          <w:iCs w:val="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Resolution Authority</w:t>
      </w:r>
      <w:r>
        <w:rPr>
          <w:rFonts w:ascii="Arial" w:cs="Arial" w:eastAsia="Arial" w:hAnsi="Arial"/>
          <w:sz w:val="22"/>
          <w:szCs w:val="22"/>
          <w:i w:val="1"/>
          <w:iCs w:val="1"/>
          <w:color w:val="auto"/>
        </w:rPr>
        <w:t>” means an EEA Resolution Authority or, with respect to any UK Financial Institution, a UK Resolution Authority.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Supported QFC</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w:t>
      </w:r>
      <w:r>
        <w:rPr>
          <w:rFonts w:ascii="Arial" w:cs="Arial" w:eastAsia="Arial" w:hAnsi="Arial"/>
          <w:sz w:val="22"/>
          <w:szCs w:val="22"/>
          <w:i w:val="1"/>
          <w:iCs w:val="1"/>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UK Financial Institution</w:t>
      </w:r>
      <w:r>
        <w:rPr>
          <w:rFonts w:ascii="Arial" w:cs="Arial" w:eastAsia="Arial" w:hAnsi="Arial"/>
          <w:sz w:val="22"/>
          <w:szCs w:val="22"/>
          <w:i w:val="1"/>
          <w:iCs w:val="1"/>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UK Resolution Authority</w:t>
      </w:r>
      <w:r>
        <w:rPr>
          <w:rFonts w:ascii="Arial" w:cs="Arial" w:eastAsia="Arial" w:hAnsi="Arial"/>
          <w:sz w:val="22"/>
          <w:szCs w:val="22"/>
          <w:i w:val="1"/>
          <w:iCs w:val="1"/>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U.S. Special Resolution Regimes</w:t>
      </w:r>
      <w:r>
        <w:rPr>
          <w:rFonts w:ascii="Arial" w:cs="Arial" w:eastAsia="Arial" w:hAnsi="Arial"/>
          <w:sz w:val="22"/>
          <w:szCs w:val="22"/>
          <w:i w:val="1"/>
          <w:iCs w:val="1"/>
          <w:color w:val="auto"/>
        </w:rPr>
        <w:t xml:space="preserve">” shall have the meaning set forth in </w:t>
      </w:r>
      <w:r>
        <w:rPr>
          <w:rFonts w:ascii="Arial" w:cs="Arial" w:eastAsia="Arial" w:hAnsi="Arial"/>
          <w:sz w:val="22"/>
          <w:szCs w:val="22"/>
          <w:i w:val="1"/>
          <w:iCs w:val="1"/>
          <w:u w:val="single" w:color="auto"/>
          <w:color w:val="auto"/>
        </w:rPr>
        <w:t>Section 13.25</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0760"/>
          </w:cols>
          <w:pgMar w:left="900" w:top="604" w:right="239" w:bottom="1440" w:gutter="0" w:footer="0" w:header="0"/>
        </w:sectPr>
      </w:pPr>
    </w:p>
    <w:bookmarkStart w:id="161" w:name="page162"/>
    <w:bookmarkEnd w:id="161"/>
    <w:p>
      <w:pPr>
        <w:jc w:val="both"/>
        <w:ind w:left="660" w:firstLine="648"/>
        <w:spacing w:after="0" w:line="288"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Write-Down and Conversion Powers</w:t>
      </w:r>
      <w:r>
        <w:rPr>
          <w:rFonts w:ascii="Arial" w:cs="Arial" w:eastAsia="Arial" w:hAnsi="Arial"/>
          <w:sz w:val="19"/>
          <w:szCs w:val="19"/>
          <w:i w:val="1"/>
          <w:iCs w:val="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 w:lineRule="exact"/>
        <w:rPr>
          <w:sz w:val="20"/>
          <w:szCs w:val="20"/>
          <w:color w:val="auto"/>
        </w:rPr>
      </w:pPr>
    </w:p>
    <w:p>
      <w:pPr>
        <w:jc w:val="both"/>
        <w:ind w:left="660" w:hanging="4"/>
        <w:spacing w:after="0" w:line="244" w:lineRule="auto"/>
        <w:tabs>
          <w:tab w:leader="none" w:pos="974" w:val="left"/>
        </w:tabs>
        <w:numPr>
          <w:ilvl w:val="0"/>
          <w:numId w:val="73"/>
        </w:numPr>
        <w:rPr>
          <w:rFonts w:ascii="Arial" w:cs="Arial" w:eastAsia="Arial" w:hAnsi="Arial"/>
          <w:sz w:val="22"/>
          <w:szCs w:val="22"/>
          <w:i w:val="1"/>
          <w:iCs w:val="1"/>
          <w:color w:val="auto"/>
        </w:rPr>
      </w:pPr>
      <w:r>
        <w:rPr>
          <w:rFonts w:ascii="Arial" w:cs="Arial" w:eastAsia="Arial" w:hAnsi="Arial"/>
          <w:sz w:val="22"/>
          <w:szCs w:val="22"/>
          <w:i w:val="1"/>
          <w:iCs w:val="1"/>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Borrowing Base Increase Letter Effective Date</w:t>
      </w:r>
      <w:r>
        <w:rPr>
          <w:rFonts w:ascii="Arial" w:cs="Arial" w:eastAsia="Arial" w:hAnsi="Arial"/>
          <w:sz w:val="22"/>
          <w:szCs w:val="22"/>
          <w:i w:val="1"/>
          <w:iCs w:val="1"/>
          <w:color w:val="auto"/>
        </w:rPr>
        <w:t>” means April 22, 2019.</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Fourteenth Amendment Effective Date</w:t>
      </w:r>
      <w:r>
        <w:rPr>
          <w:rFonts w:ascii="Arial" w:cs="Arial" w:eastAsia="Arial" w:hAnsi="Arial"/>
          <w:sz w:val="22"/>
          <w:szCs w:val="22"/>
          <w:i w:val="1"/>
          <w:iCs w:val="1"/>
          <w:color w:val="auto"/>
        </w:rPr>
        <w:t>” means February 27, 2020.</w:t>
      </w:r>
    </w:p>
    <w:p>
      <w:pPr>
        <w:spacing w:after="0" w:line="214"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1.3 Divisions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 Agreement shall be and it hereby is amended by adding the following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w:t>
      </w:r>
      <w:r>
        <w:rPr>
          <w:rFonts w:ascii="Arial" w:cs="Arial" w:eastAsia="Arial" w:hAnsi="Arial"/>
          <w:sz w:val="22"/>
          <w:szCs w:val="22"/>
          <w:b w:val="1"/>
          <w:bCs w:val="1"/>
          <w:color w:val="auto"/>
        </w:rPr>
        <w:t xml:space="preserve"> </w:t>
      </w:r>
      <w:r>
        <w:rPr>
          <w:rFonts w:ascii="Arial" w:cs="Arial" w:eastAsia="Arial" w:hAnsi="Arial"/>
          <w:sz w:val="22"/>
          <w:szCs w:val="22"/>
          <w:color w:val="auto"/>
        </w:rPr>
        <w:t>to</w:t>
      </w:r>
      <w:r>
        <w:rPr>
          <w:rFonts w:ascii="Arial" w:cs="Arial" w:eastAsia="Arial" w:hAnsi="Arial"/>
          <w:sz w:val="22"/>
          <w:szCs w:val="22"/>
          <w:b w:val="1"/>
          <w:bCs w:val="1"/>
          <w:color w:val="auto"/>
        </w:rPr>
        <w:t xml:space="preserve"> </w:t>
      </w:r>
      <w:r>
        <w:rPr>
          <w:rFonts w:ascii="Arial" w:cs="Arial" w:eastAsia="Arial" w:hAnsi="Arial"/>
          <w:sz w:val="22"/>
          <w:szCs w:val="22"/>
          <w:color w:val="auto"/>
        </w:rPr>
        <w:t>read in its entirety as follows:</w:t>
      </w:r>
    </w:p>
    <w:p>
      <w:pPr>
        <w:spacing w:after="0" w:line="154"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i w:val="1"/>
          <w:iCs w:val="1"/>
          <w:color w:val="auto"/>
        </w:rPr>
        <w:t xml:space="preserve">1.4 </w:t>
      </w:r>
      <w:r>
        <w:rPr>
          <w:rFonts w:ascii="Arial" w:cs="Arial" w:eastAsia="Arial" w:hAnsi="Arial"/>
          <w:sz w:val="22"/>
          <w:szCs w:val="22"/>
          <w:i w:val="1"/>
          <w:iCs w:val="1"/>
          <w:u w:val="single" w:color="auto"/>
          <w:color w:val="auto"/>
        </w:rPr>
        <w:t>Divisions</w:t>
      </w:r>
      <w:r>
        <w:rPr>
          <w:rFonts w:ascii="Arial" w:cs="Arial" w:eastAsia="Arial" w:hAnsi="Arial"/>
          <w:sz w:val="22"/>
          <w:szCs w:val="22"/>
          <w:i w:val="1"/>
          <w:iCs w:val="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1.4 Borrowing Base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 Agreement shall be and it hereby is amended by replacing “</w:t>
      </w:r>
      <w:r>
        <w:rPr>
          <w:rFonts w:ascii="Arial" w:cs="Arial" w:eastAsia="Arial" w:hAnsi="Arial"/>
          <w:sz w:val="22"/>
          <w:szCs w:val="22"/>
          <w:i w:val="1"/>
          <w:iCs w:val="1"/>
          <w:color w:val="auto"/>
        </w:rPr>
        <w:t>As of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Thirteenth Amendment Effective Date, the Borrowing Base and the Conforming Borrowing Base shall be $850,000,000</w:t>
      </w:r>
      <w:r>
        <w:rPr>
          <w:rFonts w:ascii="Arial" w:cs="Arial" w:eastAsia="Arial" w:hAnsi="Arial"/>
          <w:sz w:val="22"/>
          <w:szCs w:val="22"/>
          <w:color w:val="auto"/>
        </w:rPr>
        <w:t>” in the third</w:t>
      </w:r>
      <w:r>
        <w:rPr>
          <w:rFonts w:ascii="Arial" w:cs="Arial" w:eastAsia="Arial" w:hAnsi="Arial"/>
          <w:sz w:val="22"/>
          <w:szCs w:val="22"/>
          <w:i w:val="1"/>
          <w:iCs w:val="1"/>
          <w:color w:val="auto"/>
        </w:rPr>
        <w:t xml:space="preserve"> </w:t>
      </w:r>
      <w:r>
        <w:rPr>
          <w:rFonts w:ascii="Arial" w:cs="Arial" w:eastAsia="Arial" w:hAnsi="Arial"/>
          <w:sz w:val="22"/>
          <w:szCs w:val="22"/>
          <w:color w:val="auto"/>
        </w:rPr>
        <w:t>to last sentence therein with “</w:t>
      </w:r>
      <w:r>
        <w:rPr>
          <w:rFonts w:ascii="Arial" w:cs="Arial" w:eastAsia="Arial" w:hAnsi="Arial"/>
          <w:sz w:val="22"/>
          <w:szCs w:val="22"/>
          <w:i w:val="1"/>
          <w:iCs w:val="1"/>
          <w:color w:val="auto"/>
        </w:rPr>
        <w:t>As of the Borrowing Base Increase Letter Effective Date, the Borrowing Base and the Conforming</w:t>
      </w:r>
      <w:r>
        <w:rPr>
          <w:rFonts w:ascii="Arial" w:cs="Arial" w:eastAsia="Arial" w:hAnsi="Arial"/>
          <w:sz w:val="22"/>
          <w:szCs w:val="22"/>
          <w:color w:val="auto"/>
        </w:rPr>
        <w:t xml:space="preserve"> </w:t>
      </w:r>
      <w:r>
        <w:rPr>
          <w:rFonts w:ascii="Arial" w:cs="Arial" w:eastAsia="Arial" w:hAnsi="Arial"/>
          <w:sz w:val="22"/>
          <w:szCs w:val="22"/>
          <w:i w:val="1"/>
          <w:iCs w:val="1"/>
          <w:color w:val="auto"/>
        </w:rPr>
        <w:t>Borrowing Base shall be $900,000,000</w:t>
      </w:r>
      <w:r>
        <w:rPr>
          <w:rFonts w:ascii="Arial" w:cs="Arial" w:eastAsia="Arial" w:hAnsi="Arial"/>
          <w:sz w:val="22"/>
          <w:szCs w:val="22"/>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1.5 Acknowledgment and Consent to Bail-In of Affected Financial Institutions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XIII</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be and it hereby is amended by adding the following </w:t>
      </w:r>
      <w:r>
        <w:rPr>
          <w:rFonts w:ascii="Arial" w:cs="Arial" w:eastAsia="Arial" w:hAnsi="Arial"/>
          <w:sz w:val="22"/>
          <w:szCs w:val="22"/>
          <w:u w:val="single" w:color="auto"/>
          <w:color w:val="auto"/>
        </w:rPr>
        <w:t>Section 13.24</w:t>
      </w:r>
      <w:r>
        <w:rPr>
          <w:rFonts w:ascii="Arial" w:cs="Arial" w:eastAsia="Arial" w:hAnsi="Arial"/>
          <w:sz w:val="22"/>
          <w:szCs w:val="22"/>
          <w:color w:val="auto"/>
        </w:rPr>
        <w:t xml:space="preserve"> to read in its entirety as follows:</w:t>
      </w:r>
    </w:p>
    <w:p>
      <w:pPr>
        <w:spacing w:after="0" w:line="154"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9"/>
          <w:szCs w:val="19"/>
          <w:i w:val="1"/>
          <w:iCs w:val="1"/>
          <w:color w:val="auto"/>
        </w:rPr>
        <w:t xml:space="preserve">13.24 </w:t>
      </w:r>
      <w:r>
        <w:rPr>
          <w:rFonts w:ascii="Arial" w:cs="Arial" w:eastAsia="Arial" w:hAnsi="Arial"/>
          <w:sz w:val="19"/>
          <w:szCs w:val="19"/>
          <w:i w:val="1"/>
          <w:iCs w:val="1"/>
          <w:u w:val="single" w:color="auto"/>
          <w:color w:val="auto"/>
        </w:rPr>
        <w:t>Acknowledgment and Consent to Bail-In of Affected Financial Institutions</w:t>
      </w:r>
      <w:r>
        <w:rPr>
          <w:rFonts w:ascii="Arial" w:cs="Arial" w:eastAsia="Arial" w:hAnsi="Arial"/>
          <w:sz w:val="19"/>
          <w:szCs w:val="19"/>
          <w:i w:val="1"/>
          <w:iCs w:val="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420"/>
          </w:cols>
          <w:pgMar w:left="240" w:top="604"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22"/>
          <w:szCs w:val="22"/>
          <w:i w:val="1"/>
          <w:iCs w:val="1"/>
          <w:color w:val="auto"/>
        </w:rPr>
        <w:t>Authority and agrees and consents to, and acknowledges and agrees to be bound by:</w:t>
      </w:r>
    </w:p>
    <w:p>
      <w:pPr>
        <w:spacing w:after="0" w:line="220" w:lineRule="exact"/>
        <w:rPr>
          <w:sz w:val="20"/>
          <w:szCs w:val="20"/>
          <w:color w:val="auto"/>
        </w:rPr>
      </w:pPr>
    </w:p>
    <w:p>
      <w:pPr>
        <w:ind w:left="660" w:firstLine="645"/>
        <w:spacing w:after="0" w:line="343" w:lineRule="auto"/>
        <w:tabs>
          <w:tab w:leader="none" w:pos="1793" w:val="left"/>
        </w:tabs>
        <w:numPr>
          <w:ilvl w:val="0"/>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i w:val="1"/>
          <w:iCs w:val="1"/>
          <w:color w:val="auto"/>
        </w:rPr>
      </w:pPr>
    </w:p>
    <w:p>
      <w:pPr>
        <w:ind w:left="1780" w:hanging="475"/>
        <w:spacing w:after="0"/>
        <w:tabs>
          <w:tab w:leader="none" w:pos="1780" w:val="left"/>
        </w:tabs>
        <w:numPr>
          <w:ilvl w:val="0"/>
          <w:numId w:val="74"/>
        </w:numPr>
        <w:rPr>
          <w:rFonts w:ascii="Arial" w:cs="Arial" w:eastAsia="Arial" w:hAnsi="Arial"/>
          <w:sz w:val="22"/>
          <w:szCs w:val="22"/>
          <w:i w:val="1"/>
          <w:iCs w:val="1"/>
          <w:color w:val="auto"/>
        </w:rPr>
      </w:pPr>
      <w:r>
        <w:rPr>
          <w:rFonts w:ascii="Arial" w:cs="Arial" w:eastAsia="Arial" w:hAnsi="Arial"/>
          <w:sz w:val="22"/>
          <w:szCs w:val="22"/>
          <w:i w:val="1"/>
          <w:iCs w:val="1"/>
          <w:color w:val="auto"/>
        </w:rPr>
        <w:t>the effects of any Bail-in Action on any such liability, including, if applicable:</w:t>
      </w:r>
    </w:p>
    <w:p>
      <w:pPr>
        <w:spacing w:after="0" w:line="219" w:lineRule="exact"/>
        <w:rPr>
          <w:rFonts w:ascii="Arial" w:cs="Arial" w:eastAsia="Arial" w:hAnsi="Arial"/>
          <w:sz w:val="22"/>
          <w:szCs w:val="22"/>
          <w:i w:val="1"/>
          <w:iCs w:val="1"/>
          <w:color w:val="auto"/>
        </w:rPr>
      </w:pPr>
    </w:p>
    <w:p>
      <w:pPr>
        <w:ind w:left="3020" w:hanging="419"/>
        <w:spacing w:after="0"/>
        <w:tabs>
          <w:tab w:leader="none" w:pos="3020" w:val="left"/>
        </w:tabs>
        <w:numPr>
          <w:ilvl w:val="1"/>
          <w:numId w:val="74"/>
        </w:numPr>
        <w:rPr>
          <w:rFonts w:ascii="Arial" w:cs="Arial" w:eastAsia="Arial" w:hAnsi="Arial"/>
          <w:sz w:val="22"/>
          <w:szCs w:val="22"/>
          <w:i w:val="1"/>
          <w:iCs w:val="1"/>
          <w:color w:val="auto"/>
        </w:rPr>
      </w:pPr>
      <w:r>
        <w:rPr>
          <w:rFonts w:ascii="Arial" w:cs="Arial" w:eastAsia="Arial" w:hAnsi="Arial"/>
          <w:sz w:val="22"/>
          <w:szCs w:val="22"/>
          <w:i w:val="1"/>
          <w:iCs w:val="1"/>
          <w:color w:val="auto"/>
        </w:rPr>
        <w:t>a reduction in full or in part or cancellation of any such liability;</w:t>
      </w:r>
    </w:p>
    <w:p>
      <w:pPr>
        <w:spacing w:after="0" w:line="219" w:lineRule="exact"/>
        <w:rPr>
          <w:rFonts w:ascii="Arial" w:cs="Arial" w:eastAsia="Arial" w:hAnsi="Arial"/>
          <w:sz w:val="22"/>
          <w:szCs w:val="22"/>
          <w:i w:val="1"/>
          <w:iCs w:val="1"/>
          <w:color w:val="auto"/>
        </w:rPr>
      </w:pPr>
    </w:p>
    <w:p>
      <w:pPr>
        <w:jc w:val="both"/>
        <w:ind w:left="1300" w:firstLine="1301"/>
        <w:spacing w:after="0" w:line="302" w:lineRule="auto"/>
        <w:tabs>
          <w:tab w:leader="none" w:pos="3101" w:val="left"/>
        </w:tabs>
        <w:numPr>
          <w:ilvl w:val="1"/>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2" w:lineRule="exact"/>
        <w:rPr>
          <w:rFonts w:ascii="Arial" w:cs="Arial" w:eastAsia="Arial" w:hAnsi="Arial"/>
          <w:sz w:val="19"/>
          <w:szCs w:val="19"/>
          <w:i w:val="1"/>
          <w:iCs w:val="1"/>
          <w:color w:val="auto"/>
        </w:rPr>
      </w:pPr>
    </w:p>
    <w:p>
      <w:pPr>
        <w:ind w:left="1300" w:firstLine="1301"/>
        <w:spacing w:after="0" w:line="263" w:lineRule="auto"/>
        <w:tabs>
          <w:tab w:leader="none" w:pos="3139" w:val="left"/>
        </w:tabs>
        <w:numPr>
          <w:ilvl w:val="1"/>
          <w:numId w:val="74"/>
        </w:numPr>
        <w:rPr>
          <w:rFonts w:ascii="Arial" w:cs="Arial" w:eastAsia="Arial" w:hAnsi="Arial"/>
          <w:sz w:val="22"/>
          <w:szCs w:val="22"/>
          <w:i w:val="1"/>
          <w:iCs w:val="1"/>
          <w:color w:val="auto"/>
        </w:rPr>
      </w:pPr>
      <w:r>
        <w:rPr>
          <w:rFonts w:ascii="Arial" w:cs="Arial" w:eastAsia="Arial" w:hAnsi="Arial"/>
          <w:sz w:val="22"/>
          <w:szCs w:val="22"/>
          <w:i w:val="1"/>
          <w:iCs w:val="1"/>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1.6 Acknowledgment Regarding Any Supported QFCs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XIII</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 Agreement shall be and it hereby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amended by adding the following </w:t>
      </w:r>
      <w:r>
        <w:rPr>
          <w:rFonts w:ascii="Arial" w:cs="Arial" w:eastAsia="Arial" w:hAnsi="Arial"/>
          <w:sz w:val="22"/>
          <w:szCs w:val="22"/>
          <w:u w:val="single" w:color="auto"/>
          <w:color w:val="auto"/>
        </w:rPr>
        <w:t>Section 13.25</w:t>
      </w:r>
      <w:r>
        <w:rPr>
          <w:rFonts w:ascii="Arial" w:cs="Arial" w:eastAsia="Arial" w:hAnsi="Arial"/>
          <w:sz w:val="22"/>
          <w:szCs w:val="22"/>
          <w:color w:val="auto"/>
        </w:rPr>
        <w:t xml:space="preserve"> to read in its entirety as follows:</w:t>
      </w:r>
    </w:p>
    <w:p>
      <w:pPr>
        <w:spacing w:after="0" w:line="15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21"/>
          <w:szCs w:val="21"/>
          <w:i w:val="1"/>
          <w:iCs w:val="1"/>
          <w:color w:val="auto"/>
        </w:rPr>
        <w:t xml:space="preserve">13.25 </w:t>
      </w:r>
      <w:r>
        <w:rPr>
          <w:rFonts w:ascii="Arial" w:cs="Arial" w:eastAsia="Arial" w:hAnsi="Arial"/>
          <w:sz w:val="21"/>
          <w:szCs w:val="21"/>
          <w:i w:val="1"/>
          <w:iCs w:val="1"/>
          <w:u w:val="single" w:color="auto"/>
          <w:color w:val="auto"/>
        </w:rPr>
        <w:t>Acknowledgment Regarding Any Supported QFCs</w:t>
      </w:r>
      <w:r>
        <w:rPr>
          <w:rFonts w:ascii="Arial" w:cs="Arial" w:eastAsia="Arial" w:hAnsi="Arial"/>
          <w:sz w:val="21"/>
          <w:szCs w:val="21"/>
          <w:i w:val="1"/>
          <w:iCs w:val="1"/>
          <w:color w:val="auto"/>
        </w:rPr>
        <w:t>. To the extent that the Loan Documents provide support, through a guarantee or otherwise, for Commodity Hedging Agreements or Interest Rate Agreements or any other agreement or instrument that is a QFC (such support, “</w:t>
      </w:r>
      <w:r>
        <w:rPr>
          <w:rFonts w:ascii="Arial" w:cs="Arial" w:eastAsia="Arial" w:hAnsi="Arial"/>
          <w:sz w:val="21"/>
          <w:szCs w:val="21"/>
          <w:i w:val="1"/>
          <w:iCs w:val="1"/>
          <w:u w:val="single" w:color="auto"/>
          <w:color w:val="auto"/>
        </w:rPr>
        <w:t>QFC Credit Support</w:t>
      </w:r>
      <w:r>
        <w:rPr>
          <w:rFonts w:ascii="Arial" w:cs="Arial" w:eastAsia="Arial" w:hAnsi="Arial"/>
          <w:sz w:val="21"/>
          <w:szCs w:val="21"/>
          <w:i w:val="1"/>
          <w:iCs w:val="1"/>
          <w:color w:val="auto"/>
        </w:rPr>
        <w:t>” and each such QFC a “</w:t>
      </w:r>
      <w:r>
        <w:rPr>
          <w:rFonts w:ascii="Arial" w:cs="Arial" w:eastAsia="Arial" w:hAnsi="Arial"/>
          <w:sz w:val="21"/>
          <w:szCs w:val="21"/>
          <w:i w:val="1"/>
          <w:iCs w:val="1"/>
          <w:u w:val="single" w:color="auto"/>
          <w:color w:val="auto"/>
        </w:rPr>
        <w:t>Supported QFC</w:t>
      </w:r>
      <w:r>
        <w:rPr>
          <w:rFonts w:ascii="Arial" w:cs="Arial" w:eastAsia="Arial" w:hAnsi="Arial"/>
          <w:sz w:val="21"/>
          <w:szCs w:val="21"/>
          <w:i w:val="1"/>
          <w:iCs w:val="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i w:val="1"/>
          <w:iCs w:val="1"/>
          <w:u w:val="single" w:color="auto"/>
          <w:color w:val="auto"/>
        </w:rPr>
        <w:t>U.S. Special Resolution Regimes</w:t>
      </w:r>
      <w:r>
        <w:rPr>
          <w:rFonts w:ascii="Arial" w:cs="Arial" w:eastAsia="Arial" w:hAnsi="Arial"/>
          <w:sz w:val="21"/>
          <w:szCs w:val="21"/>
          <w:i w:val="1"/>
          <w:iCs w:val="1"/>
          <w:color w:val="auto"/>
        </w:rPr>
        <w:t>”) in respect of such Supported QFC and QFC Credit Support (with the provisions below applicable notwithstanding that the Loan Documents and any Supported QFC may in fact be stated to be governed by the laws of the State of Texas and/or of the United States or any other state of the United States):</w:t>
      </w:r>
    </w:p>
    <w:p>
      <w:pPr>
        <w:spacing w:after="0" w:line="180" w:lineRule="exact"/>
        <w:rPr>
          <w:sz w:val="20"/>
          <w:szCs w:val="20"/>
          <w:color w:val="auto"/>
        </w:rPr>
      </w:pPr>
    </w:p>
    <w:p>
      <w:pPr>
        <w:jc w:val="both"/>
        <w:ind w:left="660" w:firstLine="645"/>
        <w:spacing w:after="0" w:line="271" w:lineRule="auto"/>
        <w:tabs>
          <w:tab w:leader="none" w:pos="1802" w:val="left"/>
        </w:tabs>
        <w:numPr>
          <w:ilvl w:val="0"/>
          <w:numId w:val="75"/>
        </w:numPr>
        <w:rPr>
          <w:rFonts w:ascii="Arial" w:cs="Arial" w:eastAsia="Arial" w:hAnsi="Arial"/>
          <w:sz w:val="21"/>
          <w:szCs w:val="21"/>
          <w:i w:val="1"/>
          <w:iCs w:val="1"/>
          <w:color w:val="auto"/>
        </w:rPr>
      </w:pPr>
      <w:r>
        <w:rPr>
          <w:rFonts w:ascii="Arial" w:cs="Arial" w:eastAsia="Arial" w:hAnsi="Arial"/>
          <w:sz w:val="21"/>
          <w:szCs w:val="21"/>
          <w:i w:val="1"/>
          <w:iCs w:val="1"/>
          <w:color w:val="auto"/>
        </w:rPr>
        <w:t>In the event a Covered Entity that is party to a Supported QFC (each, a “</w:t>
      </w:r>
      <w:r>
        <w:rPr>
          <w:rFonts w:ascii="Arial" w:cs="Arial" w:eastAsia="Arial" w:hAnsi="Arial"/>
          <w:sz w:val="21"/>
          <w:szCs w:val="21"/>
          <w:i w:val="1"/>
          <w:iCs w:val="1"/>
          <w:u w:val="single" w:color="auto"/>
          <w:color w:val="auto"/>
        </w:rPr>
        <w:t>Covered Party</w:t>
      </w:r>
      <w:r>
        <w:rPr>
          <w:rFonts w:ascii="Arial" w:cs="Arial" w:eastAsia="Arial" w:hAnsi="Arial"/>
          <w:sz w:val="21"/>
          <w:szCs w:val="21"/>
          <w:i w:val="1"/>
          <w:iCs w:val="1"/>
          <w:color w:val="auto"/>
        </w:rPr>
        <w:t>”) becomes subject to a proceeding under a U.S. Special Resolution Regime, the transfer of such Supported QFC and the benefit of such QFC Credit Support (and any interest and obligation in or under such Supported QFC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420"/>
          </w:cols>
          <w:pgMar w:left="240" w:top="604" w:right="239" w:bottom="1440" w:gutter="0" w:footer="0" w:header="0"/>
        </w:sectPr>
      </w:pPr>
    </w:p>
    <w:bookmarkStart w:id="163" w:name="page164"/>
    <w:bookmarkEnd w:id="163"/>
    <w:p>
      <w:pPr>
        <w:jc w:val="both"/>
        <w:ind w:left="660"/>
        <w:spacing w:after="0" w:line="288" w:lineRule="auto"/>
        <w:rPr>
          <w:sz w:val="20"/>
          <w:szCs w:val="20"/>
          <w:color w:val="auto"/>
        </w:rPr>
      </w:pPr>
      <w:r>
        <w:rPr>
          <w:rFonts w:ascii="Arial" w:cs="Arial" w:eastAsia="Arial" w:hAnsi="Arial"/>
          <w:sz w:val="19"/>
          <w:szCs w:val="19"/>
          <w:i w:val="1"/>
          <w:iCs w:val="1"/>
          <w:color w:val="auto"/>
        </w:rPr>
        <w:t>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i w:val="1"/>
          <w:iCs w:val="1"/>
          <w:color w:val="auto"/>
        </w:rPr>
        <w:t>(b)</w:t>
      </w:r>
      <w:r>
        <w:rPr>
          <w:sz w:val="20"/>
          <w:szCs w:val="20"/>
          <w:color w:val="auto"/>
        </w:rPr>
        <w:tab/>
      </w:r>
      <w:r>
        <w:rPr>
          <w:rFonts w:ascii="Arial" w:cs="Arial" w:eastAsia="Arial" w:hAnsi="Arial"/>
          <w:sz w:val="19"/>
          <w:szCs w:val="19"/>
          <w:i w:val="1"/>
          <w:iCs w:val="1"/>
          <w:color w:val="auto"/>
        </w:rPr>
        <w:t xml:space="preserve">As used in this </w:t>
      </w:r>
      <w:r>
        <w:rPr>
          <w:rFonts w:ascii="Arial" w:cs="Arial" w:eastAsia="Arial" w:hAnsi="Arial"/>
          <w:sz w:val="19"/>
          <w:szCs w:val="19"/>
          <w:i w:val="1"/>
          <w:iCs w:val="1"/>
          <w:u w:val="single" w:color="auto"/>
          <w:color w:val="auto"/>
        </w:rPr>
        <w:t>Section 13.25</w:t>
      </w:r>
      <w:r>
        <w:rPr>
          <w:rFonts w:ascii="Arial" w:cs="Arial" w:eastAsia="Arial" w:hAnsi="Arial"/>
          <w:sz w:val="19"/>
          <w:szCs w:val="19"/>
          <w:i w:val="1"/>
          <w:iCs w:val="1"/>
          <w:color w:val="auto"/>
        </w:rPr>
        <w:t>, the following terms have the following meanings:</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BHC Act Affiliate</w:t>
      </w:r>
      <w:r>
        <w:rPr>
          <w:rFonts w:ascii="Arial" w:cs="Arial" w:eastAsia="Arial" w:hAnsi="Arial"/>
          <w:sz w:val="22"/>
          <w:szCs w:val="22"/>
          <w:i w:val="1"/>
          <w:iCs w:val="1"/>
          <w:color w:val="auto"/>
        </w:rPr>
        <w:t>” of a party means an “affiliate” (as such term is defined under, and interpreted in accordance with, 12 U.S.C. 1841(k)) of such party.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Covered Entity</w:t>
      </w:r>
      <w:r>
        <w:rPr>
          <w:rFonts w:ascii="Arial" w:cs="Arial" w:eastAsia="Arial" w:hAnsi="Arial"/>
          <w:sz w:val="22"/>
          <w:szCs w:val="22"/>
          <w:i w:val="1"/>
          <w:iCs w:val="1"/>
          <w:color w:val="auto"/>
        </w:rPr>
        <w:t>” means any of the following:</w:t>
      </w:r>
    </w:p>
    <w:p>
      <w:pPr>
        <w:spacing w:after="0" w:line="220" w:lineRule="exact"/>
        <w:rPr>
          <w:sz w:val="20"/>
          <w:szCs w:val="20"/>
          <w:color w:val="auto"/>
        </w:rPr>
      </w:pPr>
    </w:p>
    <w:p>
      <w:pPr>
        <w:ind w:left="3100" w:hanging="499"/>
        <w:spacing w:after="0"/>
        <w:tabs>
          <w:tab w:leader="none" w:pos="3100" w:val="left"/>
        </w:tabs>
        <w:numPr>
          <w:ilvl w:val="0"/>
          <w:numId w:val="76"/>
        </w:numPr>
        <w:rPr>
          <w:rFonts w:ascii="Arial" w:cs="Arial" w:eastAsia="Arial" w:hAnsi="Arial"/>
          <w:sz w:val="19"/>
          <w:szCs w:val="19"/>
          <w:i w:val="1"/>
          <w:iCs w:val="1"/>
          <w:color w:val="auto"/>
        </w:rPr>
      </w:pPr>
      <w:r>
        <w:rPr>
          <w:rFonts w:ascii="Arial" w:cs="Arial" w:eastAsia="Arial" w:hAnsi="Arial"/>
          <w:sz w:val="19"/>
          <w:szCs w:val="19"/>
          <w:i w:val="1"/>
          <w:iCs w:val="1"/>
          <w:color w:val="auto"/>
        </w:rPr>
        <w:t>a “covered entity” as that term is defined in, and interpreted in accordance with, 12 C.F.R. §</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252.82(b);</w:t>
      </w:r>
    </w:p>
    <w:p>
      <w:pPr>
        <w:spacing w:after="0" w:line="202" w:lineRule="exact"/>
        <w:rPr>
          <w:sz w:val="20"/>
          <w:szCs w:val="20"/>
          <w:color w:val="auto"/>
        </w:rPr>
      </w:pPr>
    </w:p>
    <w:p>
      <w:pPr>
        <w:ind w:left="3160" w:hanging="559"/>
        <w:spacing w:after="0"/>
        <w:tabs>
          <w:tab w:leader="none" w:pos="3160" w:val="left"/>
        </w:tabs>
        <w:numPr>
          <w:ilvl w:val="0"/>
          <w:numId w:val="77"/>
        </w:numPr>
        <w:rPr>
          <w:rFonts w:ascii="Arial" w:cs="Arial" w:eastAsia="Arial" w:hAnsi="Arial"/>
          <w:sz w:val="19"/>
          <w:szCs w:val="19"/>
          <w:i w:val="1"/>
          <w:iCs w:val="1"/>
          <w:color w:val="auto"/>
        </w:rPr>
      </w:pPr>
      <w:r>
        <w:rPr>
          <w:rFonts w:ascii="Arial" w:cs="Arial" w:eastAsia="Arial" w:hAnsi="Arial"/>
          <w:sz w:val="19"/>
          <w:szCs w:val="19"/>
          <w:i w:val="1"/>
          <w:iCs w:val="1"/>
          <w:color w:val="auto"/>
        </w:rPr>
        <w:t>a “covered bank” as that term is defined in, and interpreted in accordance with, 12 C.F.R. §</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47.3(b); or</w:t>
      </w:r>
    </w:p>
    <w:p>
      <w:pPr>
        <w:spacing w:after="0" w:line="202" w:lineRule="exact"/>
        <w:rPr>
          <w:sz w:val="20"/>
          <w:szCs w:val="20"/>
          <w:color w:val="auto"/>
        </w:rPr>
      </w:pPr>
    </w:p>
    <w:p>
      <w:pPr>
        <w:ind w:left="3220" w:hanging="619"/>
        <w:spacing w:after="0"/>
        <w:tabs>
          <w:tab w:leader="none" w:pos="3220" w:val="left"/>
        </w:tabs>
        <w:numPr>
          <w:ilvl w:val="0"/>
          <w:numId w:val="78"/>
        </w:numPr>
        <w:rPr>
          <w:rFonts w:ascii="Arial" w:cs="Arial" w:eastAsia="Arial" w:hAnsi="Arial"/>
          <w:sz w:val="19"/>
          <w:szCs w:val="19"/>
          <w:i w:val="1"/>
          <w:iCs w:val="1"/>
          <w:color w:val="auto"/>
        </w:rPr>
      </w:pPr>
      <w:r>
        <w:rPr>
          <w:rFonts w:ascii="Arial" w:cs="Arial" w:eastAsia="Arial" w:hAnsi="Arial"/>
          <w:sz w:val="19"/>
          <w:szCs w:val="19"/>
          <w:i w:val="1"/>
          <w:iCs w:val="1"/>
          <w:color w:val="auto"/>
        </w:rPr>
        <w:t>a “covered FSI” as that term is defined in, and interpreted in accordance with, 12 C.F.R. §</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382.2(b).</w:t>
      </w:r>
    </w:p>
    <w:p>
      <w:pPr>
        <w:spacing w:after="0" w:line="202"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Default Right</w:t>
      </w:r>
      <w:r>
        <w:rPr>
          <w:rFonts w:ascii="Arial" w:cs="Arial" w:eastAsia="Arial" w:hAnsi="Arial"/>
          <w:sz w:val="22"/>
          <w:szCs w:val="22"/>
          <w:i w:val="1"/>
          <w:iCs w:val="1"/>
          <w:color w:val="auto"/>
        </w:rPr>
        <w:t>” has the meaning assigned to that term in, and shall be interpreted in accordance with, 12 C.F.R. §§ 252.81, 47.2 or 382.1, as applicable.</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QFC</w:t>
      </w:r>
      <w:r>
        <w:rPr>
          <w:rFonts w:ascii="Arial" w:cs="Arial" w:eastAsia="Arial" w:hAnsi="Arial"/>
          <w:sz w:val="22"/>
          <w:szCs w:val="22"/>
          <w:i w:val="1"/>
          <w:iCs w:val="1"/>
          <w:color w:val="auto"/>
        </w:rPr>
        <w:t>” has the meaning assigned to the term “qualified financial contract” in, and shall be interpreted in accordance with, 12 U.S.C. 5390(c)(8)(D).</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1.7 Revolving Credit Allocations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1.2</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Credit Agreement shall be and it hereby is amended and restated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its entirety and replaced with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to this Amendment.</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SECTION 2. Redetermined Borrowing Base; Elected Commitments. </w:t>
      </w:r>
      <w:r>
        <w:rPr>
          <w:rFonts w:ascii="Arial" w:cs="Arial" w:eastAsia="Arial" w:hAnsi="Arial"/>
          <w:sz w:val="22"/>
          <w:szCs w:val="22"/>
          <w:color w:val="auto"/>
        </w:rPr>
        <w:t>This Amendment shall constitute notice of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redetermination of the Borrowing Base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of the Credit Agreement, and the Administrative Agent, the Lenders and the Borrower hereby acknowledge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420"/>
          </w:cols>
          <w:pgMar w:left="240" w:top="605" w:right="239" w:bottom="1440" w:gutter="0" w:footer="0" w:header="0"/>
        </w:sectPr>
      </w:pPr>
    </w:p>
    <w:bookmarkStart w:id="164" w:name="page165"/>
    <w:bookmarkEnd w:id="164"/>
    <w:p>
      <w:pPr>
        <w:jc w:val="both"/>
        <w:spacing w:after="0" w:line="302" w:lineRule="auto"/>
        <w:rPr>
          <w:sz w:val="20"/>
          <w:szCs w:val="20"/>
          <w:color w:val="auto"/>
        </w:rPr>
      </w:pPr>
      <w:r>
        <w:rPr>
          <w:rFonts w:ascii="Arial" w:cs="Arial" w:eastAsia="Arial" w:hAnsi="Arial"/>
          <w:sz w:val="19"/>
          <w:szCs w:val="19"/>
          <w:color w:val="auto"/>
        </w:rPr>
        <w:t xml:space="preserve">effective as of the date hereof (i) the Borrowing Base shall be reaffirmed at $900,000,000 and (ii) the Revolving Credit Aggregate Commitment shall be $700,000,000, and such redetermined and reaffirmed Borrowing Base shall remain in effect until the date the Borrowing Base is otherwise adjusted pursuant to the terms of the Credit Agreement. The redetermination of the Borrowing Base contained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constitute the Determination Date to occur on or about May 1, 2020.</w:t>
      </w:r>
    </w:p>
    <w:p>
      <w:pPr>
        <w:spacing w:after="0" w:line="13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b w:val="1"/>
          <w:bCs w:val="1"/>
          <w:color w:val="auto"/>
        </w:rPr>
        <w:t xml:space="preserve">SECTION 3. New Lenders and Reallocation and Increase of Revolving Credit Commitment Amounts. </w:t>
      </w:r>
      <w:r>
        <w:rPr>
          <w:rFonts w:ascii="Arial" w:cs="Arial" w:eastAsia="Arial" w:hAnsi="Arial"/>
          <w:sz w:val="19"/>
          <w:szCs w:val="19"/>
          <w:color w:val="auto"/>
        </w:rPr>
        <w:t>The Lenders have</w:t>
      </w:r>
      <w:r>
        <w:rPr>
          <w:rFonts w:ascii="Arial" w:cs="Arial" w:eastAsia="Arial" w:hAnsi="Arial"/>
          <w:sz w:val="19"/>
          <w:szCs w:val="19"/>
          <w:b w:val="1"/>
          <w:bCs w:val="1"/>
          <w:color w:val="auto"/>
        </w:rPr>
        <w:t xml:space="preserve"> </w:t>
      </w:r>
      <w:r>
        <w:rPr>
          <w:rFonts w:ascii="Arial" w:cs="Arial" w:eastAsia="Arial" w:hAnsi="Arial"/>
          <w:sz w:val="19"/>
          <w:szCs w:val="19"/>
          <w:color w:val="auto"/>
        </w:rPr>
        <w:t>agreed among themselves to reallocate their respective Revolving Credit Commitment Amounts, and to, among other things, (a) allow certain financial institutions identified by RBC Capital Markets (“</w:t>
      </w:r>
      <w:r>
        <w:rPr>
          <w:rFonts w:ascii="Arial" w:cs="Arial" w:eastAsia="Arial" w:hAnsi="Arial"/>
          <w:sz w:val="19"/>
          <w:szCs w:val="19"/>
          <w:u w:val="single" w:color="auto"/>
          <w:color w:val="auto"/>
        </w:rPr>
        <w:t>RBC Capital</w:t>
      </w:r>
      <w:r>
        <w:rPr>
          <w:rFonts w:ascii="Arial" w:cs="Arial" w:eastAsia="Arial" w:hAnsi="Arial"/>
          <w:sz w:val="19"/>
          <w:szCs w:val="19"/>
          <w:color w:val="auto"/>
        </w:rPr>
        <w:t>”), in its capacity as a Joint Lead Arranger, in consultation with the Borrower, to become a party to the Credit Agreement as a Lender (each, a “</w:t>
      </w:r>
      <w:r>
        <w:rPr>
          <w:rFonts w:ascii="Arial" w:cs="Arial" w:eastAsia="Arial" w:hAnsi="Arial"/>
          <w:sz w:val="19"/>
          <w:szCs w:val="19"/>
          <w:u w:val="single" w:color="auto"/>
          <w:color w:val="auto"/>
        </w:rPr>
        <w:t>New Lender</w:t>
      </w:r>
      <w:r>
        <w:rPr>
          <w:rFonts w:ascii="Arial" w:cs="Arial" w:eastAsia="Arial" w:hAnsi="Arial"/>
          <w:sz w:val="19"/>
          <w:szCs w:val="19"/>
          <w:color w:val="auto"/>
        </w:rPr>
        <w:t>”) and (b) to permit one or more of the Lenders to increase their respective Revolving Credit Commitment Amounts (each,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xml:space="preserve">”). Each of the Administrative Agent and the Borrower hereby consent to (i) the reallocation of the Revolving Credit Commitment Amounts, (ii) each New Lender’s agreement to provide a Revolving Credit Commitment Amount and (iii) the increase in each Increasing Lender’s Revolving Credit Commitment Amount. On the date this Amendment becomes effective and after giving effect to such reallocation and assignment and increase of the Revolving Credit Aggregate Commitment, the Revolving Credit Commitment Amount of each Lender shall be as set forth on </w:t>
      </w:r>
      <w:r>
        <w:rPr>
          <w:rFonts w:ascii="Arial" w:cs="Arial" w:eastAsia="Arial" w:hAnsi="Arial"/>
          <w:sz w:val="19"/>
          <w:szCs w:val="19"/>
          <w:u w:val="single" w:color="auto"/>
          <w:color w:val="auto"/>
        </w:rPr>
        <w:t>Schedule 1.2</w:t>
      </w:r>
      <w:r>
        <w:rPr>
          <w:rFonts w:ascii="Arial" w:cs="Arial" w:eastAsia="Arial" w:hAnsi="Arial"/>
          <w:sz w:val="19"/>
          <w:szCs w:val="19"/>
          <w:color w:val="auto"/>
        </w:rPr>
        <w:t xml:space="preserve"> of this Amendment. Each Lender hereby consents to the Revolving Credit Commitment Amount set forth on </w:t>
      </w:r>
      <w:r>
        <w:rPr>
          <w:rFonts w:ascii="Arial" w:cs="Arial" w:eastAsia="Arial" w:hAnsi="Arial"/>
          <w:sz w:val="19"/>
          <w:szCs w:val="19"/>
          <w:u w:val="single" w:color="auto"/>
          <w:color w:val="auto"/>
        </w:rPr>
        <w:t>Schedule 1.2</w:t>
      </w:r>
      <w:r>
        <w:rPr>
          <w:rFonts w:ascii="Arial" w:cs="Arial" w:eastAsia="Arial" w:hAnsi="Arial"/>
          <w:sz w:val="19"/>
          <w:szCs w:val="19"/>
          <w:color w:val="auto"/>
        </w:rPr>
        <w:t xml:space="preserve"> of this Amendment. The reallocation of the Revolving Credit Commitment Amounts among the Lenders and the acquisition by each New Lender of an interest in the Revolving Credit Aggregate Commitment, shall be deemed to have been consummated pursuant to the terms of the Assignment and Assumption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the Credit Agreement as if the Lenders, including each New Lender, had executed an Assignment and Assumption with respect to such reallocation. The Administrative Agent hereby waives the $3,500 processing and recordation fee set forth in </w:t>
      </w:r>
      <w:r>
        <w:rPr>
          <w:rFonts w:ascii="Arial" w:cs="Arial" w:eastAsia="Arial" w:hAnsi="Arial"/>
          <w:sz w:val="19"/>
          <w:szCs w:val="19"/>
          <w:u w:val="single" w:color="auto"/>
          <w:color w:val="auto"/>
        </w:rPr>
        <w:t>Section 13.7(b)(iv)</w:t>
      </w:r>
      <w:r>
        <w:rPr>
          <w:rFonts w:ascii="Arial" w:cs="Arial" w:eastAsia="Arial" w:hAnsi="Arial"/>
          <w:sz w:val="19"/>
          <w:szCs w:val="19"/>
          <w:color w:val="auto"/>
        </w:rPr>
        <w:t xml:space="preserve"> of the Credit Agreement with respect to the assignments and reallocations contemplated by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To the extent requested by any Lender, and in accordance with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the Credit Agreement, the Borrower shall pay to such Lender, within the time period prescribed by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the Credit Agreement, any amounts required to be paid by the Borrower under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the Credit Agreement in the event the payment of any principal of any Eurodollar-based Advance or the conversion of any Eurodollar-based Advance other than on the last day of an Interest Period applicable thereto is required in connection with the reallocation contemplated by this </w:t>
      </w:r>
      <w:r>
        <w:rPr>
          <w:rFonts w:ascii="Arial" w:cs="Arial" w:eastAsia="Arial" w:hAnsi="Arial"/>
          <w:sz w:val="19"/>
          <w:szCs w:val="19"/>
          <w:u w:val="single" w:color="auto"/>
          <w:color w:val="auto"/>
        </w:rPr>
        <w:t>Section 3</w:t>
      </w:r>
      <w:r>
        <w:rPr>
          <w:rFonts w:ascii="Arial" w:cs="Arial" w:eastAsia="Arial" w:hAnsi="Arial"/>
          <w:sz w:val="19"/>
          <w:szCs w:val="19"/>
          <w:color w:val="auto"/>
        </w:rPr>
        <w:t>. Each New Lender agrees that it shall be deemed to be, and hereby becomes on the date of effectiveness of this Amendment, a party in all respects to the Credit Agreement and the other Loan Documents to which all the Lenders are party and each shall have the rights and obligations of a Lender under the Credit Agreement and the other Loan Documents.</w:t>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4. Conditions. </w:t>
      </w:r>
      <w:r>
        <w:rPr>
          <w:rFonts w:ascii="Arial" w:cs="Arial" w:eastAsia="Arial" w:hAnsi="Arial"/>
          <w:sz w:val="22"/>
          <w:szCs w:val="22"/>
          <w:color w:val="auto"/>
        </w:rPr>
        <w:t>The amendments to the Credit Agreement contained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Amendment,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redetermination of the Borrowing Base contained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this Amendment, and the reallocation of the commitments contained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of this Amendment, in each case, shall be effective upon the satisfaction of each of the conditions set forth in this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420"/>
          </w:cols>
          <w:pgMar w:left="240" w:top="604" w:right="239" w:bottom="1440" w:gutter="0" w:footer="0" w:header="0"/>
        </w:sectPr>
      </w:pPr>
    </w:p>
    <w:bookmarkStart w:id="165" w:name="page166"/>
    <w:bookmarkEnd w:id="165"/>
    <w:p>
      <w:pPr>
        <w:jc w:val="both"/>
        <w:ind w:firstLine="648"/>
        <w:spacing w:after="0" w:line="262" w:lineRule="auto"/>
        <w:rPr>
          <w:sz w:val="20"/>
          <w:szCs w:val="20"/>
          <w:color w:val="auto"/>
        </w:rPr>
      </w:pPr>
      <w:r>
        <w:rPr>
          <w:rFonts w:ascii="Arial" w:cs="Arial" w:eastAsia="Arial" w:hAnsi="Arial"/>
          <w:sz w:val="22"/>
          <w:szCs w:val="22"/>
          <w:b w:val="1"/>
          <w:bCs w:val="1"/>
          <w:color w:val="auto"/>
        </w:rPr>
        <w:t>4.1 Execution and Delivery</w:t>
      </w:r>
      <w:r>
        <w:rPr>
          <w:rFonts w:ascii="Arial" w:cs="Arial" w:eastAsia="Arial" w:hAnsi="Arial"/>
          <w:sz w:val="22"/>
          <w:szCs w:val="22"/>
          <w:color w:val="auto"/>
        </w:rPr>
        <w:t>. The Administrative Agent shall have received a duly executed counterpart of (a)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signed by the Borrower and the Lenders and (b) the Consent and Reaffirmation attached hereto signed by each Guarantor.</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4.2 No Default. </w:t>
      </w:r>
      <w:r>
        <w:rPr>
          <w:rFonts w:ascii="Arial" w:cs="Arial" w:eastAsia="Arial" w:hAnsi="Arial"/>
          <w:sz w:val="22"/>
          <w:szCs w:val="22"/>
          <w:color w:val="auto"/>
        </w:rPr>
        <w:t>After giving effect to this Amendment, no Default or Event of Default shall have occurred and be</w:t>
      </w:r>
      <w:r>
        <w:rPr>
          <w:rFonts w:ascii="Arial" w:cs="Arial" w:eastAsia="Arial" w:hAnsi="Arial"/>
          <w:sz w:val="22"/>
          <w:szCs w:val="22"/>
          <w:b w:val="1"/>
          <w:bCs w:val="1"/>
          <w:color w:val="auto"/>
        </w:rPr>
        <w:t xml:space="preserve"> </w:t>
      </w:r>
      <w:r>
        <w:rPr>
          <w:rFonts w:ascii="Arial" w:cs="Arial" w:eastAsia="Arial" w:hAnsi="Arial"/>
          <w:sz w:val="22"/>
          <w:szCs w:val="22"/>
          <w:color w:val="auto"/>
        </w:rPr>
        <w:t>continuing.</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color w:val="auto"/>
        </w:rPr>
        <w:t xml:space="preserve">4.3 Fees. </w:t>
      </w:r>
      <w:r>
        <w:rPr>
          <w:rFonts w:ascii="Arial" w:cs="Arial" w:eastAsia="Arial" w:hAnsi="Arial"/>
          <w:sz w:val="22"/>
          <w:szCs w:val="22"/>
          <w:color w:val="auto"/>
        </w:rPr>
        <w:t>The Administrative Agent shall have received the fees separately agreed upon in a separate fee letter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Administrative Agent and the Borrower in connection with this Amendment.</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4.4 Notes</w:t>
      </w:r>
      <w:r>
        <w:rPr>
          <w:rFonts w:ascii="Arial" w:cs="Arial" w:eastAsia="Arial" w:hAnsi="Arial"/>
          <w:sz w:val="22"/>
          <w:szCs w:val="22"/>
          <w:color w:val="auto"/>
        </w:rPr>
        <w:t>. The Administrative Agent shall have received Notes duly executed by the Borrower for each Lender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requests a Note in accordance with </w:t>
      </w:r>
      <w:r>
        <w:rPr>
          <w:rFonts w:ascii="Arial" w:cs="Arial" w:eastAsia="Arial" w:hAnsi="Arial"/>
          <w:sz w:val="22"/>
          <w:szCs w:val="22"/>
          <w:u w:val="single" w:color="auto"/>
          <w:color w:val="auto"/>
        </w:rPr>
        <w:t>Section 2.2(e)</w:t>
      </w:r>
      <w:r>
        <w:rPr>
          <w:rFonts w:ascii="Arial" w:cs="Arial" w:eastAsia="Arial" w:hAnsi="Arial"/>
          <w:sz w:val="22"/>
          <w:szCs w:val="22"/>
          <w:color w:val="auto"/>
        </w:rPr>
        <w:t xml:space="preserve"> of the Credit Agreement.</w:t>
      </w:r>
    </w:p>
    <w:p>
      <w:pPr>
        <w:spacing w:after="0" w:line="1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4.5 Other Documents. </w:t>
      </w:r>
      <w:r>
        <w:rPr>
          <w:rFonts w:ascii="Arial" w:cs="Arial" w:eastAsia="Arial" w:hAnsi="Arial"/>
          <w:sz w:val="19"/>
          <w:szCs w:val="19"/>
          <w:color w:val="auto"/>
        </w:rPr>
        <w:t>The Administrative Agent shall have received such other instruments and documents incidental</w:t>
      </w:r>
      <w:r>
        <w:rPr>
          <w:rFonts w:ascii="Arial" w:cs="Arial" w:eastAsia="Arial" w:hAnsi="Arial"/>
          <w:sz w:val="19"/>
          <w:szCs w:val="19"/>
          <w:b w:val="1"/>
          <w:bCs w:val="1"/>
          <w:color w:val="auto"/>
        </w:rPr>
        <w:t xml:space="preserve"> </w:t>
      </w:r>
      <w:r>
        <w:rPr>
          <w:rFonts w:ascii="Arial" w:cs="Arial" w:eastAsia="Arial" w:hAnsi="Arial"/>
          <w:sz w:val="19"/>
          <w:szCs w:val="19"/>
          <w:color w:val="auto"/>
        </w:rPr>
        <w:t>and appropriate to the transactions provided for herein as the Administrative Agent or its special counsel may reasonably request, and all such documents shall be in form and substance reasonably satisfactory to the Administrative Agent.</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SECTION 5. Representations and Warranties. </w:t>
      </w:r>
      <w:r>
        <w:rPr>
          <w:rFonts w:ascii="Arial" w:cs="Arial" w:eastAsia="Arial" w:hAnsi="Arial"/>
          <w:sz w:val="22"/>
          <w:szCs w:val="22"/>
          <w:color w:val="auto"/>
        </w:rPr>
        <w:t>To induce the Lenders to enter into this Amendment, the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the Lenders as follows:</w:t>
      </w:r>
    </w:p>
    <w:p>
      <w:pPr>
        <w:spacing w:after="0" w:line="1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5.1 Reaffirmation of Representations and Warranties. </w:t>
      </w:r>
      <w:r>
        <w:rPr>
          <w:rFonts w:ascii="Arial" w:cs="Arial" w:eastAsia="Arial" w:hAnsi="Arial"/>
          <w:sz w:val="19"/>
          <w:szCs w:val="19"/>
          <w:color w:val="auto"/>
        </w:rPr>
        <w:t>After giving effect to the amendments herein, each</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 and warranty of the Borrower, the Parent and each other Credit Party contained in the Credit Agreement and in each of the other Loan Documents to which it is a party is true and correct in all material respects as of the date hereof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w:t>
      </w:r>
    </w:p>
    <w:p>
      <w:pPr>
        <w:spacing w:after="0" w:line="14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5.2 Corporate Authority; No Conflicts. </w:t>
      </w:r>
      <w:r>
        <w:rPr>
          <w:rFonts w:ascii="Arial" w:cs="Arial" w:eastAsia="Arial" w:hAnsi="Arial"/>
          <w:sz w:val="21"/>
          <w:szCs w:val="21"/>
          <w:color w:val="auto"/>
        </w:rPr>
        <w:t>The execution, delivery and performance by the Borrower of this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all documents, instruments and agreements contemplated herein are within the Borrower’s corporate powers, have been duly authorized by necessary corporate action by the Borrower, require no action by or in respect of, or filing with, any court or agency of government (except for the recording and filing of Collateral Documents and financing statements) and (a) do not violate in any material respect any Requirement of Law, (b) are not in contravention of the terms of any material Contractual Obligation, indenture, agreement or undertaking to which the Borrower is a party or by which it or its properties are bound where such violation could reasonably be expected to have a Material Adverse Effect, and (c) do not result in the creation or imposition of any Lien upon any of the assets of the Borrower except for Liens permitted by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of the Credit Agreement and otherwise as permitted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420"/>
          </w:cols>
          <w:pgMar w:left="240" w:top="598" w:right="239" w:bottom="1440" w:gutter="0" w:footer="0" w:header="0"/>
        </w:sectPr>
      </w:pPr>
    </w:p>
    <w:bookmarkStart w:id="166" w:name="page167"/>
    <w:bookmarkEnd w:id="166"/>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5.3 Enforceability. </w:t>
      </w:r>
      <w:r>
        <w:rPr>
          <w:rFonts w:ascii="Arial" w:cs="Arial" w:eastAsia="Arial" w:hAnsi="Arial"/>
          <w:sz w:val="22"/>
          <w:szCs w:val="22"/>
          <w:color w:val="auto"/>
        </w:rPr>
        <w:t>This Amendment constitutes the valid and binding obligation of the Borrower enforceable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its terms, except as the enforceability thereof may be limited by (i) bankruptcy, insolvency or similar laws affecting creditor’s rights generally, and (ii) equitable principles of general application.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5.4  No Default. </w:t>
      </w:r>
      <w:r>
        <w:rPr>
          <w:rFonts w:ascii="Arial" w:cs="Arial" w:eastAsia="Arial" w:hAnsi="Arial"/>
          <w:sz w:val="19"/>
          <w:szCs w:val="19"/>
          <w:color w:val="auto"/>
        </w:rPr>
        <w:t>After giving effect to this Amendment, no Default or Event of Default has occurred and is continuing.</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Miscellaneous.</w:t>
      </w:r>
    </w:p>
    <w:p>
      <w:pPr>
        <w:spacing w:after="0" w:line="23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6.1 Mortgages</w:t>
      </w:r>
      <w:r>
        <w:rPr>
          <w:rFonts w:ascii="Arial" w:cs="Arial" w:eastAsia="Arial" w:hAnsi="Arial"/>
          <w:sz w:val="19"/>
          <w:szCs w:val="19"/>
          <w:color w:val="auto"/>
        </w:rPr>
        <w:t>. Within sixty (60) days after the date hereof (or such longer period as Administrative Agent may agree, in</w:t>
      </w:r>
      <w:r>
        <w:rPr>
          <w:rFonts w:ascii="Arial" w:cs="Arial" w:eastAsia="Arial" w:hAnsi="Arial"/>
          <w:sz w:val="19"/>
          <w:szCs w:val="19"/>
          <w:b w:val="1"/>
          <w:bCs w:val="1"/>
          <w:color w:val="auto"/>
        </w:rPr>
        <w:t xml:space="preserve"> </w:t>
      </w:r>
      <w:r>
        <w:rPr>
          <w:rFonts w:ascii="Arial" w:cs="Arial" w:eastAsia="Arial" w:hAnsi="Arial"/>
          <w:sz w:val="19"/>
          <w:szCs w:val="19"/>
          <w:color w:val="auto"/>
        </w:rPr>
        <w:t>its reasonable discretion), the Credit Parties shall have executed and delivered to the Administrative Agent Mortgages and title information, in each case, reasonably satisfactory to the Administrative Agent with respect to the Oil and Gas Properties of the Credit Parties, or the portion thereof, as required by Sections 7.16 and 7.17 of the Credit Agreement.</w:t>
      </w:r>
    </w:p>
    <w:p>
      <w:pPr>
        <w:spacing w:after="0" w:line="1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6.2 Reaffirmation of Loan Documents and Liens. </w:t>
      </w:r>
      <w:r>
        <w:rPr>
          <w:rFonts w:ascii="Arial" w:cs="Arial" w:eastAsia="Arial" w:hAnsi="Arial"/>
          <w:sz w:val="22"/>
          <w:szCs w:val="22"/>
          <w:color w:val="auto"/>
        </w:rPr>
        <w:t>Any and all of the terms and provisions of the Credit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Loan Documents shall, except as amended and modified hereby, remain in full force and effect and are hereby in all respects ratified and confirmed by the Borrower. The Borrower hereby agrees that the amendments and modifications herein contained shall in no manner affect or impair the liabilities, duties and obligations of the Borrower, the Parent or any other Credit Party under the Credit Agreement and the other Loan Documents or the Liens securing the payment and performance thereof, except as amended and modified hereby.</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6.3 Parties in Interest. </w:t>
      </w:r>
      <w:r>
        <w:rPr>
          <w:rFonts w:ascii="Arial" w:cs="Arial" w:eastAsia="Arial" w:hAnsi="Arial"/>
          <w:sz w:val="22"/>
          <w:szCs w:val="22"/>
          <w:color w:val="auto"/>
        </w:rPr>
        <w:t>All of the terms and provisions of this Amendment shall bind and inure to the benefit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and their respective successors and assigns.</w:t>
      </w:r>
    </w:p>
    <w:p>
      <w:pPr>
        <w:spacing w:after="0" w:line="148"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6.4 Further Assurances</w:t>
      </w:r>
      <w:r>
        <w:rPr>
          <w:rFonts w:ascii="Arial" w:cs="Arial" w:eastAsia="Arial" w:hAnsi="Arial"/>
          <w:sz w:val="19"/>
          <w:szCs w:val="19"/>
          <w:color w:val="auto"/>
        </w:rPr>
        <w:t>. The Borrower covenants and agrees from time to time, as and when reasonably requested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or the Lenders, to execute and deliver or cause to be executed or delivered, all such documents, instruments and agreements and to take or cause to be taken such further or other action as the Administrative Agent or the Lenders may reasonably deem necessary or desirable in order to carry out the intent and purposes of this Amendment.</w:t>
      </w:r>
    </w:p>
    <w:p>
      <w:pPr>
        <w:spacing w:after="0" w:line="13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22"/>
          <w:szCs w:val="22"/>
          <w:b w:val="1"/>
          <w:bCs w:val="1"/>
          <w:color w:val="auto"/>
        </w:rPr>
        <w:t xml:space="preserve">6.5 Legal Expenses. </w:t>
      </w:r>
      <w:r>
        <w:rPr>
          <w:rFonts w:ascii="Arial" w:cs="Arial" w:eastAsia="Arial" w:hAnsi="Arial"/>
          <w:sz w:val="22"/>
          <w:szCs w:val="22"/>
          <w:color w:val="auto"/>
        </w:rPr>
        <w:t>The Borrower hereby agrees to pay all reasonable and documented out-of-pocket fees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of special counsel to the Administrative Agent incurred by the Administrative Agent in connection with the preparation, negotiation and execution of this Amendment and all related documents.</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6.6 Counterparts. </w:t>
      </w:r>
      <w:r>
        <w:rPr>
          <w:rFonts w:ascii="Arial" w:cs="Arial" w:eastAsia="Arial" w:hAnsi="Arial"/>
          <w:sz w:val="22"/>
          <w:szCs w:val="22"/>
          <w:color w:val="auto"/>
        </w:rPr>
        <w:t>This Amendment may be executed in one or more counterparts and by different parties hereto in</w:t>
      </w:r>
      <w:r>
        <w:rPr>
          <w:rFonts w:ascii="Arial" w:cs="Arial" w:eastAsia="Arial" w:hAnsi="Arial"/>
          <w:sz w:val="22"/>
          <w:szCs w:val="22"/>
          <w:b w:val="1"/>
          <w:bCs w:val="1"/>
          <w:color w:val="auto"/>
        </w:rPr>
        <w:t xml:space="preserve"> </w:t>
      </w:r>
      <w:r>
        <w:rPr>
          <w:rFonts w:ascii="Arial" w:cs="Arial" w:eastAsia="Arial" w:hAnsi="Arial"/>
          <w:sz w:val="22"/>
          <w:szCs w:val="22"/>
          <w:color w:val="auto"/>
        </w:rPr>
        <w:t>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photocopies of the signature pages to this Amendment by facsimile or electronic mail shall be effective as delivery of manually executed counterparts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420"/>
          </w:cols>
          <w:pgMar w:left="240" w:top="598" w:right="239" w:bottom="1440" w:gutter="0" w:footer="0" w:header="0"/>
        </w:sectPr>
      </w:pPr>
    </w:p>
    <w:bookmarkStart w:id="167" w:name="page168"/>
    <w:bookmarkEnd w:id="167"/>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6.7 Complete Agreement. </w:t>
      </w:r>
      <w:r>
        <w:rPr>
          <w:rFonts w:ascii="Arial" w:cs="Arial" w:eastAsia="Arial" w:hAnsi="Arial"/>
          <w:sz w:val="22"/>
          <w:szCs w:val="22"/>
          <w:color w:val="auto"/>
        </w:rPr>
        <w:t>THIS AMENDMENT, THE CREDIT AGREEMENT, AND THE OTHER LOAN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REPRESENT THE FINAL AGREEMENT BETWEEN THE PARTIES AND MAY NOT BE CONTRADICTED BY EVIDENCE OF PRIOR, CONTEMPORANEOUS OR ORAL AGREEMENTS OF THE PARTIES. THERE ARE NO UNWRITTEN ORAL AGREEMENTS BETWEEN THE PARTIES.</w:t>
      </w:r>
    </w:p>
    <w:p>
      <w:pPr>
        <w:spacing w:after="0" w:line="177"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6.8 Headings. </w:t>
      </w:r>
      <w:r>
        <w:rPr>
          <w:rFonts w:ascii="Arial" w:cs="Arial" w:eastAsia="Arial" w:hAnsi="Arial"/>
          <w:sz w:val="19"/>
          <w:szCs w:val="19"/>
          <w:color w:val="auto"/>
        </w:rPr>
        <w:t>The headings, captions and arrangements used in this Amendment are, unless specified otherwise, for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convenience only and shall not be deemed to limit, amplify or modify the terms of this Amendment, nor affect the meaning thereof.</w:t>
      </w:r>
    </w:p>
    <w:p>
      <w:pPr>
        <w:spacing w:after="0" w:line="8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Amendment shall be construed in accordance with and governed by the laws of the State of</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6.10 Severability. </w:t>
      </w:r>
      <w:r>
        <w:rPr>
          <w:rFonts w:ascii="Arial" w:cs="Arial" w:eastAsia="Arial" w:hAnsi="Arial"/>
          <w:sz w:val="22"/>
          <w:szCs w:val="22"/>
          <w:color w:val="auto"/>
        </w:rPr>
        <w:t>Any provision of this Amendment held to be invalid, illegal or unenforceable in any jurisdiction shall,</w:t>
      </w:r>
      <w:r>
        <w:rPr>
          <w:rFonts w:ascii="Arial" w:cs="Arial" w:eastAsia="Arial" w:hAnsi="Arial"/>
          <w:sz w:val="22"/>
          <w:szCs w:val="22"/>
          <w:b w:val="1"/>
          <w:bCs w:val="1"/>
          <w:color w:val="auto"/>
        </w:rPr>
        <w:t xml:space="preserve"> </w:t>
      </w:r>
      <w:r>
        <w:rPr>
          <w:rFonts w:ascii="Arial" w:cs="Arial" w:eastAsia="Arial" w:hAnsi="Arial"/>
          <w:sz w:val="22"/>
          <w:szCs w:val="22"/>
          <w:color w:val="auto"/>
        </w:rPr>
        <w:t>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6.11  Reference to and Effect on the Loan Documents.</w:t>
      </w:r>
    </w:p>
    <w:p>
      <w:pPr>
        <w:spacing w:after="0" w:line="239" w:lineRule="exact"/>
        <w:rPr>
          <w:sz w:val="20"/>
          <w:szCs w:val="20"/>
          <w:color w:val="auto"/>
        </w:rPr>
      </w:pPr>
    </w:p>
    <w:p>
      <w:pPr>
        <w:jc w:val="both"/>
        <w:ind w:firstLine="656"/>
        <w:spacing w:after="0" w:line="248" w:lineRule="auto"/>
        <w:tabs>
          <w:tab w:leader="none" w:pos="1103"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Amendment shall be deemed to constitute a Loan Document for all purposes and in all respects. Each reference in the Credit Agreement to “this Agreement,” “hereunder,” “hereof,” “herein” or words of like import, and each reference in the Credit Agreement or in any other Loan Document, or other agreements, documents or other instruments executed and delivered pursuant to the Credit Agreement to the “Credit Agreement”, shall mean and be a reference to the Credit Agreement as amended by this Amendment.</w:t>
      </w:r>
    </w:p>
    <w:p>
      <w:pPr>
        <w:spacing w:after="0" w:line="192" w:lineRule="exact"/>
        <w:rPr>
          <w:rFonts w:ascii="Arial" w:cs="Arial" w:eastAsia="Arial" w:hAnsi="Arial"/>
          <w:sz w:val="22"/>
          <w:szCs w:val="22"/>
          <w:color w:val="auto"/>
        </w:rPr>
      </w:pPr>
    </w:p>
    <w:p>
      <w:pPr>
        <w:jc w:val="both"/>
        <w:ind w:firstLine="656"/>
        <w:spacing w:after="0" w:line="253" w:lineRule="auto"/>
        <w:tabs>
          <w:tab w:leader="none" w:pos="1208"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Amendment shall not operate as a waiver of any right, power or remedy of any Lender or the Administrative Agent under any of the Loan Documents, nor, except as expressly provided herein, constitute a waiver of any provision of any of the Loan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420"/>
          </w:cols>
          <w:pgMar w:left="240" w:top="599" w:right="239" w:bottom="1440" w:gutter="0" w:footer="0" w:header="0"/>
        </w:sectPr>
      </w:pPr>
    </w:p>
    <w:bookmarkStart w:id="168" w:name="page169"/>
    <w:bookmarkEnd w:id="168"/>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Amendment to be duly executed by their respective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to be effective as of the date first above written.</w:t>
      </w:r>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368"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MRC ENERGY COMPANY</w:t>
      </w:r>
      <w:r>
        <w:rPr>
          <w:rFonts w:ascii="Arial" w:cs="Arial" w:eastAsia="Arial" w:hAnsi="Arial"/>
          <w:sz w:val="22"/>
          <w:szCs w:val="22"/>
          <w:color w:val="auto"/>
        </w:rPr>
        <w:t>,</w:t>
      </w:r>
    </w:p>
    <w:p>
      <w:pPr>
        <w:spacing w:after="0" w:line="5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E. Lancaster</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David E. Lancaster</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1420"/>
          </w:cols>
          <w:pgMar w:left="240" w:top="598" w:right="239" w:bottom="1440" w:gutter="0" w:footer="0" w:header="0"/>
        </w:sectPr>
      </w:pPr>
    </w:p>
    <w:bookmarkStart w:id="169" w:name="page170"/>
    <w:bookmarkEnd w:id="169"/>
    <w:p>
      <w:pPr>
        <w:ind w:left="4060"/>
        <w:spacing w:after="0"/>
        <w:rPr>
          <w:sz w:val="20"/>
          <w:szCs w:val="20"/>
          <w:color w:val="auto"/>
        </w:rPr>
      </w:pPr>
      <w:r>
        <w:rPr>
          <w:rFonts w:ascii="Arial" w:cs="Arial" w:eastAsia="Arial" w:hAnsi="Arial"/>
          <w:sz w:val="22"/>
          <w:szCs w:val="22"/>
          <w:b w:val="1"/>
          <w:bCs w:val="1"/>
          <w:color w:val="auto"/>
        </w:rPr>
        <w:t>ROYAL BANK OF CANADA</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Rodica Dutka</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Rodica Dutka</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Manager, Agency</w:t>
            </w:r>
          </w:p>
        </w:tc>
      </w:tr>
    </w:tbl>
    <w:p>
      <w:pPr>
        <w:spacing w:after="0" w:line="200" w:lineRule="exact"/>
        <w:rPr>
          <w:sz w:val="20"/>
          <w:szCs w:val="20"/>
          <w:color w:val="auto"/>
        </w:rPr>
      </w:pPr>
    </w:p>
    <w:p>
      <w:pPr>
        <w:spacing w:after="0" w:line="208"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 and as an Issuing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Don J. McKinnerney</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Don J. McKinnerney</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0" w:name="page171"/>
    <w:bookmarkEnd w:id="170"/>
    <w:p>
      <w:pPr>
        <w:ind w:left="406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Raza Jafferi</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Raza Jafferi</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1" w:name="page172"/>
    <w:bookmarkEnd w:id="171"/>
    <w:p>
      <w:pPr>
        <w:ind w:left="4060"/>
        <w:spacing w:after="0"/>
        <w:rPr>
          <w:sz w:val="20"/>
          <w:szCs w:val="20"/>
          <w:color w:val="auto"/>
        </w:rPr>
      </w:pPr>
      <w:r>
        <w:rPr>
          <w:rFonts w:ascii="Arial" w:cs="Arial" w:eastAsia="Arial" w:hAnsi="Arial"/>
          <w:sz w:val="22"/>
          <w:szCs w:val="22"/>
          <w:b w:val="1"/>
          <w:bCs w:val="1"/>
          <w:color w:val="auto"/>
        </w:rPr>
        <w:t>COMERICA BANK</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 and as an Issuing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Mackenzie Dold</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Mackenzie Dold</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2" w:name="page173"/>
    <w:bookmarkEnd w:id="172"/>
    <w:p>
      <w:pPr>
        <w:ind w:left="4060"/>
        <w:spacing w:after="0"/>
        <w:rPr>
          <w:sz w:val="20"/>
          <w:szCs w:val="20"/>
          <w:color w:val="auto"/>
        </w:rPr>
      </w:pPr>
      <w:r>
        <w:rPr>
          <w:rFonts w:ascii="Arial" w:cs="Arial" w:eastAsia="Arial" w:hAnsi="Arial"/>
          <w:sz w:val="22"/>
          <w:szCs w:val="22"/>
          <w:b w:val="1"/>
          <w:bCs w:val="1"/>
          <w:color w:val="auto"/>
        </w:rPr>
        <w:t>TRUIST BANK, as successor by merger to</w:t>
      </w:r>
    </w:p>
    <w:p>
      <w:pPr>
        <w:spacing w:after="0" w:line="4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SunTrust Bank</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Benjamin L. Brown</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Benjamin L. Brown</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3" w:name="page174"/>
    <w:bookmarkEnd w:id="173"/>
    <w:p>
      <w:pPr>
        <w:ind w:left="4060"/>
        <w:spacing w:after="0"/>
        <w:rPr>
          <w:sz w:val="20"/>
          <w:szCs w:val="20"/>
          <w:color w:val="auto"/>
        </w:rPr>
      </w:pPr>
      <w:r>
        <w:rPr>
          <w:rFonts w:ascii="Arial" w:cs="Arial" w:eastAsia="Arial" w:hAnsi="Arial"/>
          <w:sz w:val="22"/>
          <w:szCs w:val="22"/>
          <w:b w:val="1"/>
          <w:bCs w:val="1"/>
          <w:color w:val="auto"/>
        </w:rPr>
        <w:t>THE BANK OF NOVA SCOTIA, HOUSTON</w:t>
      </w:r>
    </w:p>
    <w:p>
      <w:pPr>
        <w:spacing w:after="0" w:line="4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BRANCH</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Ryan Knape</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Ryan Knape</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4" w:name="page175"/>
    <w:bookmarkEnd w:id="174"/>
    <w:p>
      <w:pPr>
        <w:ind w:left="4060"/>
        <w:spacing w:after="0"/>
        <w:rPr>
          <w:sz w:val="20"/>
          <w:szCs w:val="20"/>
          <w:color w:val="auto"/>
        </w:rPr>
      </w:pPr>
      <w:r>
        <w:rPr>
          <w:rFonts w:ascii="Arial" w:cs="Arial" w:eastAsia="Arial" w:hAnsi="Arial"/>
          <w:sz w:val="22"/>
          <w:szCs w:val="22"/>
          <w:b w:val="1"/>
          <w:bCs w:val="1"/>
          <w:color w:val="auto"/>
        </w:rPr>
        <w:t>BMO HARRIS FINANCING, INC.</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James V. Ducote</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James V. Ducote</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5" w:name="page176"/>
    <w:bookmarkEnd w:id="175"/>
    <w:p>
      <w:pPr>
        <w:ind w:left="4060"/>
        <w:spacing w:after="0"/>
        <w:rPr>
          <w:sz w:val="20"/>
          <w:szCs w:val="20"/>
          <w:color w:val="auto"/>
        </w:rPr>
      </w:pPr>
      <w:r>
        <w:rPr>
          <w:rFonts w:ascii="Arial" w:cs="Arial" w:eastAsia="Arial" w:hAnsi="Arial"/>
          <w:sz w:val="22"/>
          <w:szCs w:val="22"/>
          <w:b w:val="1"/>
          <w:bCs w:val="1"/>
          <w:color w:val="auto"/>
        </w:rPr>
        <w:t>IBERIABANK</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Blakely Norris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Blakely Norris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6" w:name="page177"/>
    <w:bookmarkEnd w:id="176"/>
    <w:p>
      <w:pPr>
        <w:ind w:left="4100"/>
        <w:spacing w:after="0"/>
        <w:rPr>
          <w:sz w:val="20"/>
          <w:szCs w:val="20"/>
          <w:color w:val="auto"/>
        </w:rPr>
      </w:pPr>
      <w:r>
        <w:rPr>
          <w:rFonts w:ascii="Arial" w:cs="Arial" w:eastAsia="Arial" w:hAnsi="Arial"/>
          <w:sz w:val="22"/>
          <w:szCs w:val="22"/>
          <w:b w:val="1"/>
          <w:bCs w:val="1"/>
          <w:color w:val="auto"/>
        </w:rPr>
        <w:t>CANADIAN IMPERIAL BANK OF</w:t>
      </w:r>
    </w:p>
    <w:p>
      <w:pPr>
        <w:spacing w:after="0" w:line="4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COMMERCE, NEW YORK BRANCH</w:t>
      </w:r>
      <w:r>
        <w:rPr>
          <w:rFonts w:ascii="Arial" w:cs="Arial" w:eastAsia="Arial" w:hAnsi="Arial"/>
          <w:sz w:val="22"/>
          <w:szCs w:val="22"/>
          <w:color w:val="auto"/>
        </w:rPr>
        <w:t>,</w:t>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10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Donovan C. Broussard</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40"/>
              <w:spacing w:after="0"/>
              <w:rPr>
                <w:sz w:val="20"/>
                <w:szCs w:val="20"/>
                <w:color w:val="auto"/>
              </w:rPr>
            </w:pPr>
            <w:r>
              <w:rPr>
                <w:rFonts w:ascii="Arial" w:cs="Arial" w:eastAsia="Arial" w:hAnsi="Arial"/>
                <w:sz w:val="22"/>
                <w:szCs w:val="22"/>
                <w:color w:val="auto"/>
              </w:rPr>
              <w:t>Donovan C. Broussard</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r>
        <w:trPr>
          <w:trHeight w:val="956"/>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Jacob W. Lewis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40"/>
              <w:spacing w:after="0"/>
              <w:rPr>
                <w:sz w:val="20"/>
                <w:szCs w:val="20"/>
                <w:color w:val="auto"/>
              </w:rPr>
            </w:pPr>
            <w:r>
              <w:rPr>
                <w:rFonts w:ascii="Arial" w:cs="Arial" w:eastAsia="Arial" w:hAnsi="Arial"/>
                <w:sz w:val="22"/>
                <w:szCs w:val="22"/>
                <w:color w:val="auto"/>
              </w:rPr>
              <w:t>Jacob W. Lewis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7" w:name="page178"/>
    <w:bookmarkEnd w:id="177"/>
    <w:p>
      <w:pPr>
        <w:ind w:left="4060"/>
        <w:spacing w:after="0"/>
        <w:rPr>
          <w:sz w:val="20"/>
          <w:szCs w:val="20"/>
          <w:color w:val="auto"/>
        </w:rPr>
      </w:pPr>
      <w:r>
        <w:rPr>
          <w:rFonts w:ascii="Arial" w:cs="Arial" w:eastAsia="Arial" w:hAnsi="Arial"/>
          <w:sz w:val="22"/>
          <w:szCs w:val="22"/>
          <w:b w:val="1"/>
          <w:bCs w:val="1"/>
          <w:color w:val="auto"/>
        </w:rPr>
        <w:t>THE HUNTINGTON NATIONAL BANK</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Cameron Hinojosa</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Cameron Hinojosa</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8" w:name="page179"/>
    <w:bookmarkEnd w:id="178"/>
    <w:p>
      <w:pPr>
        <w:ind w:left="406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Molly Schultz</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Molly Schultz</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79" w:name="page180"/>
    <w:bookmarkEnd w:id="179"/>
    <w:p>
      <w:pPr>
        <w:ind w:left="4060"/>
        <w:spacing w:after="0"/>
        <w:rPr>
          <w:sz w:val="20"/>
          <w:szCs w:val="20"/>
          <w:color w:val="auto"/>
        </w:rPr>
      </w:pPr>
      <w:r>
        <w:rPr>
          <w:rFonts w:ascii="Arial" w:cs="Arial" w:eastAsia="Arial" w:hAnsi="Arial"/>
          <w:sz w:val="22"/>
          <w:szCs w:val="22"/>
          <w:b w:val="1"/>
          <w:bCs w:val="1"/>
          <w:color w:val="auto"/>
        </w:rPr>
        <w:t>CATHAY BANK</w:t>
      </w:r>
      <w:r>
        <w:rPr>
          <w:rFonts w:ascii="Arial" w:cs="Arial" w:eastAsia="Arial" w:hAnsi="Arial"/>
          <w:sz w:val="22"/>
          <w:szCs w:val="22"/>
          <w:color w:val="auto"/>
        </w:rPr>
        <w:t>,</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Dale T. Wilson</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40"/>
              <w:spacing w:after="0"/>
              <w:rPr>
                <w:sz w:val="20"/>
                <w:szCs w:val="20"/>
                <w:color w:val="auto"/>
              </w:rPr>
            </w:pPr>
            <w:r>
              <w:rPr>
                <w:rFonts w:ascii="Arial" w:cs="Arial" w:eastAsia="Arial" w:hAnsi="Arial"/>
                <w:sz w:val="22"/>
                <w:szCs w:val="22"/>
                <w:color w:val="auto"/>
              </w:rPr>
              <w:t>Dale T. Wilson</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4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920"/>
        <w:spacing w:after="0"/>
        <w:rPr>
          <w:sz w:val="20"/>
          <w:szCs w:val="20"/>
          <w:color w:val="auto"/>
        </w:rPr>
      </w:pPr>
      <w:r>
        <w:rPr>
          <w:rFonts w:ascii="Arial" w:cs="Arial" w:eastAsia="Arial" w:hAnsi="Arial"/>
          <w:sz w:val="14"/>
          <w:szCs w:val="14"/>
          <w:color w:val="auto"/>
        </w:rPr>
        <w:t>SIGNATURE PAGE</w:t>
      </w:r>
    </w:p>
    <w:p>
      <w:pPr>
        <w:sectPr>
          <w:pgSz w:w="11900" w:h="16838" w:orient="portrait"/>
          <w:cols w:equalWidth="0" w:num="1">
            <w:col w:w="10220"/>
          </w:cols>
          <w:pgMar w:left="1440" w:top="747"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2"/>
          <w:szCs w:val="22"/>
          <w:b w:val="1"/>
          <w:bCs w:val="1"/>
          <w:color w:val="auto"/>
        </w:rPr>
        <w:t>CONSENT AND REAFFIRMATION</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Each of the undersigned (each a “</w:t>
      </w:r>
      <w:r>
        <w:rPr>
          <w:rFonts w:ascii="Arial" w:cs="Arial" w:eastAsia="Arial" w:hAnsi="Arial"/>
          <w:sz w:val="19"/>
          <w:szCs w:val="19"/>
          <w:u w:val="single" w:color="auto"/>
          <w:color w:val="auto"/>
        </w:rPr>
        <w:t>Guarantor</w:t>
      </w:r>
      <w:r>
        <w:rPr>
          <w:rFonts w:ascii="Arial" w:cs="Arial" w:eastAsia="Arial" w:hAnsi="Arial"/>
          <w:sz w:val="19"/>
          <w:szCs w:val="19"/>
          <w:color w:val="auto"/>
        </w:rPr>
        <w:t>”) hereby (i) acknowledges receipt of a copy of the foregoing Fourteenth Amendment to Third Amended and Restated Credit Agreement (the “</w:t>
      </w:r>
      <w:r>
        <w:rPr>
          <w:rFonts w:ascii="Arial" w:cs="Arial" w:eastAsia="Arial" w:hAnsi="Arial"/>
          <w:sz w:val="19"/>
          <w:szCs w:val="19"/>
          <w:u w:val="single" w:color="auto"/>
          <w:color w:val="auto"/>
        </w:rPr>
        <w:t>Fourteenth Amendment</w:t>
      </w:r>
      <w:r>
        <w:rPr>
          <w:rFonts w:ascii="Arial" w:cs="Arial" w:eastAsia="Arial" w:hAnsi="Arial"/>
          <w:sz w:val="19"/>
          <w:szCs w:val="19"/>
          <w:color w:val="auto"/>
        </w:rPr>
        <w:t>”); (ii) consents to the Borrower’s execution and delivery thereof; (iii) consents to the terms of the Fourteenth Amendment; (iv) affirms that nothing contained therein shall modify in any respect whatsoever its guaranty of the Indebtedness pursuant to the terms of the Guaranty or the Liens granted by it pursuant to the terms of the other Loan Documents to which it is a party securing payment and performance of the Indebtedness, (v) reaffirms that the Guaranty and the other Loan Documents to which it is a party and such Liens are and shall continue to remain in full force and effect and are hereby ratified and confirmed in all respects and (vi) represents and warrants to the Administrative Agent and the Lenders that, as of the date hereof, (x) all of the representations and warranties made by it in each of the Loan Documents to which it is a party are true and correct in all material respects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 and (y) after giving effect to the Fourteenth Amendment, no Default or Event of Default has occurred and is continuing. Although each Guarantor has been informed of the matters set forth herein and has acknowledged and agreed to same, each Guarantor understands that neither the Administrative Agent nor any of the Lenders have any obligation to inform any Guarantor of such matters in the future or to seek any Guarantor’s acknowledgment or agreement to future amendments or waivers for the Guaranty and other Loan Documents to which it is a party to remain in full force and effect, and nothing herein shall create such duty or obligation.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AND REAFFIRMATION</w:t>
      </w:r>
    </w:p>
    <w:p>
      <w:pPr>
        <w:sectPr>
          <w:pgSz w:w="11900" w:h="16838" w:orient="portrait"/>
          <w:cols w:equalWidth="0" w:num="1">
            <w:col w:w="11420"/>
          </w:cols>
          <w:pgMar w:left="240" w:top="598" w:right="239" w:bottom="1440" w:gutter="0" w:footer="0" w:header="0"/>
        </w:sectPr>
      </w:pPr>
    </w:p>
    <w:bookmarkStart w:id="181" w:name="page182"/>
    <w:bookmarkEnd w:id="181"/>
    <w:p>
      <w:pPr>
        <w:ind w:right="20" w:firstLine="648"/>
        <w:spacing w:after="0" w:line="263" w:lineRule="auto"/>
        <w:rPr>
          <w:sz w:val="20"/>
          <w:szCs w:val="20"/>
          <w:color w:val="auto"/>
        </w:rPr>
      </w:pPr>
      <w:r>
        <w:rPr>
          <w:rFonts w:ascii="Arial" w:cs="Arial" w:eastAsia="Arial" w:hAnsi="Arial"/>
          <w:sz w:val="22"/>
          <w:szCs w:val="22"/>
          <w:color w:val="auto"/>
        </w:rPr>
        <w:t>IN WITNESS WHEREOF, the undersigned has executed this Consent and Reaffirmation on and as of the date of the Fourteenth Amendment.</w:t>
      </w:r>
    </w:p>
    <w:p>
      <w:pPr>
        <w:spacing w:after="0" w:line="317" w:lineRule="exact"/>
        <w:rPr>
          <w:sz w:val="20"/>
          <w:szCs w:val="20"/>
          <w:color w:val="auto"/>
        </w:rPr>
      </w:pPr>
    </w:p>
    <w:p>
      <w:pPr>
        <w:ind w:left="400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368"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MATADOR RESOURCES COMPANY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MRC ENERGY SOUTHEAST COMPANY,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MRC ENERGY SOUTH TEXAS COMPANY,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MRC PERMIAN COMPANY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MRC ROCKIES COMPANY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MATADOR PRODUCTION COMPANY</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LONGWOOD GATHERING AND DISPOSAL SYSTEMS GP, INC.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DELAWARE WATER MANAGEMENT COMPANY,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LONGWOOD MIDSTREAM DELAWARE,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LONGWOOD MIDSTREAM HOLDINGS,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LONGWOOD MIDSTREAM SOUTHEAST,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LONGWOOD MIDSTREAM SOUTH TEXAS,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SOUTHEAST WATER MANAGEMENT COMPANY,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MRC DELAWARE RESOURCES,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MRC PERMIAN LKE COMPANY, LLC</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WR PERMIAN,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00" w:type="dxa"/>
        <w:tblCellMar>
          <w:top w:w="0" w:type="dxa"/>
          <w:left w:w="0" w:type="dxa"/>
          <w:bottom w:w="0" w:type="dxa"/>
          <w:right w:w="0" w:type="dxa"/>
        </w:tblCellMar>
      </w:tblPr>
      <w:tr>
        <w:trPr>
          <w:trHeight w:val="28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6480" w:type="dxa"/>
            <w:vAlign w:val="bottom"/>
            <w:tcBorders>
              <w:bottom w:val="single" w:sz="8" w:color="auto"/>
            </w:tcBorders>
          </w:tcPr>
          <w:p>
            <w:pPr>
              <w:spacing w:after="0"/>
              <w:rPr>
                <w:sz w:val="24"/>
                <w:szCs w:val="24"/>
                <w:color w:val="auto"/>
              </w:rPr>
            </w:pPr>
          </w:p>
        </w:tc>
      </w:tr>
      <w:tr>
        <w:trPr>
          <w:trHeight w:val="280"/>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6480" w:type="dxa"/>
            <w:vAlign w:val="bottom"/>
          </w:tcPr>
          <w:p>
            <w:pPr>
              <w:ind w:left="20"/>
              <w:spacing w:after="0"/>
              <w:rPr>
                <w:sz w:val="20"/>
                <w:szCs w:val="20"/>
                <w:color w:val="auto"/>
              </w:rPr>
            </w:pPr>
            <w:r>
              <w:rPr>
                <w:rFonts w:ascii="Arial" w:cs="Arial" w:eastAsia="Arial" w:hAnsi="Arial"/>
                <w:sz w:val="22"/>
                <w:szCs w:val="22"/>
                <w:color w:val="auto"/>
              </w:rPr>
              <w:t>David E. Lancaster</w:t>
            </w:r>
          </w:p>
        </w:tc>
      </w:tr>
      <w:tr>
        <w:trPr>
          <w:trHeight w:val="297"/>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648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LONGWOOD GATHERING AND DISPOSAL</w:t>
      </w:r>
    </w:p>
    <w:p>
      <w:pPr>
        <w:spacing w:after="0" w:line="4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SYSTEMS, LP</w:t>
      </w:r>
    </w:p>
    <w:p>
      <w:pPr>
        <w:spacing w:after="0" w:line="374" w:lineRule="exact"/>
        <w:rPr>
          <w:sz w:val="20"/>
          <w:szCs w:val="20"/>
          <w:color w:val="auto"/>
        </w:rPr>
      </w:pPr>
    </w:p>
    <w:tbl>
      <w:tblPr>
        <w:tblLayout w:type="fixed"/>
        <w:tblInd w:w="3960" w:type="dxa"/>
        <w:tblCellMar>
          <w:top w:w="0" w:type="dxa"/>
          <w:left w:w="0" w:type="dxa"/>
          <w:bottom w:w="0" w:type="dxa"/>
          <w:right w:w="0" w:type="dxa"/>
        </w:tblCellMar>
      </w:tblPr>
      <w:tr>
        <w:trPr>
          <w:trHeight w:val="27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6780" w:type="dxa"/>
            <w:vAlign w:val="bottom"/>
            <w:gridSpan w:val="2"/>
          </w:tcPr>
          <w:p>
            <w:pPr>
              <w:ind w:left="380"/>
              <w:spacing w:after="0"/>
              <w:rPr>
                <w:sz w:val="20"/>
                <w:szCs w:val="20"/>
                <w:color w:val="auto"/>
              </w:rPr>
            </w:pPr>
            <w:r>
              <w:rPr>
                <w:rFonts w:ascii="Arial" w:cs="Arial" w:eastAsia="Arial" w:hAnsi="Arial"/>
                <w:sz w:val="22"/>
                <w:szCs w:val="22"/>
                <w:color w:val="auto"/>
                <w:w w:val="89"/>
              </w:rPr>
              <w:t>Longwood Gathering and Disposal Systems GP, Inc., its General Partner</w:t>
            </w:r>
          </w:p>
        </w:tc>
      </w:tr>
      <w:tr>
        <w:trPr>
          <w:trHeight w:val="632"/>
        </w:trPr>
        <w:tc>
          <w:tcPr>
            <w:tcW w:w="68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2"/>
                <w:szCs w:val="22"/>
                <w:color w:val="auto"/>
              </w:rPr>
              <w:t>By:</w:t>
            </w:r>
          </w:p>
        </w:tc>
        <w:tc>
          <w:tcPr>
            <w:tcW w:w="5520" w:type="dxa"/>
            <w:vAlign w:val="bottom"/>
            <w:tcBorders>
              <w:bottom w:val="single" w:sz="8" w:color="auto"/>
            </w:tcBorders>
          </w:tcPr>
          <w:p>
            <w:pPr>
              <w:spacing w:after="0"/>
              <w:rPr>
                <w:sz w:val="24"/>
                <w:szCs w:val="24"/>
                <w:color w:val="auto"/>
              </w:rPr>
            </w:pPr>
          </w:p>
        </w:tc>
      </w:tr>
      <w:tr>
        <w:trPr>
          <w:trHeight w:val="280"/>
        </w:trPr>
        <w:tc>
          <w:tcPr>
            <w:tcW w:w="68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2"/>
                <w:szCs w:val="22"/>
                <w:color w:val="auto"/>
              </w:rPr>
              <w:t>Name:</w:t>
            </w:r>
          </w:p>
        </w:tc>
        <w:tc>
          <w:tcPr>
            <w:tcW w:w="5520" w:type="dxa"/>
            <w:vAlign w:val="bottom"/>
          </w:tcPr>
          <w:p>
            <w:pPr>
              <w:ind w:left="20"/>
              <w:spacing w:after="0"/>
              <w:rPr>
                <w:sz w:val="20"/>
                <w:szCs w:val="20"/>
                <w:color w:val="auto"/>
              </w:rPr>
            </w:pPr>
            <w:r>
              <w:rPr>
                <w:rFonts w:ascii="Arial" w:cs="Arial" w:eastAsia="Arial" w:hAnsi="Arial"/>
                <w:sz w:val="22"/>
                <w:szCs w:val="22"/>
                <w:color w:val="auto"/>
              </w:rPr>
              <w:t>David E. Lancaster</w:t>
            </w:r>
          </w:p>
        </w:tc>
      </w:tr>
      <w:tr>
        <w:trPr>
          <w:trHeight w:val="297"/>
        </w:trPr>
        <w:tc>
          <w:tcPr>
            <w:tcW w:w="68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Arial" w:cs="Arial" w:eastAsia="Arial" w:hAnsi="Arial"/>
                <w:sz w:val="22"/>
                <w:szCs w:val="22"/>
                <w:color w:val="auto"/>
              </w:rPr>
              <w:t>Title:</w:t>
            </w:r>
          </w:p>
        </w:tc>
        <w:tc>
          <w:tcPr>
            <w:tcW w:w="552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AND REAFFIRMATION SIGNATURE PAGE</w:t>
      </w:r>
    </w:p>
    <w:p>
      <w:pPr>
        <w:sectPr>
          <w:pgSz w:w="11900" w:h="16838" w:orient="portrait"/>
          <w:cols w:equalWidth="0" w:num="1">
            <w:col w:w="11420"/>
          </w:cols>
          <w:pgMar w:left="240" w:top="820" w:right="239" w:bottom="1440" w:gutter="0" w:footer="0" w:header="0"/>
        </w:sectPr>
      </w:pPr>
    </w:p>
    <w:bookmarkStart w:id="182" w:name="page183"/>
    <w:bookmarkEnd w:id="182"/>
    <w:p>
      <w:pPr>
        <w:jc w:val="center"/>
        <w:ind w:right="-679"/>
        <w:spacing w:after="0"/>
        <w:rPr>
          <w:sz w:val="20"/>
          <w:szCs w:val="20"/>
          <w:color w:val="auto"/>
        </w:rPr>
      </w:pPr>
      <w:r>
        <w:rPr>
          <w:rFonts w:ascii="Arial" w:cs="Arial" w:eastAsia="Arial" w:hAnsi="Arial"/>
          <w:sz w:val="22"/>
          <w:szCs w:val="22"/>
          <w:b w:val="1"/>
          <w:bCs w:val="1"/>
          <w:color w:val="auto"/>
        </w:rPr>
        <w:t>Schedule 1.2</w:t>
      </w:r>
    </w:p>
    <w:p>
      <w:pPr>
        <w:spacing w:after="0" w:line="269"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Percentages and Allocations</w:t>
      </w:r>
      <w:r>
        <w:rPr>
          <w:rFonts w:ascii="Arial" w:cs="Arial" w:eastAsia="Arial" w:hAnsi="Arial"/>
          <w:sz w:val="25"/>
          <w:szCs w:val="25"/>
          <w:b w:val="1"/>
          <w:bCs w:val="1"/>
          <w:color w:val="auto"/>
          <w:vertAlign w:val="superscript"/>
        </w:rPr>
        <w:t>1</w:t>
      </w:r>
    </w:p>
    <w:p>
      <w:pPr>
        <w:spacing w:after="0" w:line="203"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Revolving Credit</w:t>
      </w:r>
    </w:p>
    <w:p>
      <w:pPr>
        <w:spacing w:after="0" w:line="200" w:lineRule="exact"/>
        <w:rPr>
          <w:sz w:val="20"/>
          <w:szCs w:val="20"/>
          <w:color w:val="auto"/>
        </w:rPr>
      </w:pPr>
    </w:p>
    <w:p>
      <w:pPr>
        <w:spacing w:after="0" w:line="365" w:lineRule="exact"/>
        <w:rPr>
          <w:sz w:val="20"/>
          <w:szCs w:val="20"/>
          <w:color w:val="auto"/>
        </w:rPr>
      </w:pPr>
    </w:p>
    <w:tbl>
      <w:tblPr>
        <w:tblLayout w:type="fixed"/>
        <w:tblInd w:w="770" w:type="dxa"/>
        <w:tblCellMar>
          <w:top w:w="0" w:type="dxa"/>
          <w:left w:w="0" w:type="dxa"/>
          <w:bottom w:w="0" w:type="dxa"/>
          <w:right w:w="0" w:type="dxa"/>
        </w:tblCellMar>
      </w:tblPr>
      <w:tr>
        <w:trPr>
          <w:trHeight w:val="247"/>
        </w:trPr>
        <w:tc>
          <w:tcPr>
            <w:tcW w:w="4300" w:type="dxa"/>
            <w:vAlign w:val="bottom"/>
            <w:tcBorders>
              <w:top w:val="single" w:sz="8" w:color="595959"/>
              <w:left w:val="single" w:sz="8" w:color="595959"/>
              <w:right w:val="single" w:sz="8" w:color="595959"/>
            </w:tcBorders>
            <w:vMerge w:val="restart"/>
            <w:shd w:val="clear" w:color="auto" w:fill="A6A6A6"/>
          </w:tcPr>
          <w:p>
            <w:pPr>
              <w:ind w:left="1680"/>
              <w:spacing w:after="0"/>
              <w:rPr>
                <w:sz w:val="20"/>
                <w:szCs w:val="20"/>
                <w:color w:val="auto"/>
              </w:rPr>
            </w:pPr>
            <w:r>
              <w:rPr>
                <w:rFonts w:ascii="Arial" w:cs="Arial" w:eastAsia="Arial" w:hAnsi="Arial"/>
                <w:sz w:val="20"/>
                <w:szCs w:val="20"/>
                <w:b w:val="1"/>
                <w:bCs w:val="1"/>
                <w:color w:val="auto"/>
              </w:rPr>
              <w:t>LENDERS</w:t>
            </w:r>
          </w:p>
        </w:tc>
        <w:tc>
          <w:tcPr>
            <w:tcW w:w="2960" w:type="dxa"/>
            <w:vAlign w:val="bottom"/>
            <w:tcBorders>
              <w:top w:val="single" w:sz="8" w:color="595959"/>
              <w:right w:val="single" w:sz="8" w:color="595959"/>
            </w:tcBorders>
            <w:shd w:val="clear" w:color="auto" w:fill="A6A6A6"/>
          </w:tcPr>
          <w:p>
            <w:pPr>
              <w:jc w:val="center"/>
              <w:spacing w:after="0"/>
              <w:rPr>
                <w:sz w:val="20"/>
                <w:szCs w:val="20"/>
                <w:color w:val="auto"/>
              </w:rPr>
            </w:pPr>
            <w:r>
              <w:rPr>
                <w:rFonts w:ascii="Arial" w:cs="Arial" w:eastAsia="Arial" w:hAnsi="Arial"/>
                <w:sz w:val="20"/>
                <w:szCs w:val="20"/>
                <w:b w:val="1"/>
                <w:bCs w:val="1"/>
                <w:color w:val="auto"/>
              </w:rPr>
              <w:t>REVOLVING CREDIT</w:t>
            </w:r>
          </w:p>
        </w:tc>
        <w:tc>
          <w:tcPr>
            <w:tcW w:w="2680" w:type="dxa"/>
            <w:vAlign w:val="bottom"/>
            <w:tcBorders>
              <w:top w:val="single" w:sz="8" w:color="595959"/>
              <w:right w:val="single" w:sz="8" w:color="595959"/>
            </w:tcBorders>
            <w:shd w:val="clear" w:color="auto" w:fill="A6A6A6"/>
          </w:tcPr>
          <w:p>
            <w:pPr>
              <w:jc w:val="center"/>
              <w:spacing w:after="0"/>
              <w:rPr>
                <w:sz w:val="20"/>
                <w:szCs w:val="20"/>
                <w:color w:val="auto"/>
              </w:rPr>
            </w:pPr>
            <w:r>
              <w:rPr>
                <w:rFonts w:ascii="Arial" w:cs="Arial" w:eastAsia="Arial" w:hAnsi="Arial"/>
                <w:sz w:val="20"/>
                <w:szCs w:val="20"/>
                <w:b w:val="1"/>
                <w:bCs w:val="1"/>
                <w:color w:val="auto"/>
              </w:rPr>
              <w:t>REVOLVING CREDIT</w:t>
            </w:r>
          </w:p>
        </w:tc>
        <w:tc>
          <w:tcPr>
            <w:tcW w:w="0" w:type="dxa"/>
            <w:vAlign w:val="bottom"/>
          </w:tcPr>
          <w:p>
            <w:pPr>
              <w:spacing w:after="0"/>
              <w:rPr>
                <w:sz w:val="1"/>
                <w:szCs w:val="1"/>
                <w:color w:val="auto"/>
              </w:rPr>
            </w:pPr>
          </w:p>
        </w:tc>
      </w:tr>
      <w:tr>
        <w:trPr>
          <w:trHeight w:val="135"/>
        </w:trPr>
        <w:tc>
          <w:tcPr>
            <w:tcW w:w="4300" w:type="dxa"/>
            <w:vAlign w:val="bottom"/>
            <w:tcBorders>
              <w:left w:val="single" w:sz="8" w:color="595959"/>
              <w:right w:val="single" w:sz="8" w:color="595959"/>
            </w:tcBorders>
            <w:vMerge w:val="continue"/>
            <w:shd w:val="clear" w:color="auto" w:fill="A6A6A6"/>
          </w:tcPr>
          <w:p>
            <w:pPr>
              <w:spacing w:after="0"/>
              <w:rPr>
                <w:sz w:val="11"/>
                <w:szCs w:val="11"/>
                <w:color w:val="auto"/>
              </w:rPr>
            </w:pPr>
          </w:p>
        </w:tc>
        <w:tc>
          <w:tcPr>
            <w:tcW w:w="2960" w:type="dxa"/>
            <w:vAlign w:val="bottom"/>
            <w:tcBorders>
              <w:right w:val="single" w:sz="8" w:color="595959"/>
            </w:tcBorders>
            <w:vMerge w:val="restart"/>
            <w:shd w:val="clear" w:color="auto" w:fill="A6A6A6"/>
          </w:tcPr>
          <w:p>
            <w:pPr>
              <w:jc w:val="center"/>
              <w:spacing w:after="0"/>
              <w:rPr>
                <w:sz w:val="20"/>
                <w:szCs w:val="20"/>
                <w:color w:val="auto"/>
              </w:rPr>
            </w:pPr>
            <w:r>
              <w:rPr>
                <w:rFonts w:ascii="Arial" w:cs="Arial" w:eastAsia="Arial" w:hAnsi="Arial"/>
                <w:sz w:val="20"/>
                <w:szCs w:val="20"/>
                <w:b w:val="1"/>
                <w:bCs w:val="1"/>
                <w:color w:val="auto"/>
                <w:w w:val="99"/>
              </w:rPr>
              <w:t>ALLOCATIONS</w:t>
            </w:r>
          </w:p>
        </w:tc>
        <w:tc>
          <w:tcPr>
            <w:tcW w:w="2680" w:type="dxa"/>
            <w:vAlign w:val="bottom"/>
            <w:tcBorders>
              <w:right w:val="single" w:sz="8" w:color="595959"/>
            </w:tcBorders>
            <w:vMerge w:val="restart"/>
            <w:shd w:val="clear" w:color="auto" w:fill="A6A6A6"/>
          </w:tcPr>
          <w:p>
            <w:pPr>
              <w:jc w:val="center"/>
              <w:spacing w:after="0"/>
              <w:rPr>
                <w:sz w:val="20"/>
                <w:szCs w:val="20"/>
                <w:color w:val="auto"/>
              </w:rPr>
            </w:pPr>
            <w:r>
              <w:rPr>
                <w:rFonts w:ascii="Arial" w:cs="Arial" w:eastAsia="Arial" w:hAnsi="Arial"/>
                <w:sz w:val="20"/>
                <w:szCs w:val="20"/>
                <w:b w:val="1"/>
                <w:bCs w:val="1"/>
                <w:color w:val="auto"/>
                <w:w w:val="97"/>
              </w:rPr>
              <w:t>PERCENTAGE</w:t>
            </w:r>
          </w:p>
        </w:tc>
        <w:tc>
          <w:tcPr>
            <w:tcW w:w="0" w:type="dxa"/>
            <w:vAlign w:val="bottom"/>
          </w:tcPr>
          <w:p>
            <w:pPr>
              <w:spacing w:after="0"/>
              <w:rPr>
                <w:sz w:val="1"/>
                <w:szCs w:val="1"/>
                <w:color w:val="auto"/>
              </w:rPr>
            </w:pPr>
          </w:p>
        </w:tc>
      </w:tr>
      <w:tr>
        <w:trPr>
          <w:trHeight w:val="145"/>
        </w:trPr>
        <w:tc>
          <w:tcPr>
            <w:tcW w:w="4300" w:type="dxa"/>
            <w:vAlign w:val="bottom"/>
            <w:tcBorders>
              <w:left w:val="single" w:sz="8" w:color="595959"/>
              <w:bottom w:val="single" w:sz="8" w:color="A6A6A6"/>
              <w:right w:val="single" w:sz="8" w:color="595959"/>
            </w:tcBorders>
            <w:shd w:val="clear" w:color="auto" w:fill="A6A6A6"/>
          </w:tcPr>
          <w:p>
            <w:pPr>
              <w:spacing w:after="0"/>
              <w:rPr>
                <w:sz w:val="12"/>
                <w:szCs w:val="12"/>
                <w:color w:val="auto"/>
              </w:rPr>
            </w:pPr>
          </w:p>
        </w:tc>
        <w:tc>
          <w:tcPr>
            <w:tcW w:w="2960" w:type="dxa"/>
            <w:vAlign w:val="bottom"/>
            <w:tcBorders>
              <w:bottom w:val="single" w:sz="8" w:color="A6A6A6"/>
              <w:right w:val="single" w:sz="8" w:color="595959"/>
            </w:tcBorders>
            <w:vMerge w:val="continue"/>
            <w:shd w:val="clear" w:color="auto" w:fill="A6A6A6"/>
          </w:tcPr>
          <w:p>
            <w:pPr>
              <w:spacing w:after="0"/>
              <w:rPr>
                <w:sz w:val="12"/>
                <w:szCs w:val="12"/>
                <w:color w:val="auto"/>
              </w:rPr>
            </w:pPr>
          </w:p>
        </w:tc>
        <w:tc>
          <w:tcPr>
            <w:tcW w:w="2680" w:type="dxa"/>
            <w:vAlign w:val="bottom"/>
            <w:tcBorders>
              <w:bottom w:val="single" w:sz="8" w:color="A6A6A6"/>
              <w:right w:val="single" w:sz="8" w:color="595959"/>
            </w:tcBorders>
            <w:vMerge w:val="continue"/>
            <w:shd w:val="clear" w:color="auto" w:fill="A6A6A6"/>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300" w:type="dxa"/>
            <w:vAlign w:val="bottom"/>
            <w:tcBorders>
              <w:top w:val="single" w:sz="8" w:color="595959"/>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Royal Bank of Canada</w:t>
            </w:r>
          </w:p>
        </w:tc>
        <w:tc>
          <w:tcPr>
            <w:tcW w:w="2960" w:type="dxa"/>
            <w:vAlign w:val="bottom"/>
            <w:tcBorders>
              <w:top w:val="single" w:sz="8" w:color="595959"/>
              <w:right w:val="single" w:sz="8" w:color="595959"/>
            </w:tcBorders>
          </w:tcPr>
          <w:p>
            <w:pPr>
              <w:jc w:val="center"/>
              <w:spacing w:after="0"/>
              <w:rPr>
                <w:sz w:val="20"/>
                <w:szCs w:val="20"/>
                <w:color w:val="auto"/>
              </w:rPr>
            </w:pPr>
            <w:r>
              <w:rPr>
                <w:rFonts w:ascii="Arial" w:cs="Arial" w:eastAsia="Arial" w:hAnsi="Arial"/>
                <w:sz w:val="22"/>
                <w:szCs w:val="22"/>
                <w:color w:val="auto"/>
                <w:w w:val="88"/>
              </w:rPr>
              <w:t>$85,000,000.00</w:t>
            </w:r>
          </w:p>
        </w:tc>
        <w:tc>
          <w:tcPr>
            <w:tcW w:w="2680" w:type="dxa"/>
            <w:vAlign w:val="bottom"/>
            <w:tcBorders>
              <w:top w:val="single" w:sz="8" w:color="595959"/>
              <w:right w:val="single" w:sz="8" w:color="595959"/>
            </w:tcBorders>
          </w:tcPr>
          <w:p>
            <w:pPr>
              <w:jc w:val="center"/>
              <w:spacing w:after="0"/>
              <w:rPr>
                <w:sz w:val="20"/>
                <w:szCs w:val="20"/>
                <w:color w:val="auto"/>
              </w:rPr>
            </w:pPr>
            <w:r>
              <w:rPr>
                <w:rFonts w:ascii="Arial" w:cs="Arial" w:eastAsia="Arial" w:hAnsi="Arial"/>
                <w:sz w:val="22"/>
                <w:szCs w:val="22"/>
                <w:color w:val="auto"/>
                <w:w w:val="89"/>
              </w:rPr>
              <w:t>12.142857142%</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The Bank of Nova Scotia, Houston Branch</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$80,000,000.00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7"/>
              </w:rPr>
              <w:t>11.428571429%</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Bank of America, N.A.</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$80,000,000.00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7"/>
              </w:rPr>
              <w:t>11.428571429%</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BMO Harris Financing, Inc.</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$80,000,000.00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7"/>
              </w:rPr>
              <w:t>11.428571429%</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Truist Bank</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$80,000,000.00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7"/>
              </w:rPr>
              <w:t>11.428571429%</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4300" w:type="dxa"/>
            <w:vAlign w:val="bottom"/>
            <w:tcBorders>
              <w:left w:val="single" w:sz="8" w:color="595959"/>
              <w:right w:val="single" w:sz="8" w:color="595959"/>
            </w:tcBorders>
          </w:tcPr>
          <w:p>
            <w:pPr>
              <w:ind w:left="40"/>
              <w:spacing w:after="0" w:line="242" w:lineRule="exact"/>
              <w:rPr>
                <w:sz w:val="20"/>
                <w:szCs w:val="20"/>
                <w:color w:val="auto"/>
              </w:rPr>
            </w:pPr>
            <w:r>
              <w:rPr>
                <w:rFonts w:ascii="Arial" w:cs="Arial" w:eastAsia="Arial" w:hAnsi="Arial"/>
                <w:sz w:val="22"/>
                <w:szCs w:val="22"/>
                <w:color w:val="auto"/>
                <w:w w:val="98"/>
              </w:rPr>
              <w:t>Canadian Imperial Bank of Commerce, New</w:t>
            </w:r>
          </w:p>
        </w:tc>
        <w:tc>
          <w:tcPr>
            <w:tcW w:w="2960" w:type="dxa"/>
            <w:vAlign w:val="bottom"/>
            <w:tcBorders>
              <w:right w:val="single" w:sz="8" w:color="595959"/>
            </w:tcBorders>
            <w:vMerge w:val="restart"/>
          </w:tcPr>
          <w:p>
            <w:pPr>
              <w:jc w:val="center"/>
              <w:spacing w:after="0"/>
              <w:rPr>
                <w:sz w:val="20"/>
                <w:szCs w:val="20"/>
                <w:color w:val="auto"/>
              </w:rPr>
            </w:pPr>
            <w:r>
              <w:rPr>
                <w:rFonts w:ascii="Arial" w:cs="Arial" w:eastAsia="Arial" w:hAnsi="Arial"/>
                <w:sz w:val="22"/>
                <w:szCs w:val="22"/>
                <w:color w:val="auto"/>
                <w:w w:val="88"/>
              </w:rPr>
              <w:t>$80,000,000.00</w:t>
            </w:r>
          </w:p>
        </w:tc>
        <w:tc>
          <w:tcPr>
            <w:tcW w:w="2680" w:type="dxa"/>
            <w:vAlign w:val="bottom"/>
            <w:tcBorders>
              <w:right w:val="single" w:sz="8" w:color="595959"/>
            </w:tcBorders>
          </w:tcPr>
          <w:p>
            <w:pPr>
              <w:jc w:val="center"/>
              <w:spacing w:after="0" w:line="242" w:lineRule="exact"/>
              <w:rPr>
                <w:sz w:val="20"/>
                <w:szCs w:val="20"/>
                <w:color w:val="auto"/>
              </w:rPr>
            </w:pPr>
            <w:r>
              <w:rPr>
                <w:rFonts w:ascii="Arial" w:cs="Arial" w:eastAsia="Arial" w:hAnsi="Arial"/>
                <w:sz w:val="22"/>
                <w:szCs w:val="22"/>
                <w:color w:val="auto"/>
                <w:w w:val="87"/>
              </w:rPr>
              <w:t>11.428571429%</w:t>
            </w:r>
          </w:p>
        </w:tc>
        <w:tc>
          <w:tcPr>
            <w:tcW w:w="0" w:type="dxa"/>
            <w:vAlign w:val="bottom"/>
          </w:tcPr>
          <w:p>
            <w:pPr>
              <w:spacing w:after="0"/>
              <w:rPr>
                <w:sz w:val="1"/>
                <w:szCs w:val="1"/>
                <w:color w:val="auto"/>
              </w:rPr>
            </w:pPr>
          </w:p>
        </w:tc>
      </w:tr>
      <w:tr>
        <w:trPr>
          <w:trHeight w:val="153"/>
        </w:trPr>
        <w:tc>
          <w:tcPr>
            <w:tcW w:w="4300" w:type="dxa"/>
            <w:vAlign w:val="bottom"/>
            <w:tcBorders>
              <w:left w:val="single" w:sz="8" w:color="595959"/>
              <w:right w:val="single" w:sz="8" w:color="595959"/>
            </w:tcBorders>
            <w:vMerge w:val="restart"/>
          </w:tcPr>
          <w:p>
            <w:pPr>
              <w:ind w:left="40"/>
              <w:spacing w:after="0"/>
              <w:rPr>
                <w:sz w:val="20"/>
                <w:szCs w:val="20"/>
                <w:color w:val="auto"/>
              </w:rPr>
            </w:pPr>
            <w:r>
              <w:rPr>
                <w:rFonts w:ascii="Arial" w:cs="Arial" w:eastAsia="Arial" w:hAnsi="Arial"/>
                <w:sz w:val="22"/>
                <w:szCs w:val="22"/>
                <w:color w:val="auto"/>
              </w:rPr>
              <w:t>York Branch</w:t>
            </w:r>
          </w:p>
        </w:tc>
        <w:tc>
          <w:tcPr>
            <w:tcW w:w="2960" w:type="dxa"/>
            <w:vAlign w:val="bottom"/>
            <w:tcBorders>
              <w:right w:val="single" w:sz="8" w:color="595959"/>
            </w:tcBorders>
            <w:vMerge w:val="continue"/>
          </w:tcPr>
          <w:p>
            <w:pPr>
              <w:spacing w:after="0"/>
              <w:rPr>
                <w:sz w:val="13"/>
                <w:szCs w:val="13"/>
                <w:color w:val="auto"/>
              </w:rPr>
            </w:pPr>
          </w:p>
        </w:tc>
        <w:tc>
          <w:tcPr>
            <w:tcW w:w="2680" w:type="dxa"/>
            <w:vAlign w:val="bottom"/>
            <w:tcBorders>
              <w:right w:val="single" w:sz="8" w:color="595959"/>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00" w:type="dxa"/>
            <w:vAlign w:val="bottom"/>
            <w:tcBorders>
              <w:left w:val="single" w:sz="8" w:color="595959"/>
              <w:right w:val="single" w:sz="8" w:color="595959"/>
            </w:tcBorders>
            <w:vMerge w:val="continue"/>
          </w:tcPr>
          <w:p>
            <w:pPr>
              <w:spacing w:after="0"/>
              <w:rPr>
                <w:sz w:val="10"/>
                <w:szCs w:val="10"/>
                <w:color w:val="auto"/>
              </w:rPr>
            </w:pPr>
          </w:p>
        </w:tc>
        <w:tc>
          <w:tcPr>
            <w:tcW w:w="2960" w:type="dxa"/>
            <w:vAlign w:val="bottom"/>
            <w:tcBorders>
              <w:right w:val="single" w:sz="8" w:color="595959"/>
            </w:tcBorders>
          </w:tcPr>
          <w:p>
            <w:pPr>
              <w:spacing w:after="0"/>
              <w:rPr>
                <w:sz w:val="10"/>
                <w:szCs w:val="10"/>
                <w:color w:val="auto"/>
              </w:rPr>
            </w:pPr>
          </w:p>
        </w:tc>
        <w:tc>
          <w:tcPr>
            <w:tcW w:w="2680" w:type="dxa"/>
            <w:vAlign w:val="bottom"/>
            <w:tcBorders>
              <w:right w:val="single" w:sz="8" w:color="595959"/>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PNC Bank, National Association</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$70,000,000.00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9"/>
              </w:rPr>
              <w:t>10.000000000%</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Comerica Bank</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$60,000,000.00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9"/>
              </w:rPr>
              <w:t>8.571428571%</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IBERIABANK</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$35,000,000.00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9"/>
              </w:rPr>
              <w:t>5.000000000%</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The Huntington National Bank</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$25,000,000.00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9"/>
              </w:rPr>
              <w:t>3.571428571%</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color w:val="auto"/>
              </w:rPr>
              <w:t>Cathay Bank</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8"/>
              </w:rPr>
              <w:t>$25,000,000.00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color w:val="auto"/>
                <w:w w:val="89"/>
              </w:rPr>
              <w:t>3.571428571%</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00" w:type="dxa"/>
            <w:vAlign w:val="bottom"/>
            <w:tcBorders>
              <w:left w:val="single" w:sz="8" w:color="595959"/>
              <w:bottom w:val="single" w:sz="8" w:color="595959"/>
              <w:right w:val="single" w:sz="8" w:color="595959"/>
            </w:tcBorders>
          </w:tcPr>
          <w:p>
            <w:pPr>
              <w:spacing w:after="0"/>
              <w:rPr>
                <w:sz w:val="24"/>
                <w:szCs w:val="24"/>
                <w:color w:val="auto"/>
              </w:rPr>
            </w:pPr>
          </w:p>
        </w:tc>
        <w:tc>
          <w:tcPr>
            <w:tcW w:w="2960" w:type="dxa"/>
            <w:vAlign w:val="bottom"/>
            <w:tcBorders>
              <w:bottom w:val="single" w:sz="8" w:color="595959"/>
              <w:right w:val="single" w:sz="8" w:color="595959"/>
            </w:tcBorders>
          </w:tcPr>
          <w:p>
            <w:pPr>
              <w:spacing w:after="0"/>
              <w:rPr>
                <w:sz w:val="24"/>
                <w:szCs w:val="24"/>
                <w:color w:val="auto"/>
              </w:rPr>
            </w:pPr>
          </w:p>
        </w:tc>
        <w:tc>
          <w:tcPr>
            <w:tcW w:w="2680" w:type="dxa"/>
            <w:vAlign w:val="bottom"/>
            <w:tcBorders>
              <w:bottom w:val="single" w:sz="8" w:color="595959"/>
              <w:right w:val="single" w:sz="8" w:color="595959"/>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300" w:type="dxa"/>
            <w:vAlign w:val="bottom"/>
            <w:tcBorders>
              <w:left w:val="single" w:sz="8" w:color="595959"/>
              <w:right w:val="single" w:sz="8" w:color="595959"/>
            </w:tcBorders>
          </w:tcPr>
          <w:p>
            <w:pPr>
              <w:ind w:left="40"/>
              <w:spacing w:after="0"/>
              <w:rPr>
                <w:sz w:val="20"/>
                <w:szCs w:val="20"/>
                <w:color w:val="auto"/>
              </w:rPr>
            </w:pPr>
            <w:r>
              <w:rPr>
                <w:rFonts w:ascii="Arial" w:cs="Arial" w:eastAsia="Arial" w:hAnsi="Arial"/>
                <w:sz w:val="22"/>
                <w:szCs w:val="22"/>
                <w:b w:val="1"/>
                <w:bCs w:val="1"/>
                <w:color w:val="auto"/>
              </w:rPr>
              <w:t>TOTALS</w:t>
            </w:r>
          </w:p>
        </w:tc>
        <w:tc>
          <w:tcPr>
            <w:tcW w:w="2960" w:type="dxa"/>
            <w:vAlign w:val="bottom"/>
            <w:tcBorders>
              <w:right w:val="single" w:sz="8" w:color="595959"/>
            </w:tcBorders>
          </w:tcPr>
          <w:p>
            <w:pPr>
              <w:jc w:val="center"/>
              <w:spacing w:after="0"/>
              <w:rPr>
                <w:sz w:val="20"/>
                <w:szCs w:val="20"/>
                <w:color w:val="auto"/>
              </w:rPr>
            </w:pPr>
            <w:r>
              <w:rPr>
                <w:rFonts w:ascii="Arial" w:cs="Arial" w:eastAsia="Arial" w:hAnsi="Arial"/>
                <w:sz w:val="22"/>
                <w:szCs w:val="22"/>
                <w:b w:val="1"/>
                <w:bCs w:val="1"/>
                <w:color w:val="auto"/>
                <w:w w:val="88"/>
              </w:rPr>
              <w:t>$700,000,000.00</w:t>
            </w:r>
          </w:p>
        </w:tc>
        <w:tc>
          <w:tcPr>
            <w:tcW w:w="2680" w:type="dxa"/>
            <w:vAlign w:val="bottom"/>
            <w:tcBorders>
              <w:right w:val="single" w:sz="8" w:color="595959"/>
            </w:tcBorders>
          </w:tcPr>
          <w:p>
            <w:pPr>
              <w:jc w:val="center"/>
              <w:spacing w:after="0"/>
              <w:rPr>
                <w:sz w:val="20"/>
                <w:szCs w:val="20"/>
                <w:color w:val="auto"/>
              </w:rPr>
            </w:pPr>
            <w:r>
              <w:rPr>
                <w:rFonts w:ascii="Arial" w:cs="Arial" w:eastAsia="Arial" w:hAnsi="Arial"/>
                <w:sz w:val="22"/>
                <w:szCs w:val="22"/>
                <w:b w:val="1"/>
                <w:bCs w:val="1"/>
                <w:color w:val="auto"/>
                <w:w w:val="90"/>
              </w:rPr>
              <w:t>100.000000000%</w:t>
            </w:r>
          </w:p>
        </w:tc>
        <w:tc>
          <w:tcPr>
            <w:tcW w:w="0" w:type="dxa"/>
            <w:vAlign w:val="bottom"/>
          </w:tcPr>
          <w:p>
            <w:pPr>
              <w:spacing w:after="0"/>
              <w:rPr>
                <w:sz w:val="1"/>
                <w:szCs w:val="1"/>
                <w:color w:val="auto"/>
              </w:rPr>
            </w:pPr>
          </w:p>
        </w:tc>
      </w:tr>
      <w:tr>
        <w:trPr>
          <w:trHeight w:val="98"/>
        </w:trPr>
        <w:tc>
          <w:tcPr>
            <w:tcW w:w="4300" w:type="dxa"/>
            <w:vAlign w:val="bottom"/>
            <w:tcBorders>
              <w:left w:val="single" w:sz="8" w:color="595959"/>
              <w:bottom w:val="single" w:sz="8" w:color="595959"/>
              <w:right w:val="single" w:sz="8" w:color="595959"/>
            </w:tcBorders>
          </w:tcPr>
          <w:p>
            <w:pPr>
              <w:spacing w:after="0"/>
              <w:rPr>
                <w:sz w:val="8"/>
                <w:szCs w:val="8"/>
                <w:color w:val="auto"/>
              </w:rPr>
            </w:pPr>
          </w:p>
        </w:tc>
        <w:tc>
          <w:tcPr>
            <w:tcW w:w="2960" w:type="dxa"/>
            <w:vAlign w:val="bottom"/>
            <w:tcBorders>
              <w:bottom w:val="single" w:sz="8" w:color="595959"/>
              <w:right w:val="single" w:sz="8" w:color="595959"/>
            </w:tcBorders>
          </w:tcPr>
          <w:p>
            <w:pPr>
              <w:spacing w:after="0"/>
              <w:rPr>
                <w:sz w:val="8"/>
                <w:szCs w:val="8"/>
                <w:color w:val="auto"/>
              </w:rPr>
            </w:pPr>
          </w:p>
        </w:tc>
        <w:tc>
          <w:tcPr>
            <w:tcW w:w="2680" w:type="dxa"/>
            <w:vAlign w:val="bottom"/>
            <w:tcBorders>
              <w:bottom w:val="single" w:sz="8" w:color="595959"/>
              <w:right w:val="single" w:sz="8" w:color="595959"/>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74" w:lineRule="exact"/>
        <w:rPr>
          <w:sz w:val="20"/>
          <w:szCs w:val="20"/>
          <w:color w:val="auto"/>
        </w:rPr>
      </w:pPr>
    </w:p>
    <w:p>
      <w:pPr>
        <w:ind w:left="120" w:hanging="112"/>
        <w:spacing w:after="0"/>
        <w:tabs>
          <w:tab w:leader="none" w:pos="12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color w:val="auto"/>
        </w:rPr>
        <w:t>As of the Fourteenth Amendment Effective Date</w:t>
      </w:r>
    </w:p>
    <w:p>
      <w:pPr>
        <w:sectPr>
          <w:pgSz w:w="11900" w:h="16838" w:orient="portrait"/>
          <w:cols w:equalWidth="0" w:num="1">
            <w:col w:w="10700"/>
          </w:cols>
          <w:pgMar w:left="240" w:top="599" w:right="9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SCHEDULE 1.2</w:t>
      </w:r>
    </w:p>
    <w:p>
      <w:pPr>
        <w:sectPr>
          <w:pgSz w:w="11900" w:h="16838" w:orient="portrait"/>
          <w:cols w:equalWidth="0" w:num="1">
            <w:col w:w="10700"/>
          </w:cols>
          <w:pgMar w:left="240" w:top="599" w:right="959" w:bottom="1440" w:gutter="0" w:footer="0" w:header="0"/>
          <w:type w:val="continuous"/>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MATADOR RESOURCES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55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Jurisdiction</w:t>
            </w:r>
          </w:p>
        </w:tc>
      </w:tr>
      <w:tr>
        <w:trPr>
          <w:trHeight w:val="33"/>
        </w:trPr>
        <w:tc>
          <w:tcPr>
            <w:tcW w:w="5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358"/>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Black River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Delaware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DLK Black River Midstream,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DLK Black River Midstream II,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Fulcrum Delaware Water Resources,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Gathering and Disposal Systems GP, Inc.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Gathering and Disposal Systems, LP</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Delaware,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Holdings,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Southeast,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Midstream South Texas,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RB Pipeline,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RB Pipeline II,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Longwood Wolf Pipeline,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Matador Production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Delaware Resources,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Energy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Energy Southeast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Energy South Texas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Permian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Permian LKE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MRC Rockies Company</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Black River Oil Pipeline,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Black River Oil Pipeline II,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Midstream,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Midstream II,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San Mateo Stebbins Water Management,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Southeast Water Management Company, LLC</w:t>
            </w:r>
          </w:p>
        </w:tc>
        <w:tc>
          <w:tcPr>
            <w:tcW w:w="490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392"/>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WR Permian, LLC</w:t>
            </w:r>
          </w:p>
        </w:tc>
        <w:tc>
          <w:tcPr>
            <w:tcW w:w="490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Inclusion of an entity on the list of subsidiaries is not a representation that such subsidiary is a significant subsidiary.</w:t>
      </w:r>
    </w:p>
    <w:p>
      <w:pPr>
        <w:sectPr>
          <w:pgSz w:w="11900" w:h="16838" w:orient="portrait"/>
          <w:cols w:equalWidth="0" w:num="1">
            <w:col w:w="11420"/>
          </w:cols>
          <w:pgMar w:left="240" w:top="634" w:right="239" w:bottom="842"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3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(File No. 333-219932) on Form S-3 and (Files No. 333-180641, 333-204868 and 333-231989) on Form S-8 of Matador Resources Company of our reports dated March 2, 2020, with respect to the consolidated balance sheets of Matador Resources Company and subsidiaries as of December 31, 2019 and 2018, and the related consolidated statements of operations, changes in shareholders’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10-K of Matador Resources Company.</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Our report on the consolidated financial statements refers to a change in the method of accounting for leases as of January 1, 2019 due to the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related amendments.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337" w:right="239" w:bottom="1440" w:gutter="0" w:footer="0" w:header="0"/>
        </w:sectPr>
      </w:pPr>
    </w:p>
    <w:bookmarkStart w:id="185" w:name="page186"/>
    <w:bookmarkEnd w:id="185"/>
    <w:p>
      <w:pPr>
        <w:ind w:left="10440"/>
        <w:spacing w:after="0"/>
        <w:rPr>
          <w:sz w:val="20"/>
          <w:szCs w:val="20"/>
          <w:color w:val="auto"/>
        </w:rPr>
      </w:pPr>
      <w:r>
        <w:rPr>
          <w:rFonts w:ascii="Arial" w:cs="Arial" w:eastAsia="Arial" w:hAnsi="Arial"/>
          <w:sz w:val="17"/>
          <w:szCs w:val="17"/>
          <w:b w:val="1"/>
          <w:bCs w:val="1"/>
          <w:color w:val="auto"/>
        </w:rPr>
        <w:t>Exhibit 23.2</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hereby consent to the use of the name Netherland, Sewell &amp; Associates, Inc.; the references to our audit of Matador Resources Company’s proved oil and natural gas reserves estimates and future net revenue at December 31, 2019; and the inclusion of our corresponding audit letter, dated January 27, 2020, in this Annual Report on Form 10-K of Matador Resources Company for the fiscal year ended December 31, 2019, as well as in the notes to the financial statements included therein. In addition, we hereby consent to the incorporation by reference of our audit letter, dated January 27, 2020, in Matador Resources Company’s Forms S-8 (File No. 333-180641, File No. 333-204868 and File No. 333-231989) and Form S-3 (File No. 333-219932).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91" w:lineRule="exact"/>
        <w:rPr>
          <w:sz w:val="20"/>
          <w:szCs w:val="20"/>
          <w:color w:val="auto"/>
        </w:rPr>
      </w:pPr>
    </w:p>
    <w:p>
      <w:pPr>
        <w:ind w:left="506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 (Scott) Rees III</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 (Scott) Rees III, P.E.</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283"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240" w:firstLine="874"/>
        <w:spacing w:after="0" w:line="264" w:lineRule="auto"/>
        <w:tabs>
          <w:tab w:leader="none" w:pos="206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120" w:firstLine="874"/>
        <w:spacing w:after="0" w:line="264" w:lineRule="auto"/>
        <w:tabs>
          <w:tab w:leader="none" w:pos="207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660" w:right="320" w:firstLine="874"/>
        <w:spacing w:after="0" w:line="334" w:lineRule="auto"/>
        <w:tabs>
          <w:tab w:leader="none" w:pos="206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firstLine="874"/>
        <w:spacing w:after="0" w:line="264" w:lineRule="auto"/>
        <w:tabs>
          <w:tab w:leader="none" w:pos="207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140" w:firstLine="874"/>
        <w:spacing w:after="0" w:line="308" w:lineRule="auto"/>
        <w:tabs>
          <w:tab w:leader="none" w:pos="2068"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660" w:right="140" w:firstLine="874"/>
        <w:spacing w:after="0" w:line="277" w:lineRule="auto"/>
        <w:tabs>
          <w:tab w:leader="none" w:pos="207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March 2, 2020</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240" w:firstLine="874"/>
        <w:spacing w:after="0" w:line="264" w:lineRule="auto"/>
        <w:tabs>
          <w:tab w:leader="none" w:pos="206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120" w:firstLine="874"/>
        <w:spacing w:after="0" w:line="264" w:lineRule="auto"/>
        <w:tabs>
          <w:tab w:leader="none" w:pos="20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660" w:right="320" w:firstLine="874"/>
        <w:spacing w:after="0" w:line="334" w:lineRule="auto"/>
        <w:tabs>
          <w:tab w:leader="none" w:pos="2068"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660" w:firstLine="874"/>
        <w:spacing w:after="0" w:line="264" w:lineRule="auto"/>
        <w:tabs>
          <w:tab w:leader="none" w:pos="20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140" w:firstLine="874"/>
        <w:spacing w:after="0" w:line="308" w:lineRule="auto"/>
        <w:tabs>
          <w:tab w:leader="none" w:pos="2068"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660" w:right="140" w:firstLine="874"/>
        <w:spacing w:after="0" w:line="277" w:lineRule="auto"/>
        <w:tabs>
          <w:tab w:leader="none" w:pos="20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tabs>
          <w:tab w:leader="none" w:pos="5500" w:val="left"/>
        </w:tabs>
        <w:rPr>
          <w:sz w:val="20"/>
          <w:szCs w:val="20"/>
          <w:color w:val="auto"/>
        </w:rPr>
      </w:pP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In connection with the annual report of Matador Resources Company (the “Company”) on Form 10-K for the year ended December 31, 2019 as filed with the Securities and Exchange Commission on the date hereof (the “Form 10-K”), I, Joseph Wm. Foran, Chairman and Chief Executive Officer of the Company, hereby certify, pursuant to 18 U.S.C. § 1350, as adopted pursuant to § 906 of the Sarbanes-Oxley Act of 2002, that to the best of my knowledge:</w:t>
      </w:r>
    </w:p>
    <w:p>
      <w:pPr>
        <w:spacing w:after="0" w:line="93"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March 2, 2020</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of Matador Resources Company (the “Company”) on Form 10-K for the year ended December 31, 2019 as filed with the Securities and Exchange Commission on the date hereof (the “Form 10-K”), I, David E. Lancaster, Executive Vice President and Chief Financial Officer of the Company, hereby certify,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the Form 10-K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190" w:name="page191"/>
    <w:bookmarkEnd w:id="190"/>
    <w:p>
      <w:pPr>
        <w:spacing w:after="0" w:line="86" w:lineRule="exact"/>
        <w:rPr>
          <w:sz w:val="20"/>
          <w:szCs w:val="20"/>
          <w:color w:val="auto"/>
        </w:rPr>
      </w:pPr>
    </w:p>
    <w:p>
      <w:pPr>
        <w:ind w:left="10480"/>
        <w:spacing w:after="0"/>
        <w:rPr>
          <w:sz w:val="20"/>
          <w:szCs w:val="20"/>
          <w:color w:val="auto"/>
        </w:rPr>
      </w:pPr>
      <w:r>
        <w:rPr>
          <w:rFonts w:ascii="Arial" w:cs="Arial" w:eastAsia="Arial" w:hAnsi="Arial"/>
          <w:sz w:val="16"/>
          <w:szCs w:val="16"/>
          <w:b w:val="1"/>
          <w:bCs w:val="1"/>
          <w:color w:val="auto"/>
        </w:rPr>
        <w:t>Exhibit 99.1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[Netherland, Sewell &amp; Associates, Inc.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Brad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MRC Energy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Robinson:</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your request, we have audited the estimates prepared by MRC Energy Company (MRC), as of December 31, 2019, of the proved reserves and future revenue to the MRC interest in certain oil and gas properties located in Louisiana, New Mexico, and Texas. It is our understanding that the proved reserves estimates shown herein constitute all of the proved reserves owned by MRC.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conform to the FASB Accounting Standards Codification Topic 932, Extractive Activities-Oil and Gas, except that per-well overhead expenses are excluded for the operated properties and future income taxes are excluded for all properties. We completed our audit on or about the date of this letter. This report has been prepared for MRC's use in filing with the SEC; in our opinion the assumptions, data, methods, and procedures used in the preparation of this report are appropriate for such purpose.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MRC's estimates of the net reserves and future net revenue, as of December 31, 2019, for the audited properties:</w:t>
      </w:r>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3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color w:val="auto"/>
                <w:w w:val="99"/>
              </w:rPr>
              <w:t>Net Reserves</w:t>
            </w:r>
          </w:p>
        </w:tc>
        <w:tc>
          <w:tcPr>
            <w:tcW w:w="10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5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Future Net Revenue (M$)</w:t>
            </w:r>
          </w:p>
        </w:tc>
      </w:tr>
      <w:tr>
        <w:trPr>
          <w:trHeight w:val="257"/>
        </w:trPr>
        <w:tc>
          <w:tcPr>
            <w:tcW w:w="3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gridSpan w:val="3"/>
          </w:tcPr>
          <w:p>
            <w:pPr>
              <w:ind w:left="600"/>
              <w:spacing w:after="0"/>
              <w:rPr>
                <w:sz w:val="20"/>
                <w:szCs w:val="20"/>
                <w:color w:val="auto"/>
              </w:rPr>
            </w:pPr>
            <w:r>
              <w:rPr>
                <w:rFonts w:ascii="Arial" w:cs="Arial" w:eastAsia="Arial" w:hAnsi="Arial"/>
                <w:sz w:val="18"/>
                <w:szCs w:val="18"/>
                <w:color w:val="auto"/>
              </w:rPr>
              <w:t>Oil</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Gas</w:t>
            </w: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Present Worth</w:t>
            </w:r>
          </w:p>
        </w:tc>
      </w:tr>
      <w:tr>
        <w:trPr>
          <w:trHeight w:val="277"/>
        </w:trPr>
        <w:tc>
          <w:tcPr>
            <w:tcW w:w="3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Category</w:t>
            </w:r>
          </w:p>
        </w:tc>
        <w:tc>
          <w:tcPr>
            <w:tcW w:w="340" w:type="dxa"/>
            <w:vAlign w:val="bottom"/>
          </w:tcPr>
          <w:p>
            <w:pPr>
              <w:spacing w:after="0"/>
              <w:rPr>
                <w:sz w:val="24"/>
                <w:szCs w:val="24"/>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(MBBL)</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6"/>
              </w:rPr>
              <w:t>(MMCF)</w:t>
            </w:r>
          </w:p>
        </w:tc>
        <w:tc>
          <w:tcPr>
            <w:tcW w:w="340" w:type="dxa"/>
            <w:vAlign w:val="bottom"/>
          </w:tcPr>
          <w:p>
            <w:pPr>
              <w:spacing w:after="0"/>
              <w:rPr>
                <w:sz w:val="24"/>
                <w:szCs w:val="24"/>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4"/>
                <w:szCs w:val="24"/>
                <w:color w:val="auto"/>
              </w:rPr>
            </w:pP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at 10%</w:t>
            </w:r>
          </w:p>
        </w:tc>
      </w:tr>
      <w:tr>
        <w:trPr>
          <w:trHeight w:val="554"/>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440" w:type="dxa"/>
            <w:vAlign w:val="bottom"/>
          </w:tcPr>
          <w:p>
            <w:pPr>
              <w:jc w:val="right"/>
              <w:spacing w:after="0"/>
              <w:rPr>
                <w:sz w:val="20"/>
                <w:szCs w:val="20"/>
                <w:color w:val="auto"/>
              </w:rPr>
            </w:pPr>
            <w:r>
              <w:rPr>
                <w:rFonts w:ascii="Arial" w:cs="Arial" w:eastAsia="Arial" w:hAnsi="Arial"/>
                <w:sz w:val="18"/>
                <w:szCs w:val="18"/>
                <w:color w:val="auto"/>
              </w:rPr>
              <w:t>59,612.3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275,944.6</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2,067,169.2</w:t>
            </w:r>
          </w:p>
        </w:tc>
        <w:tc>
          <w:tcPr>
            <w:tcW w:w="3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1,416,835.8</w:t>
            </w:r>
          </w:p>
        </w:tc>
      </w:tr>
      <w:tr>
        <w:trPr>
          <w:trHeight w:val="257"/>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440" w:type="dxa"/>
            <w:vAlign w:val="bottom"/>
          </w:tcPr>
          <w:p>
            <w:pPr>
              <w:jc w:val="right"/>
              <w:spacing w:after="0"/>
              <w:rPr>
                <w:sz w:val="20"/>
                <w:szCs w:val="20"/>
                <w:color w:val="auto"/>
              </w:rPr>
            </w:pPr>
            <w:r>
              <w:rPr>
                <w:rFonts w:ascii="Arial" w:cs="Arial" w:eastAsia="Arial" w:hAnsi="Arial"/>
                <w:sz w:val="18"/>
                <w:szCs w:val="18"/>
                <w:color w:val="auto"/>
              </w:rPr>
              <w:t>55.2</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c>
          <w:tcPr>
            <w:tcW w:w="3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1,092.1</w:t>
            </w:r>
          </w:p>
        </w:tc>
        <w:tc>
          <w:tcPr>
            <w:tcW w:w="3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834.9</w:t>
            </w:r>
          </w:p>
        </w:tc>
      </w:tr>
      <w:tr>
        <w:trPr>
          <w:trHeight w:val="291"/>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88,323.9</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350,980.3</w:t>
            </w:r>
          </w:p>
        </w:tc>
        <w:tc>
          <w:tcPr>
            <w:tcW w:w="34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1,977,448.4</w:t>
            </w:r>
          </w:p>
        </w:tc>
        <w:tc>
          <w:tcPr>
            <w:tcW w:w="3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830,497.3</w:t>
            </w:r>
          </w:p>
        </w:tc>
      </w:tr>
      <w:tr>
        <w:trPr>
          <w:trHeight w:val="554"/>
        </w:trPr>
        <w:tc>
          <w:tcPr>
            <w:tcW w:w="3980" w:type="dxa"/>
            <w:vAlign w:val="bottom"/>
            <w:gridSpan w:val="2"/>
          </w:tcPr>
          <w:p>
            <w:pPr>
              <w:ind w:left="160"/>
              <w:spacing w:after="0"/>
              <w:rPr>
                <w:sz w:val="20"/>
                <w:szCs w:val="20"/>
                <w:color w:val="auto"/>
              </w:rPr>
            </w:pPr>
            <w:r>
              <w:rPr>
                <w:rFonts w:ascii="Arial" w:cs="Arial" w:eastAsia="Arial" w:hAnsi="Arial"/>
                <w:sz w:val="18"/>
                <w:szCs w:val="18"/>
                <w:color w:val="auto"/>
              </w:rPr>
              <w:t>Total Proved</w:t>
            </w:r>
          </w:p>
        </w:tc>
        <w:tc>
          <w:tcPr>
            <w:tcW w:w="1440" w:type="dxa"/>
            <w:vAlign w:val="bottom"/>
          </w:tcPr>
          <w:p>
            <w:pPr>
              <w:jc w:val="right"/>
              <w:spacing w:after="0"/>
              <w:rPr>
                <w:sz w:val="20"/>
                <w:szCs w:val="20"/>
                <w:color w:val="auto"/>
              </w:rPr>
            </w:pPr>
            <w:r>
              <w:rPr>
                <w:rFonts w:ascii="Arial" w:cs="Arial" w:eastAsia="Arial" w:hAnsi="Arial"/>
                <w:sz w:val="18"/>
                <w:szCs w:val="18"/>
                <w:color w:val="auto"/>
              </w:rPr>
              <w:t>147,991.3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627,237.8</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4,045,709.8</w:t>
            </w:r>
          </w:p>
        </w:tc>
        <w:tc>
          <w:tcPr>
            <w:tcW w:w="3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2,248,167.7</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compared on a well-by-well basis, some of the estimates of MRC are greater and some are less than the estimates of Netherland, Sewell &amp; Associates, Inc. (NSAI). However, in our opinion the estimates shown herein of MRC's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MRC in preparing the December 31, 2019, estimates of reserves and future revenue, and we saw nothing of an unusual nature that would cause us to take exception with the estimates, in the aggregate, as prepared by MRC.</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and future revenue included herein have not been adjusted for risk. MRC's estimates do not include probable or possible reserves that may exist for these properties, nor do they include any value for undeveloped acreage beyond those tracts for which undeveloped reserves have been estimated.</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Prices used by MRC are based on the 12-month unweighted arithmetic average of the first-day-of-the-month price for each month in the period January through December 2019. For oil volumes, the average West Texas Intermediate posted price of $52.19 per barrel is adjusted by lease for quality, transportation fees, and market differentials. For gas volumes, the average Henry Hub spot price of $2.578 per MMBTU is adjusted by lease for energy content, transportation fees, and market differentials. All prices are held constant throughout the lives of the properties. The average adjusted product prices weighted by production over the remaining lives of the properties are $52.20 per barrel of oil and $1.668 per MCF of gas.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costs used by MRC are based on historical operating expense records. For the nonoperated properties, these costs include the per-well overhead expenses allowed under joint operating agreements along with estimates of costs to be incurred at and below the district and field levels. Operating costs for the operated properties include only direct lease- and field-level costs. Operating costs have been divided into per-well costs and per-unit-of-production costs. For all properties, headquarters general and administrative overhead expenses of MRC are not included. Capital costs used by MRC are based on authorizations for expenditure and actual costs from recent activity. Capital costs are included as required for workovers, new development wells, and production equipment. Operating costs and capital costs are not escalated for inflation. Estimates do not include any salvage value for the lease and well equipment or the cost of abandoning the properties.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w:t>
      </w:r>
    </w:p>
    <w:p>
      <w:pPr>
        <w:sectPr>
          <w:pgSz w:w="11900" w:h="16924" w:orient="portrait"/>
          <w:cols w:equalWidth="0" w:num="1">
            <w:col w:w="11420"/>
          </w:cols>
          <w:pgMar w:left="240" w:top="121" w:right="239" w:bottom="0" w:gutter="0" w:footer="0" w:header="0"/>
        </w:sectPr>
      </w:pPr>
    </w:p>
    <w:bookmarkStart w:id="191" w:name="page192"/>
    <w:bookmarkEnd w:id="191"/>
    <w:p>
      <w:pPr>
        <w:jc w:val="both"/>
        <w:spacing w:after="0" w:line="252" w:lineRule="auto"/>
        <w:rPr>
          <w:sz w:val="20"/>
          <w:szCs w:val="20"/>
          <w:color w:val="auto"/>
        </w:rPr>
      </w:pPr>
      <w:r>
        <w:rPr>
          <w:rFonts w:ascii="Arial" w:cs="Arial" w:eastAsia="Arial" w:hAnsi="Arial"/>
          <w:sz w:val="18"/>
          <w:szCs w:val="18"/>
          <w:color w:val="auto"/>
        </w:rPr>
        <w:t>Estimates of reserves may increase or decrease as a result of market conditions, future operations, changes in regulations, or actual reservoir performance. In addition to the primary economic assumptions discussed herein, estimates of MRC and NSAI are based on certain assumptions including, but not limited to, that the properties will be developed consistent with current development plans as provided to us by MRC,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MRC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MRC's overall reserves management processes and practices.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Supporting data documenting this audit, along with data provided by MRC, are on file in our office. The technical person primarily responsible for conducting this audit meets the requirements regarding qualifications, independence, objectivity, and confidentiality set forth in the SPE Standards. G. Lance Binder, a Licensed Professional Engineer in the State of Texas, has been practicing consulting petroleum engineering at NSAI since 1983 and has over 5 years of prior industry experience. We are independent petroleum engineers, geologists, geophysicists, and petrophysicists; we do not own an interest in these properties nor are we employed on a contingent basis.</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u w:val="single" w:color="auto"/>
          <w:color w:val="auto"/>
        </w:rPr>
        <w:t>/s/ C.H. (Scott) Rees III</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 (Scott) Rees III, P.E.</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 G. Lance Binder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 Lance Binder, P.E. 61794</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Vice President</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Date Signed: January 27,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GLB:SDB</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420"/>
          </w:cols>
          <w:pgMar w:left="240" w:top="140" w:right="2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20"/>
          <w:szCs w:val="20"/>
          <w:color w:val="auto"/>
        </w:rPr>
        <w:t>CERTIFICATION OF QUALIFICATION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G. Lance Binder, Licensed Professional Engineer, 2100 Ross Avenue, Suite 2200, Dallas, Texas, hereby certify: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I am an employee of Netherland, Sewell &amp; Associates, Inc. in the position of Executive Vice President.</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That I do not have, nor do I expect to receive, any direct or indirect interest in the securities of Matador Resources Company or its subsidiaries.</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That I attended Purdue University and graduated in 1978 with a Bachelor of Science Degree in Chemical Engineering; that I am a Licensed Professional Engineer in the State of Texas, United States of America; and that I have in excess of 35 years of experience in petroleum engineering studies and evaluations.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 Lance Binder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Lance Binder, P.E.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Texas Registration No. 61794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decimal"/>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4"/>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emdash "/>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lowerRoman"/>
      <w:start w:val="2"/>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emdash "/>
      <w:numFmt w:val="bullet"/>
      <w:start w:val="1"/>
    </w:lvl>
  </w:abstractNum>
  <w:abstractNum w:abstractNumId="42">
    <w:nsid w:val="579BE4F1"/>
    <w:multiLevelType w:val="hybridMultilevel"/>
    <w:lvl w:ilvl="0">
      <w:lvlJc w:val="left"/>
      <w:lvlText w:val="(%1)"/>
      <w:numFmt w:val="lowerRoman"/>
      <w:start w:val="2"/>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1)"/>
      <w:numFmt w:val="decimal"/>
      <w:start w:val="7"/>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0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1)"/>
      <w:numFmt w:val="lowerRoman"/>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lowerLetter"/>
      <w:start w:val="1"/>
    </w:lvl>
    <w:lvl w:ilvl="1">
      <w:lvlJc w:val="left"/>
      <w:lvlText w:val="(%2)"/>
      <w:numFmt w:val="lowerRoman"/>
      <w:start w:val="1"/>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Roman"/>
      <w:start w:val="1"/>
    </w:lvl>
  </w:abstractNum>
  <w:abstractNum w:abstractNumId="76">
    <w:nsid w:val="4962813B"/>
    <w:multiLevelType w:val="hybridMultilevel"/>
    <w:lvl w:ilvl="0">
      <w:lvlJc w:val="left"/>
      <w:lvlText w:val="(%1)"/>
      <w:numFmt w:val="lowerRoman"/>
      <w:start w:val="2"/>
    </w:lvl>
  </w:abstractNum>
  <w:abstractNum w:abstractNumId="77">
    <w:nsid w:val="60B6DF70"/>
    <w:multiLevelType w:val="hybridMultilevel"/>
    <w:lvl w:ilvl="0">
      <w:lvlJc w:val="left"/>
      <w:lvlText w:val="(%1)"/>
      <w:numFmt w:val="lowerRoman"/>
      <w:start w:val="3"/>
    </w:lvl>
  </w:abstractNum>
  <w:abstractNum w:abstractNumId="78">
    <w:nsid w:val="6A5EE64"/>
    <w:multiLevelType w:val="hybridMultilevel"/>
    <w:lvl w:ilvl="0">
      <w:lvlJc w:val="left"/>
      <w:lvlText w:val="(%1)"/>
      <w:numFmt w:val="lowerLetter"/>
      <w:start w:val="1"/>
    </w:lvl>
  </w:abstractNum>
  <w:abstractNum w:abstractNumId="79">
    <w:nsid w:val="14330624"/>
    <w:multiLevelType w:val="hybridMultilevel"/>
    <w:lvl w:ilvl="0">
      <w:lvlJc w:val="left"/>
      <w:lvlText w:val="1"/>
      <w:numFmt w:val="bullet"/>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111" Type="http://schemas.openxmlformats.org/officeDocument/2006/relationships/image" Target="media/image42.png"/><Relationship Id="rId112" Type="http://schemas.openxmlformats.org/officeDocument/2006/relationships/image" Target="media/image43.png"/><Relationship Id="rId113" Type="http://schemas.openxmlformats.org/officeDocument/2006/relationships/image" Target="media/image44.png"/><Relationship Id="rId114" Type="http://schemas.openxmlformats.org/officeDocument/2006/relationships/image" Target="media/image45.png"/><Relationship Id="rId115" Type="http://schemas.openxmlformats.org/officeDocument/2006/relationships/image" Target="media/image46.png"/><Relationship Id="rId116" Type="http://schemas.openxmlformats.org/officeDocument/2006/relationships/image" Target="media/image47.png"/><Relationship Id="rId117" Type="http://schemas.openxmlformats.org/officeDocument/2006/relationships/image" Target="media/image48.png"/><Relationship Id="rId118" Type="http://schemas.openxmlformats.org/officeDocument/2006/relationships/image" Target="media/image49.png"/><Relationship Id="rId119" Type="http://schemas.openxmlformats.org/officeDocument/2006/relationships/image" Target="media/image50.png"/><Relationship Id="rId120" Type="http://schemas.openxmlformats.org/officeDocument/2006/relationships/image" Target="media/image51.png"/><Relationship Id="rId121" Type="http://schemas.openxmlformats.org/officeDocument/2006/relationships/image" Target="media/image52.png"/><Relationship Id="rId122" Type="http://schemas.openxmlformats.org/officeDocument/2006/relationships/image" Target="media/image53.png"/><Relationship Id="rId123" Type="http://schemas.openxmlformats.org/officeDocument/2006/relationships/image" Target="media/image54.png"/><Relationship Id="rId124" Type="http://schemas.openxmlformats.org/officeDocument/2006/relationships/image" Target="media/image55.png"/><Relationship Id="rId125" Type="http://schemas.openxmlformats.org/officeDocument/2006/relationships/image" Target="media/image56.png"/><Relationship Id="rId126" Type="http://schemas.openxmlformats.org/officeDocument/2006/relationships/image" Target="media/image57.png"/><Relationship Id="rId127" Type="http://schemas.openxmlformats.org/officeDocument/2006/relationships/image" Target="media/image58.png"/><Relationship Id="rId128" Type="http://schemas.openxmlformats.org/officeDocument/2006/relationships/image" Target="media/image59.png"/><Relationship Id="rId129" Type="http://schemas.openxmlformats.org/officeDocument/2006/relationships/image" Target="media/image60.png"/><Relationship Id="rId130" Type="http://schemas.openxmlformats.org/officeDocument/2006/relationships/image" Target="media/image61.png"/><Relationship Id="rId131" Type="http://schemas.openxmlformats.org/officeDocument/2006/relationships/image" Target="media/image62.png"/><Relationship Id="rId132" Type="http://schemas.openxmlformats.org/officeDocument/2006/relationships/image" Target="media/image63.png"/><Relationship Id="rId133" Type="http://schemas.openxmlformats.org/officeDocument/2006/relationships/image" Target="media/image64.png"/><Relationship Id="rId134" Type="http://schemas.openxmlformats.org/officeDocument/2006/relationships/image" Target="media/image65.png"/><Relationship Id="rId135" Type="http://schemas.openxmlformats.org/officeDocument/2006/relationships/image" Target="media/image66.png"/><Relationship Id="rId136" Type="http://schemas.openxmlformats.org/officeDocument/2006/relationships/image" Target="media/image67.png"/><Relationship Id="rId137" Type="http://schemas.openxmlformats.org/officeDocument/2006/relationships/image" Target="media/image68.png"/><Relationship Id="rId138" Type="http://schemas.openxmlformats.org/officeDocument/2006/relationships/image" Target="media/image69.png"/><Relationship Id="rId139" Type="http://schemas.openxmlformats.org/officeDocument/2006/relationships/image" Target="media/image70.png"/><Relationship Id="rId140" Type="http://schemas.openxmlformats.org/officeDocument/2006/relationships/image" Target="media/image71.png"/><Relationship Id="rId141" Type="http://schemas.openxmlformats.org/officeDocument/2006/relationships/image" Target="media/image72.png"/><Relationship Id="rId142" Type="http://schemas.openxmlformats.org/officeDocument/2006/relationships/image" Target="media/image73.png"/><Relationship Id="rId143" Type="http://schemas.openxmlformats.org/officeDocument/2006/relationships/image" Target="media/image74.png"/><Relationship Id="rId144" Type="http://schemas.openxmlformats.org/officeDocument/2006/relationships/image" Target="media/image75.png"/><Relationship Id="rId145" Type="http://schemas.openxmlformats.org/officeDocument/2006/relationships/image" Target="media/image76.png"/><Relationship Id="rId146" Type="http://schemas.openxmlformats.org/officeDocument/2006/relationships/image" Target="media/image77.png"/><Relationship Id="rId147" Type="http://schemas.openxmlformats.org/officeDocument/2006/relationships/image" Target="media/image78.png"/><Relationship Id="rId148" Type="http://schemas.openxmlformats.org/officeDocument/2006/relationships/image" Target="media/image79.png"/><Relationship Id="rId149" Type="http://schemas.openxmlformats.org/officeDocument/2006/relationships/image" Target="media/image80.png"/><Relationship Id="rId150" Type="http://schemas.openxmlformats.org/officeDocument/2006/relationships/image" Target="media/image81.png"/><Relationship Id="rId151" Type="http://schemas.openxmlformats.org/officeDocument/2006/relationships/image" Target="media/image82.png"/><Relationship Id="rId152" Type="http://schemas.openxmlformats.org/officeDocument/2006/relationships/image" Target="media/image83.png"/><Relationship Id="rId153" Type="http://schemas.openxmlformats.org/officeDocument/2006/relationships/image" Target="media/image84.png"/><Relationship Id="rId154" Type="http://schemas.openxmlformats.org/officeDocument/2006/relationships/image" Target="media/image85.png"/><Relationship Id="rId155" Type="http://schemas.openxmlformats.org/officeDocument/2006/relationships/image" Target="media/image86.png"/><Relationship Id="rId156" Type="http://schemas.openxmlformats.org/officeDocument/2006/relationships/image" Target="media/image87.png"/><Relationship Id="rId49" Type="http://schemas.openxmlformats.org/officeDocument/2006/relationships/hyperlink" Target="http://www.sec.gov/Archives/edgar/data/1520006/000119312517056449/d348512dex21.htm" TargetMode="External"/><Relationship Id="rId50" Type="http://schemas.openxmlformats.org/officeDocument/2006/relationships/hyperlink" Target="http://www.sec.gov/Archives/edgar/data/1520006/000152000617000188/a20170630mtdr10q-exhibit32.htm" TargetMode="External"/><Relationship Id="rId51" Type="http://schemas.openxmlformats.org/officeDocument/2006/relationships/hyperlink" Target="http://www.sec.gov/Archives/edgar/data/1520006/000152000617000188/a20170630mtdr10q-exhibit33.htm" TargetMode="External"/><Relationship Id="rId52" Type="http://schemas.openxmlformats.org/officeDocument/2006/relationships/hyperlink" Target="http://www.sec.gov/Archives/edgar/data/1520006/000152000617000188/a20170630mtdr10q-exhibit34.htm" TargetMode="External"/><Relationship Id="rId53" Type="http://schemas.openxmlformats.org/officeDocument/2006/relationships/hyperlink" Target="http://www.sec.gov/Archives/edgar/data/1520006/000152000618000051/a20171231mtdr8k-amendedbyl.htm" TargetMode="External"/><Relationship Id="rId54" Type="http://schemas.openxmlformats.org/officeDocument/2006/relationships/hyperlink" Target="http://www.sec.gov/Archives/edgar/data/1520006/000119312512016839/d217064dex41.htm" TargetMode="External"/><Relationship Id="rId55" Type="http://schemas.openxmlformats.org/officeDocument/2006/relationships/hyperlink" Target="http://www.sec.gov/Archives/edgar/data/1520006/000119312518254069/d578570dex41.htm" TargetMode="External"/><Relationship Id="rId56" Type="http://schemas.openxmlformats.org/officeDocument/2006/relationships/hyperlink" Target="http://www.sec.gov/Archives/edgar/data/1520006/000152000619000048/a20181231mtdr10-kex43.htm" TargetMode="External"/><Relationship Id="rId57" Type="http://schemas.openxmlformats.org/officeDocument/2006/relationships/hyperlink" Target="http://www.sec.gov/Archives/edgar/data/1520006/000119312511310666/d217064dex103.htm" TargetMode="External"/><Relationship Id="rId58" Type="http://schemas.openxmlformats.org/officeDocument/2006/relationships/hyperlink" Target="http://www.sec.gov/Archives/edgar/data/1520006/000119312511310666/d217064dex104.htm" TargetMode="External"/><Relationship Id="rId59" Type="http://schemas.openxmlformats.org/officeDocument/2006/relationships/hyperlink" Target="http://www.sec.gov/Archives/edgar/data/1520006/000119312511310666/d217064dex105.htm" TargetMode="External"/><Relationship Id="rId60" Type="http://schemas.openxmlformats.org/officeDocument/2006/relationships/hyperlink" Target="http://www.sec.gov/Archives/edgar/data/1520006/000119312511310666/d217064dex108.htm" TargetMode="External"/><Relationship Id="rId61" Type="http://schemas.openxmlformats.org/officeDocument/2006/relationships/hyperlink" Target="http://www.sec.gov/Archives/edgar/data/1520006/000119312511310666/d217064dex109.htm" TargetMode="External"/><Relationship Id="rId62" Type="http://schemas.openxmlformats.org/officeDocument/2006/relationships/hyperlink" Target="http://www.sec.gov/Archives/edgar/data/1520006/000119312511310666/d217064dex1010.htm" TargetMode="External"/><Relationship Id="rId63" Type="http://schemas.openxmlformats.org/officeDocument/2006/relationships/hyperlink" Target="http://www.sec.gov/Archives/edgar/data/1520006/000119312511356358/d217064dex1012.htm" TargetMode="External"/><Relationship Id="rId64" Type="http://schemas.openxmlformats.org/officeDocument/2006/relationships/hyperlink" Target="http://www.sec.gov/Archives/edgar/data/1520006/000119312511356358/d217064dex1013.htm" TargetMode="External"/><Relationship Id="rId65" Type="http://schemas.openxmlformats.org/officeDocument/2006/relationships/hyperlink" Target="http://www.sec.gov/Archives/edgar/data/1520006/000119312511356358/d217064dex1014.htm" TargetMode="External"/><Relationship Id="rId66" Type="http://schemas.openxmlformats.org/officeDocument/2006/relationships/hyperlink" Target="http://www.sec.gov/Archives/edgar/data/1520006/000119312511310666/d217064dex1022.htm" TargetMode="External"/><Relationship Id="rId67" Type="http://schemas.openxmlformats.org/officeDocument/2006/relationships/hyperlink" Target="http://www.sec.gov/Archives/edgar/data/1520006/000119312512415433/d419120dex101.htm" TargetMode="External"/><Relationship Id="rId68" Type="http://schemas.openxmlformats.org/officeDocument/2006/relationships/hyperlink" Target="http://www.sec.gov/Archives/edgar/data/1520006/000119312513111031/d444422dex1049.htm" TargetMode="External"/><Relationship Id="rId69" Type="http://schemas.openxmlformats.org/officeDocument/2006/relationships/hyperlink" Target="http://www.sec.gov/Archives/edgar/data/1520006/000119312513111031/d444422dex1050.htm" TargetMode="External"/><Relationship Id="rId70" Type="http://schemas.openxmlformats.org/officeDocument/2006/relationships/hyperlink" Target="http://www.sec.gov/Archives/edgar/data/1520006/000119312513111031/d444422dex1051.htm" TargetMode="External"/><Relationship Id="rId71" Type="http://schemas.openxmlformats.org/officeDocument/2006/relationships/hyperlink" Target="http://www.sec.gov/Archives/edgar/data/1520006/000119312513248961/d548231dex101.htm" TargetMode="External"/><Relationship Id="rId72" Type="http://schemas.openxmlformats.org/officeDocument/2006/relationships/hyperlink" Target="http://www.sec.gov/Archives/edgar/data/1520006/000144530513002065/exhibit102q22013.htm" TargetMode="External"/><Relationship Id="rId73" Type="http://schemas.openxmlformats.org/officeDocument/2006/relationships/hyperlink" Target="http://www.sec.gov/Archives/edgar/data/1520006/000152000614000017/mtdr10-k12312013ex1050.htm" TargetMode="External"/><Relationship Id="rId74" Type="http://schemas.openxmlformats.org/officeDocument/2006/relationships/hyperlink" Target="http://www.sec.gov/Archives/edgar/data/1520006/000152000614000046/rbc_matador-fifthamendment.htm" TargetMode="External"/><Relationship Id="rId75" Type="http://schemas.openxmlformats.org/officeDocument/2006/relationships/hyperlink" Target="http://www.sec.gov/Archives/edgar/data/1520006/000119312515129556/d909750dex102.htm" TargetMode="External"/><Relationship Id="rId76" Type="http://schemas.openxmlformats.org/officeDocument/2006/relationships/hyperlink" Target="http://www.sec.gov/Archives/edgar/data/1520006/000152000615000160/seventhamendmenttothirdame.htm" TargetMode="External"/><Relationship Id="rId77" Type="http://schemas.openxmlformats.org/officeDocument/2006/relationships/hyperlink" Target="http://www.sec.gov/Archives/edgar/data/1520006/000152000616000382/rbc_matador-eighthamendmen.htm" TargetMode="External"/><Relationship Id="rId78" Type="http://schemas.openxmlformats.org/officeDocument/2006/relationships/hyperlink" Target="http://www.sec.gov/Archives/edgar/data/1520006/000119312516789726/d209952dex102.htm" TargetMode="External"/><Relationship Id="rId79" Type="http://schemas.openxmlformats.org/officeDocument/2006/relationships/hyperlink" Target="http://www.sec.gov/Archives/edgar/data/1520006/000152000617000138/rbc_matador-tenthamendment.htm" TargetMode="External"/><Relationship Id="rId80" Type="http://schemas.openxmlformats.org/officeDocument/2006/relationships/hyperlink" Target="http://www.sec.gov/Archives/edgar/data/1520006/000152000614000017/mtdr10-k12312013ex1051.htm" TargetMode="External"/><Relationship Id="rId81" Type="http://schemas.openxmlformats.org/officeDocument/2006/relationships/hyperlink" Target="http://www.sec.gov/Archives/edgar/data/1520006/000152000615000008/mtdr10-k12312014ex1052.htm" TargetMode="External"/><Relationship Id="rId82" Type="http://schemas.openxmlformats.org/officeDocument/2006/relationships/hyperlink" Target="http://www.sec.gov/Archives/edgar/data/1520006/000152000615000008/mtdr10-k12312014ex1054.htm" TargetMode="External"/><Relationship Id="rId83" Type="http://schemas.openxmlformats.org/officeDocument/2006/relationships/hyperlink" Target="http://www.sec.gov/Archives/edgar/data/1520006/000152000616000245/mtdr10-k12312015ex1053.htm" TargetMode="External"/><Relationship Id="rId84" Type="http://schemas.openxmlformats.org/officeDocument/2006/relationships/hyperlink" Target="http://www.sec.gov/Archives/edgar/data/1520006/000152000616000245/mtdr10-k12312015ex1054.htm" TargetMode="External"/><Relationship Id="rId85" Type="http://schemas.openxmlformats.org/officeDocument/2006/relationships/hyperlink" Target="http://www.sec.gov/Archives/edgar/data/1520006/000152000615000102/matador-amendedandrestated.htm" TargetMode="External"/><Relationship Id="rId86" Type="http://schemas.openxmlformats.org/officeDocument/2006/relationships/hyperlink" Target="http://www.sec.gov/Archives/edgar/data/1520006/000152000616000245/mtdr10-k12312015ex1059.htm" TargetMode="External"/><Relationship Id="rId87" Type="http://schemas.openxmlformats.org/officeDocument/2006/relationships/hyperlink" Target="http://www.sec.gov/Archives/edgar/data/1520006/000152000617000074/mtdr10-k12312016ex1062.htm" TargetMode="External"/><Relationship Id="rId88" Type="http://schemas.openxmlformats.org/officeDocument/2006/relationships/hyperlink" Target="http://www.sec.gov/Archives/edgar/data/1520006/000152000617000074/mtdr10-k12312016ex1063.htm" TargetMode="External"/><Relationship Id="rId89" Type="http://schemas.openxmlformats.org/officeDocument/2006/relationships/hyperlink" Target="http://www.sec.gov/Archives/edgar/data/1520006/000152000617000074/mtdr10-k12312016ex1064.htm" TargetMode="External"/><Relationship Id="rId90" Type="http://schemas.openxmlformats.org/officeDocument/2006/relationships/hyperlink" Target="http://www.sec.gov/Archives/edgar/data/1520006/000152000617000141/mtdrexhibit1012017q1.htm" TargetMode="External"/><Relationship Id="rId91" Type="http://schemas.openxmlformats.org/officeDocument/2006/relationships/hyperlink" Target="http://www.sec.gov/Archives/edgar/data/1520006/000152000617000188/a20170630mtdr10q-exhibit104.htm" TargetMode="External"/><Relationship Id="rId92" Type="http://schemas.openxmlformats.org/officeDocument/2006/relationships/hyperlink" Target="http://www.sec.gov/Archives/edgar/data/1520006/000152000617000199/a20170930mtdr10q-exhibit101.htm" TargetMode="External"/><Relationship Id="rId93" Type="http://schemas.openxmlformats.org/officeDocument/2006/relationships/hyperlink" Target="http://www.sec.gov/Archives/edgar/data/1520006/000152000617000199/a20170930mtdr10q-exhibit103.htm" TargetMode="External"/><Relationship Id="rId94" Type="http://schemas.openxmlformats.org/officeDocument/2006/relationships/hyperlink" Target="http://www.sec.gov/Archives/edgar/data/1520006/000152000617000199/a20170930mtdr10q-exhibit104.htm" TargetMode="External"/><Relationship Id="rId95" Type="http://schemas.openxmlformats.org/officeDocument/2006/relationships/hyperlink" Target="http://www.sec.gov/Archives/edgar/data/1520006/000152000617000199/a20170930mtdr10q-exhibit105.htm" TargetMode="External"/><Relationship Id="rId96" Type="http://schemas.openxmlformats.org/officeDocument/2006/relationships/hyperlink" Target="http://www.sec.gov/Archives/edgar/data/1520006/000152000617000199/a20170930mtdr10q-exhibit106.htm" TargetMode="External"/><Relationship Id="rId97" Type="http://schemas.openxmlformats.org/officeDocument/2006/relationships/hyperlink" Target="http://www.sec.gov/Archives/edgar/data/1520006/000152000617000199/a20170930mtdr10q-exhibit107.htm" TargetMode="External"/><Relationship Id="rId98" Type="http://schemas.openxmlformats.org/officeDocument/2006/relationships/hyperlink" Target="http://www.sec.gov/Archives/edgar/data/1520006/000152000618000102/a20180630mtdr10q-exhibit101.htm" TargetMode="External"/><Relationship Id="rId99" Type="http://schemas.openxmlformats.org/officeDocument/2006/relationships/hyperlink" Target="http://www.sec.gov/Archives/edgar/data/1520006/000152000618000102/a20180630mtdr10q-exhibit102.htm" TargetMode="External"/><Relationship Id="rId100" Type="http://schemas.openxmlformats.org/officeDocument/2006/relationships/hyperlink" Target="http://www.sec.gov/Archives/edgar/data/1520006/000119312518244534/d598036dex101.htm" TargetMode="External"/><Relationship Id="rId101" Type="http://schemas.openxmlformats.org/officeDocument/2006/relationships/hyperlink" Target="http://www.sec.gov/Archives/edgar/data/1520006/000119312518293290/d623866dex102.htm" TargetMode="External"/><Relationship Id="rId102" Type="http://schemas.openxmlformats.org/officeDocument/2006/relationships/hyperlink" Target="http://www.sec.gov/Archives/edgar/data/1520006/000152000618000121/rbc_matador-thirteenthamen.htm" TargetMode="External"/><Relationship Id="rId103" Type="http://schemas.openxmlformats.org/officeDocument/2006/relationships/hyperlink" Target="http://www.sec.gov/Archives/edgar/data/1520006/000152000619000048/a20181231mtdr10-kex1066.htm" TargetMode="External"/><Relationship Id="rId104" Type="http://schemas.openxmlformats.org/officeDocument/2006/relationships/hyperlink" Target="http://www.sec.gov/Archives/edgar/data/1520006/000152000619000048/a20181231mtdr10-kex1067.htm" TargetMode="External"/><Relationship Id="rId105" Type="http://schemas.openxmlformats.org/officeDocument/2006/relationships/hyperlink" Target="http://www.sec.gov/Archives/edgar/data/1520006/000152000619000048/a20181231mtdr10-kex1068.htm" TargetMode="External"/><Relationship Id="rId106" Type="http://schemas.openxmlformats.org/officeDocument/2006/relationships/hyperlink" Target="http://www.sec.gov/Archives/edgar/data/1520006/000119312519167218/d760472dex991.htm" TargetMode="External"/><Relationship Id="rId107" Type="http://schemas.openxmlformats.org/officeDocument/2006/relationships/hyperlink" Target="http://www.sec.gov/Archives/edgar/data/1520006/000152000619000115/a20190630mtdr10q-exhibit102.htm" TargetMode="External"/><Relationship Id="rId108" Type="http://schemas.openxmlformats.org/officeDocument/2006/relationships/hyperlink" Target="http://www.sec.gov/Archives/edgar/data/1520006/000152000619000115/a20190630mtdr10q-exhibit103.htm" TargetMode="External"/><Relationship Id="rId109" Type="http://schemas.openxmlformats.org/officeDocument/2006/relationships/hyperlink" Target="http://www.sec.gov/Archives/edgar/data/1520006/000152000619000115/a20190630mtdr10q-exhibit104.htm" TargetMode="External"/><Relationship Id="rId110" Type="http://schemas.openxmlformats.org/officeDocument/2006/relationships/hyperlink" Target="http://www.sec.gov/Archives/edgar/data/1520006/000152000619000115/a20190630mtdr10q-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2020-03-02T15:39:51Z</dcterms:created>
  <dcterms:modified xsi:type="dcterms:W3CDTF">2020-03-02T15:39:51Z</dcterms:modified>
</cp:coreProperties>
</file>