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176127.xml.htm"/>
      <w:bookmarkStart w:id="1" w:name="kswkform4_17881761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Calvert Christopher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LBJ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Matador Resources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4"/>
        <w:gridCol w:w="921"/>
        <w:gridCol w:w="790"/>
        <w:gridCol w:w="612"/>
        <w:gridCol w:w="347"/>
        <w:gridCol w:w="833"/>
        <w:gridCol w:w="439"/>
        <w:gridCol w:w="757"/>
        <w:gridCol w:w="1146"/>
        <w:gridCol w:w="988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56.64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Represents shares held of record by the reporting person's 401(k) account</w:t>
            </w:r>
          </w:p>
        </w:tc>
      </w:tr>
      <w:tr>
        <w:trPr/>
        <w:tc>
          <w:tcPr>
            <w:tcW w:w="21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3,334 shares of restricted stock granted to the reporting person on February 14, 2024 that vest on the third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pursuant to the Issuer's Employee Stock Purchase Plan. Such acquisitions are exempt under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P. Calvert, by Derek E. Gabriel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286" TargetMode="External"/><Relationship Id="rId5" Type="http://schemas.openxmlformats.org/officeDocument/2006/relationships/hyperlink" Target="http://www.sec.gov/cgi-bin/browse-edgar?action=getcompany&amp;CIK=00015200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3426</Characters>
  <CharactersWithSpaces>3984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