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2" w:lineRule="auto"/>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4" w:lineRule="exact"/>
        <w:rPr>
          <w:sz w:val="24"/>
          <w:szCs w:val="24"/>
          <w:color w:val="auto"/>
        </w:rPr>
      </w:pPr>
    </w:p>
    <w:p>
      <w:pPr>
        <w:ind w:left="440" w:right="300" w:hanging="414"/>
        <w:spacing w:after="0" w:line="235"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right="280" w:hanging="414"/>
        <w:spacing w:after="0" w:line="235"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6"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5"/>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Texas</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c>
          <w:tcPr>
            <w:tcW w:w="0" w:type="dxa"/>
            <w:vAlign w:val="bottom"/>
          </w:tcPr>
          <w:p>
            <w:pPr>
              <w:spacing w:after="0"/>
              <w:rPr>
                <w:sz w:val="1"/>
                <w:szCs w:val="1"/>
                <w:color w:val="auto"/>
              </w:rPr>
            </w:pPr>
          </w:p>
        </w:tc>
      </w:tr>
      <w:tr>
        <w:trPr>
          <w:trHeight w:val="144"/>
        </w:trPr>
        <w:tc>
          <w:tcPr>
            <w:tcW w:w="5920" w:type="dxa"/>
            <w:vAlign w:val="bottom"/>
          </w:tcPr>
          <w:p>
            <w:pPr>
              <w:jc w:val="center"/>
              <w:ind w:right="347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9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90"/>
              </w:rPr>
              <w:t>5400 LBJ Freeway, Suite 1500</w:t>
            </w:r>
          </w:p>
        </w:tc>
        <w:tc>
          <w:tcPr>
            <w:tcW w:w="14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75240</w:t>
            </w:r>
          </w:p>
        </w:tc>
        <w:tc>
          <w:tcPr>
            <w:tcW w:w="0" w:type="dxa"/>
            <w:vAlign w:val="bottom"/>
          </w:tcPr>
          <w:p>
            <w:pPr>
              <w:spacing w:after="0"/>
              <w:rPr>
                <w:sz w:val="1"/>
                <w:szCs w:val="1"/>
                <w:color w:val="auto"/>
              </w:rPr>
            </w:pPr>
          </w:p>
        </w:tc>
      </w:tr>
      <w:tr>
        <w:trPr>
          <w:trHeight w:val="220"/>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7"/>
              </w:rPr>
              <w:t>Dallas, Texas</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48"/>
        </w:trPr>
        <w:tc>
          <w:tcPr>
            <w:tcW w:w="5920" w:type="dxa"/>
            <w:vAlign w:val="bottom"/>
          </w:tcPr>
          <w:p>
            <w:pPr>
              <w:jc w:val="right"/>
              <w:ind w:right="1299"/>
              <w:spacing w:after="0"/>
              <w:rPr>
                <w:sz w:val="20"/>
                <w:szCs w:val="20"/>
                <w:color w:val="auto"/>
              </w:rPr>
            </w:pPr>
            <w:r>
              <w:rPr>
                <w:rFonts w:ascii="Arial" w:cs="Arial" w:eastAsia="Arial" w:hAnsi="Arial"/>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4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0"/>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MTDR</w:t>
            </w:r>
          </w:p>
        </w:tc>
        <w:tc>
          <w:tcPr>
            <w:tcW w:w="24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5"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6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April 28, 2021, there were 116,781,983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Arial" w:cs="Arial" w:eastAsia="Arial" w:hAnsi="Arial"/>
                <w:sz w:val="18"/>
                <w:szCs w:val="18"/>
                <w:b w:val="1"/>
                <w:bCs w:val="1"/>
                <w:color w:val="auto"/>
                <w:w w:val="99"/>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FOR THE QUARTER ENDED MARCH 31, 2021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480" w:type="dxa"/>
            <w:vAlign w:val="bottom"/>
            <w:tcBorders>
              <w:top w:val="single" w:sz="8" w:color="auto"/>
            </w:tcBorders>
            <w:gridSpan w:val="2"/>
          </w:tcPr>
          <w:p>
            <w:pPr>
              <w:jc w:val="center"/>
              <w:ind w:left="31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 Unaudited</w:t>
              </w:r>
            </w:hyperlink>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at March 31, 2021 and December 31, 2020</w:t>
              </w:r>
            </w:hyperlink>
          </w:p>
        </w:tc>
        <w:tc>
          <w:tcPr>
            <w:tcW w:w="3700" w:type="dxa"/>
            <w:vAlign w:val="bottom"/>
            <w:gridSpan w:val="5"/>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Months Ended March 31, 2021 and 2020</w:t>
              </w:r>
            </w:hyperlink>
          </w:p>
        </w:tc>
        <w:tc>
          <w:tcPr>
            <w:tcW w:w="2120" w:type="dxa"/>
            <w:vAlign w:val="bottom"/>
            <w:gridSpan w:val="3"/>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Changes in Shareholders’ Equity for the Three Months Ended March 31, 2021 and 2020</w:t>
              </w:r>
            </w:hyperlink>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 March 31, 2021 and 2020</w:t>
              </w:r>
            </w:hyperlink>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2080" w:type="dxa"/>
            <w:vAlign w:val="bottom"/>
            <w:gridSpan w:val="2"/>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Item 2. Management’s Discussion and Analysis of Financial Condition and Results of Operations</w:t>
              </w:r>
            </w:hyperlink>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18"/>
                <w:szCs w:val="18"/>
                <w:color w:val="auto"/>
              </w:rPr>
            </w:pP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Item 4. Controls and Procedures</w:t>
              </w:r>
            </w:hyperlink>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PART II — OTHER INFORMATION</w:t>
              </w:r>
            </w:hyperlink>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6"/>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Item 1. Legal Proceedings</w:t>
              </w:r>
            </w:hyperlink>
          </w:p>
        </w:tc>
        <w:tc>
          <w:tcPr>
            <w:tcW w:w="66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Item 1A. Risk Factors</w:t>
              </w:r>
            </w:hyperlink>
          </w:p>
        </w:tc>
        <w:tc>
          <w:tcPr>
            <w:tcW w:w="300" w:type="dxa"/>
            <w:vAlign w:val="bottom"/>
          </w:tcPr>
          <w:p>
            <w:pPr>
              <w:spacing w:after="0"/>
              <w:rPr>
                <w:sz w:val="18"/>
                <w:szCs w:val="18"/>
                <w:color w:val="auto"/>
              </w:rPr>
            </w:pPr>
          </w:p>
        </w:tc>
        <w:tc>
          <w:tcPr>
            <w:tcW w:w="8200" w:type="dxa"/>
            <w:vAlign w:val="bottom"/>
            <w:gridSpan w:val="12"/>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Item 2. Unregistered Sales of Equity Securities and Use of Proceeds</w:t>
              </w:r>
            </w:hyperlink>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 Exhibits</w:t>
              </w:r>
            </w:hyperlink>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1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480" w:type="dxa"/>
            <w:vAlign w:val="bottom"/>
            <w:gridSpan w:val="2"/>
          </w:tcPr>
          <w:p>
            <w:pPr>
              <w:jc w:val="center"/>
              <w:ind w:left="2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57,916</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33,467</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Oil and natural gas revenues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85,098</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Joint interest billings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34,823</w:t>
            </w: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17,212</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6,727</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Lease and well equipment inventory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10,584</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15,802</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256,864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261,629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Oil and natural gas properties, full-cost method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Evaluated</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5,407,305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5,295,931</w:t>
            </w: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Unproved and unevaluated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925,259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902,133</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properties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841,695</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Other property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29,802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29,561</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depletion, 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(3,776,414)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(3,701,551)</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Net property and equipment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3,437,364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3,367,769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44,231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55,312</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3,738,881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3,687,280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LIABILITIES AND SHAREHOLDERS’ EQUITY</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13,982</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143,074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119,158</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Royalties payable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66,049</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Amounts due to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45,186</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Advances from joint interest owners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37,436</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376,412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290,936</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Borrowings under Credit Agreement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440,000</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334,000</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Senior unsecured notes payable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1,041,393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1,040,998</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37,919</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30,402</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long-term liabilities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1,781,936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1,883,319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0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w w:val="94"/>
              </w:rPr>
              <w:t>Common stock - $0.01 par value, 160,000,000 shares authorized; 116,871,689 and 116,847,003 shares issued; and 116,779,751 and</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116,844,768 shares outstanding, respectively</w:t>
            </w:r>
          </w:p>
        </w:tc>
        <w:tc>
          <w:tcPr>
            <w:tcW w:w="2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2,043,703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2,027,069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(683,973)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(741,705)</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Treasury stock, at cost, 91,938 and 2,235 shares, respectively</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Matador Resources Company shareholders’ equity</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1,286,530</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221,138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226,495</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1,580,533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1,513,025</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3,738,881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3,687,280</w:t>
            </w: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06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60" w:type="dxa"/>
            <w:vAlign w:val="bottom"/>
          </w:tcPr>
          <w:p>
            <w:pPr>
              <w:jc w:val="center"/>
              <w:ind w:left="20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316,233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197,914</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Sales of 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(loss) gain on derivatives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Unrealized (loss) gain on derivatives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136,430</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371,585</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w:t>
            </w: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Lease operating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30,910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90,707</w:t>
            </w: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178,053</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193,532</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(19,812)</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(18,492)</w:t>
            </w:r>
          </w:p>
        </w:tc>
        <w:tc>
          <w:tcPr>
            <w:tcW w:w="0" w:type="dxa"/>
            <w:vAlign w:val="bottom"/>
          </w:tcPr>
          <w:p>
            <w:pPr>
              <w:spacing w:after="0"/>
              <w:rPr>
                <w:sz w:val="1"/>
                <w:szCs w:val="1"/>
                <w:color w:val="auto"/>
              </w:rPr>
            </w:pPr>
          </w:p>
        </w:tc>
      </w:tr>
      <w:tr>
        <w:trPr>
          <w:trHeight w:val="223"/>
        </w:trPr>
        <w:tc>
          <w:tcPr>
            <w:tcW w:w="9060" w:type="dxa"/>
            <w:vAlign w:val="bottom"/>
          </w:tcPr>
          <w:p>
            <w:pPr>
              <w:ind w:left="88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175,040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39,957</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39,957</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135,083</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23"/>
        </w:trPr>
        <w:tc>
          <w:tcPr>
            <w:tcW w:w="9060" w:type="dxa"/>
            <w:vAlign w:val="bottom"/>
          </w:tcPr>
          <w:p>
            <w:pPr>
              <w:ind w:left="88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125,729</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116,607</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118,669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116,684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116,847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$ 2,027,069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(741,705)</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226,495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1,513,025</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15,376</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60,645</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60,645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69,498</w:t>
            </w:r>
          </w:p>
        </w:tc>
        <w:tc>
          <w:tcPr>
            <w:tcW w:w="0" w:type="dxa"/>
            <w:vAlign w:val="bottom"/>
          </w:tcPr>
          <w:p>
            <w:pPr>
              <w:spacing w:after="0"/>
              <w:rPr>
                <w:sz w:val="1"/>
                <w:szCs w:val="1"/>
                <w:color w:val="auto"/>
              </w:rPr>
            </w:pP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116,872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$ 2,043,703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(683,973)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1,359,395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1,580,533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116,644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$ 1,981,014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(148,500)</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 options exercised, net of options forfeited in net share</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Liability-based stock option awards settled in equity</w:t>
            </w: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Contribution related to formation of San Mateo, net of tax of</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$3.1 million (see Note 6)</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45,674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wholly-owned subsidiaries, net of tax of $4.3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135,083</w:t>
            </w:r>
          </w:p>
        </w:tc>
        <w:tc>
          <w:tcPr>
            <w:tcW w:w="0" w:type="dxa"/>
            <w:vAlign w:val="bottom"/>
          </w:tcPr>
          <w:p>
            <w:pPr>
              <w:spacing w:after="0"/>
              <w:rPr>
                <w:sz w:val="1"/>
                <w:szCs w:val="1"/>
                <w:color w:val="auto"/>
              </w:rPr>
            </w:pPr>
          </w:p>
        </w:tc>
      </w:tr>
      <w:tr>
        <w:trPr>
          <w:trHeight w:val="17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116,671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$ 2,014,246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(22,771)</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(1,293)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1,991,349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163,031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2,154,380</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Arial" w:cs="Arial" w:eastAsia="Arial" w:hAnsi="Arial"/>
                <w:sz w:val="18"/>
                <w:szCs w:val="18"/>
                <w:b w:val="1"/>
                <w:bCs w:val="1"/>
                <w:color w:val="auto"/>
                <w:w w:val="99"/>
              </w:rPr>
              <w:t>CONDENSED CONSOLIDATED STATEMENTS OF CASH FLOWS — UNAUDITED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right"/>
              <w:ind w:right="228"/>
              <w:spacing w:after="0"/>
              <w:rPr>
                <w:sz w:val="20"/>
                <w:szCs w:val="20"/>
                <w:color w:val="auto"/>
              </w:rPr>
            </w:pPr>
            <w:r>
              <w:rPr>
                <w:rFonts w:ascii="Arial" w:cs="Arial" w:eastAsia="Arial" w:hAnsi="Arial"/>
                <w:sz w:val="18"/>
                <w:szCs w:val="18"/>
                <w:b w:val="1"/>
                <w:bCs w:val="1"/>
                <w:color w:val="auto"/>
                <w:w w:val="95"/>
              </w:rPr>
              <w:t>Three Months Ended</w:t>
            </w:r>
          </w:p>
        </w:tc>
      </w:tr>
      <w:tr>
        <w:trPr>
          <w:trHeight w:val="229"/>
        </w:trPr>
        <w:tc>
          <w:tcPr>
            <w:tcW w:w="12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7"/>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auto"/>
                <w:w w:val="84"/>
              </w:rPr>
              <w:t>2020</w:t>
            </w:r>
          </w:p>
        </w:tc>
      </w:tr>
      <w:tr>
        <w:trPr>
          <w:trHeight w:val="16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69,498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135,083</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Unrealized loss (gain) on derivatives</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43,423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(136,430)</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Depletion, depreciation and amortization</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74,863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90,707</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Accretion of asset retirement obligations</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476</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Deferred income tax provision</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39,957</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Amortization of debt issuance cost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36,342</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Lease and well equipment inventory</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1,749</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8,560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(58,562)</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Royalties payable</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5,741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Advances from joint interest owners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w:t>
            </w:r>
          </w:p>
        </w:tc>
      </w:tr>
      <w:tr>
        <w:trPr>
          <w:trHeight w:val="186"/>
        </w:trPr>
        <w:tc>
          <w:tcPr>
            <w:tcW w:w="906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86"/>
        </w:trPr>
        <w:tc>
          <w:tcPr>
            <w:tcW w:w="1280" w:type="dxa"/>
            <w:vAlign w:val="bottom"/>
            <w:shd w:val="clear" w:color="auto" w:fill="CCEEFF"/>
          </w:tcPr>
          <w:p>
            <w:pPr>
              <w:spacing w:after="0"/>
              <w:rPr>
                <w:sz w:val="16"/>
                <w:szCs w:val="16"/>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169,395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109,372</w:t>
            </w:r>
          </w:p>
        </w:tc>
      </w:tr>
      <w:tr>
        <w:trPr>
          <w:trHeight w:val="186"/>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Drilling, completion and equipping capital expenditures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(133,170)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Acquisition of oil and natural gas properties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(40,824)</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Midstream capital expenditures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(73,439)</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Expenditures for other property and equipment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Proceeds from sale of assets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1280" w:type="dxa"/>
            <w:vAlign w:val="bottom"/>
          </w:tcPr>
          <w:p>
            <w:pPr>
              <w:spacing w:after="0"/>
              <w:rPr>
                <w:sz w:val="15"/>
                <w:szCs w:val="15"/>
                <w:color w:val="auto"/>
              </w:rPr>
            </w:pPr>
          </w:p>
        </w:tc>
        <w:tc>
          <w:tcPr>
            <w:tcW w:w="7780" w:type="dxa"/>
            <w:vAlign w:val="bottom"/>
          </w:tcPr>
          <w:p>
            <w:pPr>
              <w:ind w:left="1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(108,895)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(248,220)</w:t>
            </w:r>
          </w:p>
        </w:tc>
      </w:tr>
      <w:tr>
        <w:trPr>
          <w:trHeight w:val="19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Repayments of borrowings under Credit Agreement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Repayments of borrowings under San Mateo Credit Facility</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Cost to amend credit facilities</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Contributions related to formation of San Mateo</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15,376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14,700</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Contributions from non-controlling interest owners of less-than-wholly-owned subsidiaries</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Distributions to non-controlling interest owners of less-than-wholly-owned subsidiaries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(11,515)</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Taxes paid related to net share settlement of stock-based compensation</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186"/>
        </w:trPr>
        <w:tc>
          <w:tcPr>
            <w:tcW w:w="9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186"/>
        </w:trPr>
        <w:tc>
          <w:tcPr>
            <w:tcW w:w="1280" w:type="dxa"/>
            <w:vAlign w:val="bottom"/>
            <w:shd w:val="clear" w:color="auto" w:fill="CCEEFF"/>
          </w:tcPr>
          <w:p>
            <w:pPr>
              <w:spacing w:after="0"/>
              <w:rPr>
                <w:sz w:val="16"/>
                <w:szCs w:val="16"/>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(103,626)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130,515</w:t>
            </w:r>
          </w:p>
        </w:tc>
      </w:tr>
      <w:tr>
        <w:trPr>
          <w:trHeight w:val="179"/>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Decrease in cash and restricted cash</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(8,333)</w:t>
            </w:r>
          </w:p>
        </w:tc>
      </w:tr>
      <w:tr>
        <w:trPr>
          <w:trHeight w:val="19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91,383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65,128</w:t>
            </w:r>
          </w:p>
        </w:tc>
      </w:tr>
      <w:tr>
        <w:trPr>
          <w:trHeight w:val="179"/>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Cash and restricted cash at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48,257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56,795</w:t>
            </w:r>
          </w:p>
        </w:tc>
      </w:tr>
      <w:tr>
        <w:trPr>
          <w:trHeight w:val="24"/>
        </w:trPr>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200" w:lineRule="exact"/>
        <w:rPr>
          <w:sz w:val="20"/>
          <w:szCs w:val="20"/>
          <w:color w:val="auto"/>
        </w:rPr>
      </w:pPr>
    </w:p>
    <w:p>
      <w:pPr>
        <w:spacing w:after="0" w:line="259"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(collectively with its subsidiaries, “San Mateo”),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2020 filed with the SEC on February 26, 2021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2021. Amounts as of December 31, 2020 are derived from the Company’s audited consolidated financial statements included in the Annual Report.</w:t>
      </w:r>
    </w:p>
    <w:p>
      <w:pPr>
        <w:spacing w:after="0" w:line="71"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months ended March 31, 2021 and 2020 (in thousands).</w:t>
      </w:r>
    </w:p>
    <w:p>
      <w:pPr>
        <w:spacing w:after="0" w:line="168"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40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336,181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224,288</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Realized (loss) gain on derivatives</w:t>
            </w: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2"/>
              </w:rPr>
              <w:t>(25,913)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derivatives</w:t>
            </w:r>
          </w:p>
        </w:tc>
        <w:tc>
          <w:tcPr>
            <w:tcW w:w="40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(43,423)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136,430</w:t>
            </w:r>
          </w:p>
        </w:tc>
        <w:tc>
          <w:tcPr>
            <w:tcW w:w="0" w:type="dxa"/>
            <w:vAlign w:val="bottom"/>
          </w:tcPr>
          <w:p>
            <w:pPr>
              <w:spacing w:after="0"/>
              <w:rPr>
                <w:sz w:val="1"/>
                <w:szCs w:val="1"/>
                <w:color w:val="auto"/>
              </w:rPr>
            </w:pPr>
          </w:p>
        </w:tc>
      </w:tr>
      <w:tr>
        <w:trPr>
          <w:trHeight w:val="223"/>
        </w:trPr>
        <w:tc>
          <w:tcPr>
            <w:tcW w:w="426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40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266,845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371,585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00" w:type="dxa"/>
            <w:vAlign w:val="bottom"/>
            <w:vMerge w:val="restart"/>
          </w:tcPr>
          <w:p>
            <w:pPr>
              <w:jc w:val="right"/>
              <w:ind w:right="251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365"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28,329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purchased natural gas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10,544</w:t>
            </w:r>
          </w:p>
        </w:tc>
      </w:tr>
      <w:tr>
        <w:trPr>
          <w:trHeight w:val="248"/>
        </w:trPr>
        <w:tc>
          <w:tcPr>
            <w:tcW w:w="8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 from contracts with customers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months ended March 31, 2021 and 2020, the cost center ceiling was higher than the capitalized costs of oil and natural gas properties, and, as a result, no impairment charge was necessary.</w:t>
      </w:r>
    </w:p>
    <w:p>
      <w:pPr>
        <w:spacing w:after="0" w:line="6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Company capitalized approximately $9.5 million and $8.2 million of its general and administrative costs and approximately $0.6 million and $1.4 million of its interest expense for the three months ended March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76"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months ended March 31, 2021 and 2020 (in thousands).</w:t>
      </w:r>
    </w:p>
    <w:p>
      <w:pPr>
        <w:spacing w:after="0" w:line="14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4445</wp:posOffset>
            </wp:positionV>
            <wp:extent cx="188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Basic</w:t>
            </w:r>
          </w:p>
        </w:tc>
        <w:tc>
          <w:tcPr>
            <w:tcW w:w="1440" w:type="dxa"/>
            <w:vAlign w:val="bottom"/>
          </w:tcPr>
          <w:p>
            <w:pPr>
              <w:jc w:val="right"/>
              <w:spacing w:after="0"/>
              <w:rPr>
                <w:sz w:val="20"/>
                <w:szCs w:val="20"/>
                <w:color w:val="auto"/>
              </w:rPr>
            </w:pPr>
            <w:r>
              <w:rPr>
                <w:rFonts w:ascii="Arial" w:cs="Arial" w:eastAsia="Arial" w:hAnsi="Arial"/>
                <w:sz w:val="18"/>
                <w:szCs w:val="18"/>
                <w:color w:val="auto"/>
              </w:rPr>
              <w:t>116,807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116,607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options and restricted stock units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260" w:type="dxa"/>
            <w:vAlign w:val="bottom"/>
          </w:tcPr>
          <w:p>
            <w:pPr>
              <w:ind w:left="560"/>
              <w:spacing w:after="0"/>
              <w:rPr>
                <w:sz w:val="20"/>
                <w:szCs w:val="20"/>
                <w:color w:val="auto"/>
              </w:rPr>
            </w:pPr>
            <w:r>
              <w:rPr>
                <w:rFonts w:ascii="Arial" w:cs="Arial" w:eastAsia="Arial" w:hAnsi="Arial"/>
                <w:sz w:val="18"/>
                <w:szCs w:val="18"/>
                <w:color w:val="auto"/>
              </w:rPr>
              <w:t>Diluted weighted average common shares 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116,684</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500" w:firstLine="445"/>
        <w:spacing w:after="0" w:line="342" w:lineRule="auto"/>
        <w:rPr>
          <w:sz w:val="20"/>
          <w:szCs w:val="20"/>
          <w:color w:val="auto"/>
        </w:rPr>
      </w:pPr>
      <w:r>
        <w:rPr>
          <w:rFonts w:ascii="Arial" w:cs="Arial" w:eastAsia="Arial" w:hAnsi="Arial"/>
          <w:sz w:val="16"/>
          <w:szCs w:val="16"/>
          <w:color w:val="auto"/>
        </w:rPr>
        <w:t>A total of 1.5 million and 2.7 million options to purchase shares of Matador’s common stock were excluded from the diluted weighted average common shares outstanding for the three months ended March 31, 2021 and 2020, respectively, because their effects were anti-dilutive.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121" w:lineRule="exact"/>
        <w:rPr>
          <w:sz w:val="20"/>
          <w:szCs w:val="20"/>
          <w:color w:val="auto"/>
        </w:rPr>
      </w:pPr>
    </w:p>
    <w:p>
      <w:pPr>
        <w:ind w:right="820" w:firstLine="445"/>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three months ended March 31, 2021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r>
      <w:tr>
        <w:trPr>
          <w:trHeight w:val="230"/>
        </w:trPr>
        <w:tc>
          <w:tcPr>
            <w:tcW w:w="10260" w:type="dxa"/>
            <w:vAlign w:val="bottom"/>
          </w:tcPr>
          <w:p>
            <w:pPr>
              <w:ind w:left="14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10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10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Accretion expense</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39,129</w:t>
            </w:r>
          </w:p>
        </w:tc>
      </w:tr>
      <w:tr>
        <w:trPr>
          <w:trHeight w:val="229"/>
        </w:trPr>
        <w:tc>
          <w:tcPr>
            <w:tcW w:w="10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48"/>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38,720</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0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March 31,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121" w:lineRule="exact"/>
        <w:rPr>
          <w:sz w:val="20"/>
          <w:szCs w:val="20"/>
          <w:color w:val="auto"/>
        </w:rPr>
      </w:pPr>
    </w:p>
    <w:p>
      <w:pPr>
        <w:ind w:right="320" w:firstLine="445"/>
        <w:spacing w:after="0" w:line="286" w:lineRule="auto"/>
        <w:rPr>
          <w:sz w:val="20"/>
          <w:szCs w:val="20"/>
          <w:color w:val="auto"/>
        </w:rPr>
      </w:pPr>
      <w:r>
        <w:rPr>
          <w:rFonts w:ascii="Arial" w:cs="Arial" w:eastAsia="Arial" w:hAnsi="Arial"/>
          <w:sz w:val="17"/>
          <w:szCs w:val="17"/>
          <w:color w:val="auto"/>
        </w:rPr>
        <w:t>At March 31, 2021, the Company had (i) $1.05 billion of outstanding senior notes due 2026 (the “Notes”), (ii) $340.0 million in borrowings outstanding under its reserves-based revolving credit facility (the “Credit Agreement”), (iii) approximately $45.8 million in outstanding letters of credit issued pursuant to the Credit Agreement and (iv) $7.5 million outstanding under an unsecured U.S. Small Business Administration loan.</w:t>
      </w:r>
    </w:p>
    <w:p>
      <w:pPr>
        <w:spacing w:after="0" w:line="5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At March 31, 2021, San Mateo had $334.0 million in borrowings outstanding under its revolving credit facility (the “San Mateo Credit Facility”) and approximately $9.0 million in outstanding letters of credit issued pursuant to the San Mateo Credit Facility. Between March 31, 2021 and April 28, 2021, San Mateo repaid $19.0 million of borrowings under the San Mateo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2021, the lenders completed their review of the Company’s proved oil and natural gas reserves, and, as a result, the borrowing base was reaffirmed at $900.0 million. The Company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2023.</w:t>
      </w:r>
    </w:p>
    <w:p>
      <w:pPr>
        <w:spacing w:after="0" w:line="70"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March 31,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The San Mateo Credit Facility is non-recourse with respect to Matador and its wholly-owned subsidiaries but is guaranteed by San Mateo’s subsidiaries and secured by substantially all of San Mateo’s assets, including real property. The San Mateo Credit Facility includes an accordion feature, which provides for potential increases to up to $400.0 million, and matures December 19, 2023. At March 31, 2021, the lender commitments under the San Mateo Credit Facility were $375.0 million (subject to San Mateo’s compliance with the covenants noted below).</w:t>
      </w:r>
    </w:p>
    <w:p>
      <w:pPr>
        <w:spacing w:after="0" w:line="63"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200" w:lineRule="exact"/>
        <w:rPr>
          <w:sz w:val="20"/>
          <w:szCs w:val="20"/>
          <w:color w:val="auto"/>
        </w:rPr>
      </w:pPr>
    </w:p>
    <w:p>
      <w:pPr>
        <w:spacing w:after="0" w:line="20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consolidated interest expense, of 2.50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March 31,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At March 31, 2021, the Company had $1.05 billion of outstanding Notes, which have a 5.875% coupon rate. The Notes mature September 15, 2026, and interest is payable on the Notes semi-annually in arrears on each March 15 and September 15. The Notes are guaranteed on a senior unsecured basis by certain subsidiaries of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Company recorded an income tax provision of $2.8 million for the three months ended March 31, 2021, which resulted in an effective tax rate of 4%. The effective tax rate differed from amounts computed by applying the U.S. federal statutory rate to the pre-tax income due primarily to recording a net deferred tax liability for state taxes, primarily in New Mexico, and continuing to recognize a valuation allowance against our U.S. federal net deferred tax assets. As a result of the full-cost ceiling impairments recorded in 2020, the Company recognized a valuation allowance against its net deferred tax assets for the year ended December 31, 2020. The valuation allowance will continue to be recognized until the future deferred tax benefits are more likely than not to become utilized.</w:t>
      </w:r>
    </w:p>
    <w:p>
      <w:pPr>
        <w:spacing w:after="0" w:line="84" w:lineRule="exact"/>
        <w:rPr>
          <w:sz w:val="20"/>
          <w:szCs w:val="20"/>
          <w:color w:val="auto"/>
        </w:rPr>
      </w:pPr>
    </w:p>
    <w:p>
      <w:pPr>
        <w:jc w:val="both"/>
        <w:ind w:right="400" w:firstLine="445"/>
        <w:spacing w:after="0" w:line="263" w:lineRule="auto"/>
        <w:rPr>
          <w:sz w:val="20"/>
          <w:szCs w:val="20"/>
          <w:color w:val="auto"/>
        </w:rPr>
      </w:pPr>
      <w:r>
        <w:rPr>
          <w:rFonts w:ascii="Arial" w:cs="Arial" w:eastAsia="Arial" w:hAnsi="Arial"/>
          <w:sz w:val="18"/>
          <w:szCs w:val="18"/>
          <w:color w:val="auto"/>
        </w:rPr>
        <w:t>The Company’s effective tax rate for the three months ended March 31, 2020 was 24%. The Company’s total income tax provision for the three months ended March 31, 2020 differed from amounts computed by applying the U.S. federal statutory tax rates to pre-tax income due to the impact of permanent differences between book and tax income, as well as state taxes, primarily in New Mexico.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Dividend</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three months ended March 31, 2021, the Company’s Board of Directors (the “Board”) adopted a dividend policy and declared the Company’s first quarterly cash dividend of $0.025 per share of common stock. The dividend, which totaled $2.9 million, was paid on March 31, 2021. In April 2021, the Board declared the Company’s second quarterly cash dividend of $0.025 per share of common stock payable on June 3, 2021 to shareholders of record as of May 13,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Distributions and Contributions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March 31, 2021 and 2020, San Mateo distributed $14.8 million and $12.0 million, respectively, to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$14.2 million and $11.5 million, respectively, to a subsidiary of Five Point Energy LLC, the Company’s joint venture partner (“Five Point”). During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2020, the Company contributed $7.5 million and Five Point contributed $50.0 million of cash to San Mateo,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$20.6 million was paid to carry Matador’s proportionate interest in San Mateo and was therefore recorded in “Additional paid-in capital”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interim unaudited condensed consolidated balance sheet, net of the $4.3 million deferred tax impact to Matador related to this equity contribution.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March 31, 2021, there were no contributions to San Mateo by either the Company or Five Point.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Five Point paid to the Company $15.4 million and $14.7 million in performance incentives during the three months ended March 31, 2021 and 2020, respectively. These performance incentives are recorded when received, net of the $3.1 million deferred tax impact to Matador during the three months ended March 31, 2020, in “Additional paid-in capital” in the Company’s interim unaudited condensed consolidated balance sheets. These performance incentives for the three months ended March 31, 2021 and 2020 are also denoted as “Contributions related to formation of San Mateo” under “Financing activities” in the Company’s interim unaudited condensed consolidated statements of cash flows and changes in shareholders’ equity.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March 31, 2021,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March 31, 2021, each contract was set to expire at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varying times during 2021 and 2022. The Company had no open contracts associated with natural gas liquids (“NGL”) prices at March 31, 2021.</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vMerge w:val="restart"/>
          </w:tcPr>
          <w:p>
            <w:pPr>
              <w:jc w:val="right"/>
              <w:ind w:right="170"/>
              <w:spacing w:after="0"/>
              <w:rPr>
                <w:sz w:val="20"/>
                <w:szCs w:val="20"/>
                <w:color w:val="auto"/>
              </w:rPr>
            </w:pPr>
            <w:r>
              <w:rPr>
                <w:rFonts w:ascii="Arial" w:cs="Arial" w:eastAsia="Arial" w:hAnsi="Arial"/>
                <w:sz w:val="18"/>
                <w:szCs w:val="18"/>
                <w:b w:val="1"/>
                <w:bCs w:val="1"/>
                <w:color w:val="auto"/>
                <w:w w:val="94"/>
              </w:rPr>
              <w:t>Notional Quantity (Bbl or</w:t>
            </w:r>
          </w:p>
        </w:tc>
        <w:tc>
          <w:tcPr>
            <w:tcW w:w="1260" w:type="dxa"/>
            <w:vAlign w:val="bottom"/>
            <w:gridSpan w:val="4"/>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Average Price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252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2"/>
              </w:rPr>
              <w:t>Calculation Period</w:t>
            </w:r>
          </w:p>
        </w:tc>
        <w:tc>
          <w:tcPr>
            <w:tcW w:w="2300" w:type="dxa"/>
            <w:vAlign w:val="bottom"/>
            <w:gridSpan w:val="6"/>
            <w:vMerge w:val="continue"/>
          </w:tcPr>
          <w:p>
            <w:pPr>
              <w:spacing w:after="0"/>
              <w:rPr>
                <w:sz w:val="15"/>
                <w:szCs w:val="15"/>
                <w:color w:val="auto"/>
              </w:rPr>
            </w:pPr>
          </w:p>
        </w:tc>
        <w:tc>
          <w:tcPr>
            <w:tcW w:w="1260" w:type="dxa"/>
            <w:vAlign w:val="bottom"/>
            <w:gridSpan w:val="4"/>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Floor ($/Bbl or</w:t>
            </w:r>
          </w:p>
        </w:tc>
        <w:tc>
          <w:tcPr>
            <w:tcW w:w="120" w:type="dxa"/>
            <w:vAlign w:val="bottom"/>
          </w:tcPr>
          <w:p>
            <w:pPr>
              <w:spacing w:after="0"/>
              <w:rPr>
                <w:sz w:val="15"/>
                <w:szCs w:val="15"/>
                <w:color w:val="auto"/>
              </w:rPr>
            </w:pPr>
          </w:p>
        </w:tc>
        <w:tc>
          <w:tcPr>
            <w:tcW w:w="136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Ceiling ($/Bbl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29"/>
        </w:trPr>
        <w:tc>
          <w:tcPr>
            <w:tcW w:w="2160" w:type="dxa"/>
            <w:vAlign w:val="bottom"/>
            <w:gridSpan w:val="2"/>
            <w:vMerge w:val="continue"/>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20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MMBtu)</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$/MMBtu)</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04/01/2021 - 12/31/2021</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7,110,000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42.06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(47,967)</w:t>
            </w: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gridSpan w:val="3"/>
          </w:tcPr>
          <w:p>
            <w:pPr>
              <w:jc w:val="center"/>
              <w:spacing w:after="0"/>
              <w:rPr>
                <w:sz w:val="20"/>
                <w:szCs w:val="20"/>
                <w:color w:val="auto"/>
              </w:rPr>
            </w:pPr>
            <w:r>
              <w:rPr>
                <w:rFonts w:ascii="Arial" w:cs="Arial" w:eastAsia="Arial" w:hAnsi="Arial"/>
                <w:sz w:val="18"/>
                <w:szCs w:val="18"/>
                <w:color w:val="auto"/>
                <w:w w:val="90"/>
              </w:rPr>
              <w:t>04/01/2021 - 12/31/2021</w:t>
            </w:r>
          </w:p>
        </w:tc>
        <w:tc>
          <w:tcPr>
            <w:tcW w:w="10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32,000,000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01/01/2022 - 03/31/2022</w:t>
            </w:r>
          </w:p>
        </w:tc>
        <w:tc>
          <w:tcPr>
            <w:tcW w:w="1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6"/>
          </w:tcPr>
          <w:p>
            <w:pPr>
              <w:ind w:left="360"/>
              <w:spacing w:after="0"/>
              <w:rPr>
                <w:sz w:val="20"/>
                <w:szCs w:val="20"/>
                <w:color w:val="auto"/>
              </w:rPr>
            </w:pPr>
            <w:r>
              <w:rPr>
                <w:rFonts w:ascii="Arial" w:cs="Arial" w:eastAsia="Arial" w:hAnsi="Arial"/>
                <w:sz w:val="18"/>
                <w:szCs w:val="18"/>
                <w:color w:val="auto"/>
              </w:rPr>
              <w:t>Total open costless collar contracts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(46,427)</w:t>
            </w:r>
          </w:p>
        </w:tc>
        <w:tc>
          <w:tcPr>
            <w:tcW w:w="0" w:type="dxa"/>
            <w:vAlign w:val="bottom"/>
          </w:tcPr>
          <w:p>
            <w:pPr>
              <w:spacing w:after="0"/>
              <w:rPr>
                <w:sz w:val="1"/>
                <w:szCs w:val="1"/>
                <w:color w:val="auto"/>
              </w:rPr>
            </w:pPr>
          </w:p>
        </w:tc>
      </w:tr>
      <w:tr>
        <w:trPr>
          <w:trHeight w:val="21"/>
        </w:trPr>
        <w:tc>
          <w:tcPr>
            <w:tcW w:w="7760" w:type="dxa"/>
            <w:vAlign w:val="bottom"/>
            <w:gridSpan w:val="13"/>
            <w:vMerge w:val="restart"/>
          </w:tcPr>
          <w:p>
            <w:pPr>
              <w:ind w:left="460"/>
              <w:spacing w:after="0"/>
              <w:rPr>
                <w:sz w:val="20"/>
                <w:szCs w:val="20"/>
                <w:color w:val="auto"/>
              </w:rPr>
            </w:pPr>
            <w:r>
              <w:rPr>
                <w:rFonts w:ascii="Arial" w:cs="Arial" w:eastAsia="Arial" w:hAnsi="Arial"/>
                <w:sz w:val="18"/>
                <w:szCs w:val="18"/>
                <w:color w:val="auto"/>
                <w:w w:val="98"/>
              </w:rPr>
              <w:t>The following is a summary of the Company’s open swap contracts for oil at March 31, 2021.</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760" w:type="dxa"/>
            <w:vAlign w:val="bottom"/>
            <w:gridSpan w:val="1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3"/>
              </w:rPr>
              <w:t>Notional Quantity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4"/>
            <w:vMerge w:val="restart"/>
          </w:tcPr>
          <w:p>
            <w:pPr>
              <w:jc w:val="center"/>
              <w:ind w:right="400"/>
              <w:spacing w:after="0"/>
              <w:rPr>
                <w:sz w:val="20"/>
                <w:szCs w:val="20"/>
                <w:color w:val="auto"/>
              </w:rPr>
            </w:pPr>
            <w:r>
              <w:rPr>
                <w:rFonts w:ascii="Arial" w:cs="Arial" w:eastAsia="Arial" w:hAnsi="Arial"/>
                <w:sz w:val="18"/>
                <w:szCs w:val="18"/>
                <w:b w:val="1"/>
                <w:bCs w:val="1"/>
                <w:color w:val="auto"/>
                <w:w w:val="91"/>
              </w:rPr>
              <w:t>Fixed Price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29"/>
        </w:trPr>
        <w:tc>
          <w:tcPr>
            <w:tcW w:w="216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center"/>
              <w:ind w:right="750"/>
              <w:spacing w:after="0"/>
              <w:rPr>
                <w:sz w:val="20"/>
                <w:szCs w:val="20"/>
                <w:color w:val="auto"/>
              </w:rPr>
            </w:pPr>
            <w:r>
              <w:rPr>
                <w:rFonts w:ascii="Arial" w:cs="Arial" w:eastAsia="Arial" w:hAnsi="Arial"/>
                <w:sz w:val="18"/>
                <w:szCs w:val="18"/>
                <w:b w:val="1"/>
                <w:bCs w:val="1"/>
                <w:color w:val="auto"/>
                <w:w w:val="91"/>
              </w:rPr>
              <w:t>Calculation Period</w:t>
            </w:r>
          </w:p>
        </w:tc>
        <w:tc>
          <w:tcPr>
            <w:tcW w:w="1060" w:type="dxa"/>
            <w:vAlign w:val="bottom"/>
            <w:gridSpan w:val="4"/>
          </w:tcPr>
          <w:p>
            <w:pPr>
              <w:jc w:val="center"/>
              <w:ind w:right="570"/>
              <w:spacing w:after="0"/>
              <w:rPr>
                <w:sz w:val="20"/>
                <w:szCs w:val="20"/>
                <w:color w:val="auto"/>
              </w:rPr>
            </w:pPr>
            <w:r>
              <w:rPr>
                <w:rFonts w:ascii="Arial" w:cs="Arial" w:eastAsia="Arial" w:hAnsi="Arial"/>
                <w:sz w:val="18"/>
                <w:szCs w:val="18"/>
                <w:b w:val="1"/>
                <w:bCs w:val="1"/>
                <w:color w:val="auto"/>
                <w:w w:val="97"/>
              </w:rPr>
              <w:t>(Bbl)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($/Bbl)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04/01/2021 - 12/31/2021</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1,530,000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Total open swap contracts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basis swap contracts for oil at March 31, 2021.</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Fair Value of</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Notional Quantity</w:t>
            </w:r>
          </w:p>
        </w:tc>
        <w:tc>
          <w:tcPr>
            <w:tcW w:w="260" w:type="dxa"/>
            <w:vAlign w:val="bottom"/>
          </w:tcPr>
          <w:p>
            <w:pPr>
              <w:spacing w:after="0"/>
              <w:rPr>
                <w:sz w:val="15"/>
                <w:szCs w:val="15"/>
                <w:color w:val="auto"/>
              </w:rPr>
            </w:pPr>
          </w:p>
        </w:tc>
        <w:tc>
          <w:tcPr>
            <w:tcW w:w="1760" w:type="dxa"/>
            <w:vAlign w:val="bottom"/>
            <w:gridSpan w:val="3"/>
            <w:vMerge w:val="restart"/>
          </w:tcPr>
          <w:p>
            <w:pPr>
              <w:jc w:val="right"/>
              <w:ind w:right="630"/>
              <w:spacing w:after="0"/>
              <w:rPr>
                <w:sz w:val="20"/>
                <w:szCs w:val="20"/>
                <w:color w:val="auto"/>
              </w:rPr>
            </w:pPr>
            <w:r>
              <w:rPr>
                <w:rFonts w:ascii="Arial" w:cs="Arial" w:eastAsia="Arial" w:hAnsi="Arial"/>
                <w:sz w:val="18"/>
                <w:szCs w:val="18"/>
                <w:b w:val="1"/>
                <w:bCs w:val="1"/>
                <w:color w:val="auto"/>
              </w:rPr>
              <w:t>Fixed Price</w:t>
            </w:r>
          </w:p>
        </w:tc>
        <w:tc>
          <w:tcPr>
            <w:tcW w:w="126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2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56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(Bbl)</w:t>
            </w:r>
          </w:p>
        </w:tc>
        <w:tc>
          <w:tcPr>
            <w:tcW w:w="260" w:type="dxa"/>
            <w:vAlign w:val="bottom"/>
          </w:tcPr>
          <w:p>
            <w:pPr>
              <w:spacing w:after="0"/>
              <w:rPr>
                <w:sz w:val="19"/>
                <w:szCs w:val="19"/>
                <w:color w:val="auto"/>
              </w:rPr>
            </w:pPr>
          </w:p>
        </w:tc>
        <w:tc>
          <w:tcPr>
            <w:tcW w:w="17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($/Bbl)</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(thousands)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04/01/2021 - 12/31/2021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Oil Basis</w:t>
            </w:r>
          </w:p>
        </w:tc>
        <w:tc>
          <w:tcPr>
            <w:tcW w:w="2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01/01/2022 - 12/31/2022</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5,520,000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open basis swap contracts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2021, the aggregate liability value for the Company’s open derivative financial instruments was $79.3 million.</w:t>
      </w:r>
    </w:p>
    <w:p>
      <w:pPr>
        <w:spacing w:after="0" w:line="11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200" w:lineRule="exact"/>
        <w:rPr>
          <w:sz w:val="20"/>
          <w:szCs w:val="20"/>
          <w:color w:val="auto"/>
        </w:rPr>
      </w:pPr>
    </w:p>
    <w:p>
      <w:pPr>
        <w:spacing w:after="0" w:line="205"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March 31, 2021 and December 31, 2020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 amounts</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presented in the</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4"/>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condensed</w:t>
            </w:r>
          </w:p>
        </w:tc>
        <w:tc>
          <w:tcPr>
            <w:tcW w:w="0" w:type="dxa"/>
            <w:vAlign w:val="bottom"/>
          </w:tcPr>
          <w:p>
            <w:pPr>
              <w:spacing w:after="0"/>
              <w:rPr>
                <w:sz w:val="1"/>
                <w:szCs w:val="1"/>
                <w:color w:val="auto"/>
              </w:rPr>
            </w:pPr>
          </w:p>
        </w:tc>
      </w:tr>
      <w:tr>
        <w:trPr>
          <w:trHeight w:val="175"/>
        </w:trPr>
        <w:tc>
          <w:tcPr>
            <w:tcW w:w="6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60" w:type="dxa"/>
            <w:vAlign w:val="bottom"/>
          </w:tcPr>
          <w:p>
            <w:pPr>
              <w:spacing w:after="0"/>
              <w:rPr>
                <w:sz w:val="15"/>
                <w:szCs w:val="15"/>
                <w:color w:val="auto"/>
              </w:rPr>
            </w:pPr>
          </w:p>
        </w:tc>
        <w:tc>
          <w:tcPr>
            <w:tcW w:w="150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87"/>
              </w:rPr>
              <w:t>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6"/>
              </w:rPr>
              <w:t>consolidated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377,949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(373,878)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(83,805)</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2020</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382,328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(375,601)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(45,186)</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Type of Instrument</w:t>
            </w:r>
          </w:p>
        </w:tc>
        <w:tc>
          <w:tcPr>
            <w:tcW w:w="6680" w:type="dxa"/>
            <w:vAlign w:val="bottom"/>
            <w:gridSpan w:val="2"/>
          </w:tcPr>
          <w:p>
            <w:pPr>
              <w:ind w:left="138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24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6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360"/>
              <w:spacing w:after="0"/>
              <w:rPr>
                <w:sz w:val="20"/>
                <w:szCs w:val="20"/>
                <w:color w:val="auto"/>
              </w:rPr>
            </w:pPr>
            <w:r>
              <w:rPr>
                <w:rFonts w:ascii="Arial" w:cs="Arial" w:eastAsia="Arial" w:hAnsi="Arial"/>
                <w:sz w:val="18"/>
                <w:szCs w:val="18"/>
                <w:color w:val="auto"/>
              </w:rPr>
              <w:t>Oil</w:t>
            </w: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Revenues: Realized (loss) gain on derivatives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gain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gridSpan w:val="4"/>
          </w:tcPr>
          <w:p>
            <w:pPr>
              <w:ind w:left="560"/>
              <w:spacing w:after="0"/>
              <w:rPr>
                <w:sz w:val="20"/>
                <w:szCs w:val="20"/>
                <w:color w:val="auto"/>
              </w:rPr>
            </w:pPr>
            <w:r>
              <w:rPr>
                <w:rFonts w:ascii="Arial" w:cs="Arial" w:eastAsia="Arial" w:hAnsi="Arial"/>
                <w:sz w:val="18"/>
                <w:szCs w:val="18"/>
                <w:color w:val="auto"/>
              </w:rPr>
              <w:t>Realized (loss) gain on derivatives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23"/>
        </w:trPr>
        <w:tc>
          <w:tcPr>
            <w:tcW w:w="2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Oil</w:t>
            </w: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136,430</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Natural Gas</w:t>
            </w: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Revenues: Unrealized loss on derivatives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Unrealized (loss) gain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136,430</w:t>
            </w:r>
          </w:p>
        </w:tc>
        <w:tc>
          <w:tcPr>
            <w:tcW w:w="0" w:type="dxa"/>
            <w:vAlign w:val="bottom"/>
          </w:tcPr>
          <w:p>
            <w:pPr>
              <w:spacing w:after="0"/>
              <w:rPr>
                <w:sz w:val="1"/>
                <w:szCs w:val="1"/>
                <w:color w:val="auto"/>
              </w:rPr>
            </w:pPr>
          </w:p>
        </w:tc>
      </w:tr>
      <w:tr>
        <w:trPr>
          <w:trHeight w:val="223"/>
        </w:trPr>
        <w:tc>
          <w:tcPr>
            <w:tcW w:w="2320" w:type="dxa"/>
            <w:vAlign w:val="bottom"/>
            <w:gridSpan w:val="2"/>
          </w:tcPr>
          <w:p>
            <w:pPr>
              <w:ind w:left="1120"/>
              <w:spacing w:after="0"/>
              <w:rPr>
                <w:sz w:val="20"/>
                <w:szCs w:val="20"/>
                <w:color w:val="auto"/>
              </w:rPr>
            </w:pPr>
            <w:r>
              <w:rPr>
                <w:rFonts w:ascii="Arial" w:cs="Arial" w:eastAsia="Arial" w:hAnsi="Arial"/>
                <w:sz w:val="18"/>
                <w:szCs w:val="18"/>
                <w:color w:val="auto"/>
              </w:rPr>
              <w:t>Total</w:t>
            </w:r>
          </w:p>
        </w:tc>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147,297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vMerge w:val="restart"/>
          </w:tcPr>
          <w:p>
            <w:pPr>
              <w:ind w:left="3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for identical, unrestricted assets or liabilities in active markets.</w:t>
      </w:r>
    </w:p>
    <w:p>
      <w:pPr>
        <w:spacing w:after="0" w:line="117" w:lineRule="exact"/>
        <w:rPr>
          <w:sz w:val="20"/>
          <w:szCs w:val="20"/>
          <w:color w:val="auto"/>
        </w:rPr>
      </w:pPr>
    </w:p>
    <w:p>
      <w:pPr>
        <w:ind w:left="660" w:right="60" w:hanging="647"/>
        <w:spacing w:after="0" w:line="255" w:lineRule="auto"/>
        <w:tabs>
          <w:tab w:leader="none" w:pos="640" w:val="left"/>
        </w:tabs>
        <w:rPr>
          <w:sz w:val="20"/>
          <w:szCs w:val="20"/>
          <w:color w:val="auto"/>
        </w:rPr>
      </w:pPr>
      <w:r>
        <w:rPr>
          <w:rFonts w:ascii="Arial" w:cs="Arial" w:eastAsia="Arial" w:hAnsi="Arial"/>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not corroborated by market data that reflect a company’s own market assumptions.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March 31, 2021 and December 31, 2020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gridSpan w:val="7"/>
          </w:tcPr>
          <w:p>
            <w:pPr>
              <w:ind w:left="20"/>
              <w:spacing w:after="0"/>
              <w:rPr>
                <w:sz w:val="20"/>
                <w:szCs w:val="20"/>
                <w:color w:val="auto"/>
              </w:rPr>
            </w:pPr>
            <w:r>
              <w:rPr>
                <w:rFonts w:ascii="Arial" w:cs="Arial" w:eastAsia="Arial" w:hAnsi="Arial"/>
                <w:sz w:val="18"/>
                <w:szCs w:val="18"/>
                <w:b w:val="1"/>
                <w:bCs w:val="1"/>
                <w:color w:val="auto"/>
                <w:w w:val="91"/>
              </w:rPr>
              <w:t>Fair Value Measurements at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March 31, 2021 using</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(80,852)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(80,852)</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23"/>
        </w:trPr>
        <w:tc>
          <w:tcPr>
            <w:tcW w:w="70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(79,312)</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Fair Value Measurements at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88"/>
              </w:rPr>
              <w:t>December 31, 2020 using</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(41,584)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(41,584)</w:t>
            </w:r>
          </w:p>
        </w:tc>
      </w:tr>
      <w:tr>
        <w:trPr>
          <w:trHeight w:val="23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r>
      <w:tr>
        <w:trPr>
          <w:trHeight w:val="223"/>
        </w:trPr>
        <w:tc>
          <w:tcPr>
            <w:tcW w:w="70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(35,889)</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At March 31, 2021 and December 31, 2020,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57"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At March 31, 2021 and December 31, 2020,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 — Continued</w:t>
      </w:r>
    </w:p>
    <w:p>
      <w:pPr>
        <w:spacing w:after="0" w:line="200" w:lineRule="exact"/>
        <w:rPr>
          <w:sz w:val="20"/>
          <w:szCs w:val="20"/>
          <w:color w:val="auto"/>
        </w:rPr>
      </w:pPr>
    </w:p>
    <w:p>
      <w:pPr>
        <w:spacing w:after="0" w:line="205"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At March 31, 2021 and December 31, 2020, the fair value of the Notes was $1.02 billion and $1.03 billion, respectively, based on quoted market prices, which represent Level 1 inputs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$12.6 million and $11.0 million for deliveries under these agreements during the three months ended March 31, 2021 and 2020,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2021, the total deficiencies required to be paid by the Company under these agreements would be approximately $615.2 million.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Commitments</w:t>
      </w:r>
    </w:p>
    <w:p>
      <w:pPr>
        <w:spacing w:after="0" w:line="11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the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March 31, 2021 was approximately $470.1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current accrued liabilities at March 31, 2021 and December 31, 2020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29"/>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evaluated and unproved and unevaluated property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Accrued midstream properties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12,776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lease 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interest on debt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18,315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asset retirement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partners’ share of joint interest charges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payable related to purchased natural gas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11,331</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supplemental disclosures of cash flow information for the three months ended March 31, 2021 and 2020 (in thousands).</w:t>
      </w:r>
    </w:p>
    <w:p>
      <w:pPr>
        <w:spacing w:after="0" w:line="246"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ind w:left="932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expense, net of amounts capitalized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in liabilities for drilling, completion and equipping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35,714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liabilities for acquisition of oil and natural gas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Decrease in liabilities for midstream properties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(5,579)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(benefit) recognized as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Transfer of inventory (to) from oil and natural gas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r>
    </w:tbl>
    <w:p>
      <w:pPr>
        <w:spacing w:after="0" w:line="18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63"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ind w:left="932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29,732</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which comprise most of the Company’s midstream operations, are conducted through San Mateo. San Mateo and its subsidiaries are not guarantors of the Notes.</w:t>
      </w:r>
    </w:p>
    <w:p>
      <w:pPr>
        <w:spacing w:after="0" w:line="49" w:lineRule="exact"/>
        <w:rPr>
          <w:sz w:val="20"/>
          <w:szCs w:val="20"/>
          <w:color w:val="auto"/>
        </w:rPr>
      </w:pPr>
    </w:p>
    <w:p>
      <w:pPr>
        <w:ind w:right="200" w:firstLine="445"/>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Corporate</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314,646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316,233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(28,471)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2"/>
              </w:rPr>
              <w:t>(28,471)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21,297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(19,962)</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134,865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144,771</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460" w:hanging="332"/>
        <w:spacing w:after="0" w:line="273"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$66.4 million and $7.8 million for the exploration and production and midstream segments, respectively. Also includes corporate depletion, depreciation and amortization expenses of $0.7 million.</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$8.9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$8.7 million attributable to land and seismic acquisition expenditures related to the exploration and production segment and $4.4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Corporate</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196,795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197,914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(21,919)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136,430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2"/>
              </w:rPr>
              <w:t>(21,919)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178,053</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186,362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(14,317)</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193,532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4,333,671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209,735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68,073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278,595</w:t>
            </w:r>
          </w:p>
        </w:tc>
        <w:tc>
          <w:tcPr>
            <w:tcW w:w="0" w:type="dxa"/>
            <w:vAlign w:val="bottom"/>
          </w:tcPr>
          <w:p>
            <w:pPr>
              <w:spacing w:after="0"/>
              <w:rPr>
                <w:sz w:val="1"/>
                <w:szCs w:val="1"/>
                <w:color w:val="auto"/>
              </w:rPr>
            </w:pPr>
          </w:p>
        </w:tc>
      </w:tr>
      <w:tr>
        <w:trPr>
          <w:trHeight w:val="21"/>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440" w:hanging="332"/>
        <w:spacing w:after="0" w:line="293"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$85.2 million and $4.8 million for the exploration and production and midstream segments, respectively. Also includes corporate depletion, depreciation and amortization expenses of $0.7 million.</w:t>
      </w:r>
    </w:p>
    <w:p>
      <w:pPr>
        <w:spacing w:after="0" w:line="52"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$9.4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0" w:hanging="332"/>
        <w:spacing w:after="0" w:line="273"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$39.7 million attributable to land and seismic acquisition expenditures related to the exploration and production segment and $47.6 million in capital expenditures attributable to non-controlling interest in subsidiaries related to the midstream segment.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2020 (the “Annual Report”) filed with the Securities and Exchange Commission (the “SEC”) on February 26, 2021,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4"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6"/>
          <w:szCs w:val="16"/>
          <w:color w:val="0A0A0A"/>
        </w:rPr>
        <w:t>general economic conditions;</w:t>
      </w:r>
      <w:r>
        <w:rPr>
          <w:rFonts w:ascii="Arial" w:cs="Arial" w:eastAsia="Arial" w:hAnsi="Arial"/>
          <w:sz w:val="16"/>
          <w:szCs w:val="16"/>
          <w:color w:val="auto"/>
        </w:rPr>
        <w:t xml:space="preserve"> </w:t>
      </w:r>
      <w:r>
        <w:rPr>
          <w:rFonts w:ascii="Arial" w:cs="Arial" w:eastAsia="Arial" w:hAnsi="Arial"/>
          <w:sz w:val="16"/>
          <w:szCs w:val="16"/>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San Mateo’s Black River cryogenic natural gas processing plant; the timing and operating results of the buildout by San Mateo of oil, natural gas and water gathering and transportation systems and the drilling of any additional salt water disposal wells; </w:t>
      </w:r>
      <w:r>
        <w:rPr>
          <w:rFonts w:ascii="Arial" w:cs="Arial" w:eastAsia="Arial" w:hAnsi="Arial"/>
          <w:sz w:val="16"/>
          <w:szCs w:val="16"/>
          <w:color w:val="000000"/>
        </w:rPr>
        <w:t>and the other factors discussed below and elsewhere in this Quarterly Report and in other documents that we file with or furnish to the SEC, all of</w:t>
      </w:r>
      <w:r>
        <w:rPr>
          <w:rFonts w:ascii="Arial" w:cs="Arial" w:eastAsia="Arial" w:hAnsi="Arial"/>
          <w:sz w:val="16"/>
          <w:szCs w:val="16"/>
          <w:color w:val="0A0A0A"/>
        </w:rPr>
        <w:t xml:space="preserve"> </w:t>
      </w:r>
      <w:r>
        <w:rPr>
          <w:rFonts w:ascii="Arial" w:cs="Arial" w:eastAsia="Arial" w:hAnsi="Arial"/>
          <w:sz w:val="16"/>
          <w:szCs w:val="16"/>
          <w:color w:val="000000"/>
        </w:rPr>
        <w:t>which are difficult to predict. Forward-looking statements may include statements about:</w:t>
      </w:r>
    </w:p>
    <w:p>
      <w:pPr>
        <w:spacing w:after="0" w:line="6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 including whether or not a full-cost ceiling impairment could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timing and payment of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of oil, natural gas and natural gas liquids;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natural gas and natural gas liquids prices, including our realized prices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of its Black River cryogenic natural gas processing plant and the drilling of additional salt water disposal wells;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the oil and natural gas industry and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Highlights</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For the three months ended March 31, 2021, our total oil equivalent production was 6.7 million BOE, and our average daily oil equivalent production was 74,000 BOE per day, of which 41,500 Bbl per day, or 56%, was oil and 194.7 MMcf per day, or 44%, was natural gas. Our average daily oil production of 41,500 Bbl per day for the three months ended March 31, 2021 increased 2% year-over-year from 40,600 Bbl per day for the three months ended March 31, 2020. Our average daily natural gas production of 194.7 MMcf per day for the three months ended March 31, 2021 increased 6% year-over-year from 183.2 MMcf per day for the three months ended March 31, 2020.</w:t>
      </w:r>
    </w:p>
    <w:p>
      <w:pPr>
        <w:spacing w:after="0" w:line="80"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For the first quarter of 2021, we reported net income attributable to Matador shareholders of $60.6 million, or $0.51 per diluted common share, on a generally accepted accounting principles in the United States (“GAAP”) basis, as compared to net income attributable to Matador shareholders of $125.7 million, or $1.08 per diluted common share, for the first quarter of 2020. For the first quarter of 2021, our Adjusted EBITDA attributable to Matador shareholders (“Adjusted EBITDA”), a non-GAAP financial measure, was $198.1 million, as compared to Adjusted EBITDA of $140.6 million during the first quarter of 2020. For a definition of Adjusted EBITDA and a reconciliation of Adjusted EBITDA to our net income and net cash provided by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activities, see “—Liquidity and Capital Resources—Non-GAAP Financial Measures.” For more information regarding our financial results for the three months ended March 31, 2021, see “—Results of Operations”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We began 2021 operating three drilling rigs in the Delaware Basin, as we continued to focus on the exploration, delineation and development of our Delaware Basin acreage in Loving County, Texas and Lea and Eddy Counties, New Mexico. In March 2021, we added a fourth rig to our operated drilling program and currently plan to operate four rigs in the Delaware Basin throughout the remainder of 2021 but have the flexibility to reduce the number of rigs based upon market conditions or other factors. Two of these rigs are anticipated to operate in our Stateline asset area, and two of these rigs are expected to operate primarily in the southern portion of the Arrowhead asset area (the “Greater Stebbins Area”) and in the Rodney Robinson leasehold in the western portion of the Antelope Ridge asset area during the remainder of 2021.</w:t>
      </w:r>
    </w:p>
    <w:p>
      <w:pPr>
        <w:spacing w:after="0" w:line="70" w:lineRule="exact"/>
        <w:rPr>
          <w:sz w:val="20"/>
          <w:szCs w:val="20"/>
          <w:color w:val="auto"/>
        </w:rPr>
      </w:pPr>
    </w:p>
    <w:p>
      <w:pPr>
        <w:ind w:right="160" w:firstLine="445"/>
        <w:spacing w:after="0" w:line="272" w:lineRule="auto"/>
        <w:rPr>
          <w:sz w:val="20"/>
          <w:szCs w:val="20"/>
          <w:color w:val="auto"/>
        </w:rPr>
      </w:pPr>
      <w:r>
        <w:rPr>
          <w:rFonts w:ascii="Arial" w:cs="Arial" w:eastAsia="Arial" w:hAnsi="Arial"/>
          <w:sz w:val="17"/>
          <w:szCs w:val="17"/>
          <w:color w:val="auto"/>
        </w:rPr>
        <w:t>We completed and turned to sales a total of 16 gross (6.0 net) wells in the Delaware Basin during the first quarter of 2021, including six gross (5.1 net) operated wells and 10 gross (0.9 net) non-operated wells. During the first quarter of 2021, we completed and turned to sales a total of eight gross (4.0 net) wells in the Antelope Ridge asset area, including four gross (3.8 net) operated wells and four gross (0.2 net) non-operated wells. Of the four gross operated wells completed and turned to sales in the Antelope Ridge asset area, all were on the Rodney Robinson leasehold; two were Wolfcamp A-XY completions and two were Third Bone Spring completions. In the Ranger asset area, we began producing oil and natural gas from two gross (1.3 net) operated wells during the first quarter of 2021, both of which were Second Bone Spring completions. In the Rustler Breaks asset area, we participated in six gross (0.7 net) non-operated wells turned to sales in the first quarter of 2021.</w:t>
      </w:r>
    </w:p>
    <w:p>
      <w:pPr>
        <w:spacing w:after="0" w:line="69"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Our average daily oil equivalent production in the Delaware Basin for the first quarter of 2021 was 68,000 BOE per day, consisting of 39,900 Bbl of oil per day and 168.5 MMcf of natural gas per day, a 13% increase from 60,300 BOE per day, consisting of 38,500 Bbl of oil per day and 130.9 MMcf of natural gas per day, in the first quarter of 2020. The Delaware Basin contributed approximately 96% of our daily oil production and approximately 87% of our daily natural gas production in the first quarter of 2021, as compared to approximately 95% of our daily oil production and approximately 71% of our daily natural gas production in the first quarter of 2020.</w:t>
      </w:r>
    </w:p>
    <w:p>
      <w:pPr>
        <w:spacing w:after="0" w:line="80"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During the first quarter of 2021, we did not complete and turn to sales any operated or non-operated wells on our leasehold properties in the Eagle Ford shale play in South Texas or in the Haynesville shale and Cotton Valley plays in Northwest Louisiana.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Update</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In February 2021, our Board of Directors (the “Board”) adopted a dividend policy and declared our first quarterly cash dividend of $0.025 per share of common stock, which was paid on March 31, 2021. In April 2021, the Board declared our second quarterly cash dividend of $0.025 per share of common stock payable on June 3, 2021 to shareholders of record as of May 13, 2021.</w:t>
      </w:r>
    </w:p>
    <w:p>
      <w:pPr>
        <w:spacing w:after="0" w:line="76"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During the first quarter of 2021, we repaid $100.0 million of the borrowings under our third amended and restated credit agreement (the “Credit Agreement”). Our outstanding borrowings under our Credit Agreement at March 31, 2021 were $340.0 million.</w:t>
      </w:r>
    </w:p>
    <w:p>
      <w:pPr>
        <w:spacing w:after="0" w:line="6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April 2021, the lenders under our Credit Agreement, led by Royal Bank of Canada, completed their review of our proved oil and natural gas reserves, and, as a result, the borrowing base was reaffirmed at $900.0 million. The Company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borrowing commitment.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3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ind w:left="9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12"/>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Oil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213,279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169,585</w:t>
            </w:r>
          </w:p>
        </w:tc>
      </w:tr>
      <w:tr>
        <w:trPr>
          <w:trHeight w:val="230"/>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28,329</w:t>
            </w:r>
          </w:p>
        </w:tc>
      </w:tr>
      <w:tr>
        <w:trPr>
          <w:trHeight w:val="223"/>
        </w:trPr>
        <w:tc>
          <w:tcPr>
            <w:tcW w:w="8860" w:type="dxa"/>
            <w:vAlign w:val="bottom"/>
          </w:tcPr>
          <w:p>
            <w:pPr>
              <w:ind w:left="68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197,914</w:t>
            </w:r>
          </w:p>
        </w:tc>
      </w:tr>
      <w:tr>
        <w:trPr>
          <w:trHeight w:val="230"/>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Sales of 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10,544</w:t>
            </w:r>
          </w:p>
        </w:tc>
      </w:tr>
      <w:tr>
        <w:trPr>
          <w:trHeight w:val="229"/>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(loss) gain on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r>
      <w:tr>
        <w:trPr>
          <w:trHeight w:val="230"/>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(loss) gain on derivatives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136,430</w:t>
            </w:r>
          </w:p>
        </w:tc>
      </w:tr>
      <w:tr>
        <w:trPr>
          <w:trHeight w:val="223"/>
        </w:trPr>
        <w:tc>
          <w:tcPr>
            <w:tcW w:w="8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371,585</w:t>
            </w:r>
          </w:p>
        </w:tc>
      </w:tr>
      <w:tr>
        <w:trPr>
          <w:trHeight w:val="230"/>
        </w:trPr>
        <w:tc>
          <w:tcPr>
            <w:tcW w:w="88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3"/>
                <w:szCs w:val="23"/>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Oil (MBbl)</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29"/>
        </w:trPr>
        <w:tc>
          <w:tcPr>
            <w:tcW w:w="8860" w:type="dxa"/>
            <w:vAlign w:val="bottom"/>
          </w:tcPr>
          <w:p>
            <w:pPr>
              <w:ind w:left="360"/>
              <w:spacing w:after="0" w:line="230" w:lineRule="exact"/>
              <w:rPr>
                <w:sz w:val="20"/>
                <w:szCs w:val="20"/>
                <w:color w:val="auto"/>
              </w:rPr>
            </w:pPr>
            <w:r>
              <w:rPr>
                <w:rFonts w:ascii="Arial" w:cs="Arial" w:eastAsia="Arial" w:hAnsi="Arial"/>
                <w:sz w:val="18"/>
                <w:szCs w:val="18"/>
                <w:color w:val="auto"/>
              </w:rPr>
              <w:t>Natural gas (Bcf)</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860" w:type="dxa"/>
            <w:vAlign w:val="bottom"/>
            <w:shd w:val="clear" w:color="auto" w:fill="CCEEFF"/>
          </w:tcPr>
          <w:p>
            <w:pPr>
              <w:ind w:left="760"/>
              <w:spacing w:after="0" w:line="23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r>
      <w:tr>
        <w:trPr>
          <w:trHeight w:val="229"/>
        </w:trPr>
        <w:tc>
          <w:tcPr>
            <w:tcW w:w="8860" w:type="dxa"/>
            <w:vAlign w:val="bottom"/>
          </w:tcPr>
          <w:p>
            <w:pPr>
              <w:ind w:left="760"/>
              <w:spacing w:after="0" w:line="23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71,161</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Oil, without realized derivatives (per Bbl)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r>
      <w:tr>
        <w:trPr>
          <w:trHeight w:val="230"/>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with realized derivatives (per Bbl)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Natural gas, without realized derivatives (per Mcf)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with realized derivatives (per Mcf)</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280" w:hanging="332"/>
        <w:spacing w:after="0" w:line="273"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 thousand Bbl of oil.</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 thousand Bbl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2021 as Compared to Three Months Ended March 31, 2020</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$118.3 million, or 60%, to $316.2 million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2021, as compared to $197.9 million for the three months ended March 31, 2020. Our oil revenues increased $43.7 million, or 26%, to $213.3 million for the three months ended March 31, 2021, as compared to $169.6 million for the three months ended March 31, 2020. This increase in oil revenues primarily resulted from a 24% increase in the weighted average oil price realized for the three months ended March 31, 2021 to $57.05 per Bbl, as compared to $45.87 per Bbl for the three months ended March 31, 2020. Our natural gas revenues increased $74.6 million, or approximately 3.6-fold, to $103.0 million for the three months ended March 31, 2021, as compared to $28.3 million for the three months ended March 31, 2020. The increase in natural gas revenues primarily resulted from an approximately 3.5-fold increase in the weighted average natural gas price realized for the three months ended March 31, 2021 to $5.88 per Mcf, as compared to a weighted average natural gas price of $1.70 per Mcf realized for the three months ended March 31, 2020. The increase in natural gas revenues was also attributable to the 5% increase in our natural gas production to 17.5 Bcf for the three months ended March 31, 2021, as compared to 16.7 Bcf for the three months ended March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decreased $0.4 million, or 2%, to $15.4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2021, as compared to $15.8 million for the three months ended March 31, 2020. Third-party midstream services revenues are those revenues from midstream operations related to third parties, including working interest owners in our operated wells. This decrease was primarily attributable to (i) a decrease in our third-party natural gas gathering, transportation and processing revenues to $6.8 million for the three months ended March 31, 2021, as compared to $7.1 million for the three months ended March 31, 2020, and (ii) a decrease in our produced water gathering and disposal revenues to $6.5 million for the three months ended March 31, 2021, as compared to $6.7 million for the three months ended March 31, 2020. These decreases were partially offset by an increase in our third-party oil gathering and transportation revenues to $2.2 million for the three months ended March 31, 2021, as compared to $2.0 million for the three months ended March 31, 2020.</w:t>
      </w:r>
    </w:p>
    <w:p>
      <w:pPr>
        <w:spacing w:after="0" w:line="70"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i w:val="1"/>
          <w:iCs w:val="1"/>
          <w:color w:val="auto"/>
        </w:rPr>
        <w:t xml:space="preserve">Sales of purchased natural gas. </w:t>
      </w:r>
      <w:r>
        <w:rPr>
          <w:rFonts w:ascii="Arial" w:cs="Arial" w:eastAsia="Arial" w:hAnsi="Arial"/>
          <w:sz w:val="16"/>
          <w:szCs w:val="16"/>
          <w:color w:val="auto"/>
        </w:rPr>
        <w:t>Our sales of purchased natural gas decreased $6.0 million, or 57%, to $4.5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as compared to $10.5 million for the three months ended March 31, 2020. This decrease was primarily the result of a decrease in purchased natural gas volumes sold during the three months ended March 31, 2021.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5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i w:val="1"/>
          <w:iCs w:val="1"/>
          <w:color w:val="auto"/>
        </w:rPr>
        <w:t xml:space="preserve">Realized (loss) gain on derivatives. </w:t>
      </w:r>
      <w:r>
        <w:rPr>
          <w:rFonts w:ascii="Arial" w:cs="Arial" w:eastAsia="Arial" w:hAnsi="Arial"/>
          <w:sz w:val="18"/>
          <w:szCs w:val="18"/>
          <w:color w:val="auto"/>
        </w:rPr>
        <w:t>Our realized net loss on derivatives was $25.9 million for the three months ended March 31, 2021,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realized net gain of $10.9 million for the three months ended March 31, 2020. We realized a net loss of $26.1 million related to our oil costless collar and swap contracts for the three months ended March 31, 2021, resulting primarily from oil prices that were above the ceiling prices of certain of our oil costless collar contracts and above the strike prices of certain of our oil swap and oil basis swap contracts. We realized a net gain of $0.2 million related to our natural gas costless collar contracts for the three months ended March 31, 2021, resulting primarily from natural gas prices that were below the floor prices of certain of our natural gas costless collar contracts. We realized an average loss on our oil derivatives of approximately $6.97 per Bbl produced during the three months ended March 31, 2021, as compared to an average gain of approximately $2.94 per Bbl produced during the three months ended March 31, 2020.</w:t>
      </w:r>
    </w:p>
    <w:p>
      <w:pPr>
        <w:spacing w:after="0" w:line="84"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Unrealized (loss) gain on derivatives. </w:t>
      </w:r>
      <w:r>
        <w:rPr>
          <w:rFonts w:ascii="Arial" w:cs="Arial" w:eastAsia="Arial" w:hAnsi="Arial"/>
          <w:sz w:val="16"/>
          <w:szCs w:val="16"/>
          <w:color w:val="auto"/>
        </w:rPr>
        <w:t>Our unrealized net loss on derivatives was $43.4 million for the three months ended March 31,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unrealized net gain of $136.4 million for the three months ended March 31, 2020. During the three months ended March 31, 2021, the aggregate net fair value of our open oil and natural gas derivative contracts decreased to a net liability of $79.3 million from a net liability of $35.9 million at December 31, 2020, resulting in an unrealized loss on derivatives of $43.4 million for the three months ended March 31, 2021. During the three months ended March 31, 2020, the net fair value of our open oil and natural gas derivative contracts increased to a net asset of $132.6 million from a net liability of $3.9 million at December 31, 2019, resulting in an unrealized gain on derivatives of $136.4 million for the three months ended March 31, 2020.</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expenses per BOE)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w:t>
            </w:r>
          </w:p>
        </w:tc>
        <w:tc>
          <w:tcPr>
            <w:tcW w:w="0" w:type="dxa"/>
            <w:vAlign w:val="bottom"/>
          </w:tcPr>
          <w:p>
            <w:pPr>
              <w:spacing w:after="0"/>
              <w:rPr>
                <w:sz w:val="1"/>
                <w:szCs w:val="1"/>
                <w:color w:val="auto"/>
              </w:rPr>
            </w:pPr>
          </w:p>
        </w:tc>
      </w:tr>
      <w:tr>
        <w:trPr>
          <w:trHeight w:val="230"/>
        </w:trPr>
        <w:tc>
          <w:tcPr>
            <w:tcW w:w="886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30,910</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29"/>
        </w:trPr>
        <w:tc>
          <w:tcPr>
            <w:tcW w:w="8860" w:type="dxa"/>
            <w:vAlign w:val="bottom"/>
          </w:tcPr>
          <w:p>
            <w:pPr>
              <w:ind w:left="680"/>
              <w:spacing w:after="0"/>
              <w:rPr>
                <w:sz w:val="20"/>
                <w:szCs w:val="20"/>
                <w:color w:val="auto"/>
              </w:rPr>
            </w:pPr>
            <w:r>
              <w:rPr>
                <w:rFonts w:ascii="Arial" w:cs="Arial" w:eastAsia="Arial" w:hAnsi="Arial"/>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90,707</w:t>
            </w:r>
          </w:p>
        </w:tc>
        <w:tc>
          <w:tcPr>
            <w:tcW w:w="0" w:type="dxa"/>
            <w:vAlign w:val="bottom"/>
          </w:tcPr>
          <w:p>
            <w:pPr>
              <w:spacing w:after="0"/>
              <w:rPr>
                <w:sz w:val="1"/>
                <w:szCs w:val="1"/>
                <w:color w:val="auto"/>
              </w:rPr>
            </w:pPr>
          </w:p>
        </w:tc>
      </w:tr>
      <w:tr>
        <w:trPr>
          <w:trHeight w:val="229"/>
        </w:trPr>
        <w:tc>
          <w:tcPr>
            <w:tcW w:w="8860" w:type="dxa"/>
            <w:vAlign w:val="bottom"/>
          </w:tcPr>
          <w:p>
            <w:pPr>
              <w:ind w:left="68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0" w:type="dxa"/>
            <w:vAlign w:val="bottom"/>
          </w:tcPr>
          <w:p>
            <w:pPr>
              <w:spacing w:after="0"/>
              <w:rPr>
                <w:sz w:val="1"/>
                <w:szCs w:val="1"/>
                <w:color w:val="auto"/>
              </w:rPr>
            </w:pPr>
          </w:p>
        </w:tc>
      </w:tr>
      <w:tr>
        <w:trPr>
          <w:trHeight w:val="223"/>
        </w:trPr>
        <w:tc>
          <w:tcPr>
            <w:tcW w:w="8860" w:type="dxa"/>
            <w:vAlign w:val="bottom"/>
          </w:tcPr>
          <w:p>
            <w:pPr>
              <w:ind w:left="11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178,053</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193,532</w:t>
            </w: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30"/>
        </w:trPr>
        <w:tc>
          <w:tcPr>
            <w:tcW w:w="8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175,040</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39,957</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125,729</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Expenses per BOE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886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8860" w:type="dxa"/>
            <w:vAlign w:val="bottom"/>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2021 as Compared to Three Months Ended March 31, 2020</w:t>
      </w:r>
    </w:p>
    <w:p>
      <w:pPr>
        <w:spacing w:after="0" w:line="117"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i w:val="1"/>
          <w:iCs w:val="1"/>
          <w:color w:val="auto"/>
        </w:rPr>
        <w:t xml:space="preserve">Production taxes, transportation and processing. </w:t>
      </w:r>
      <w:r>
        <w:rPr>
          <w:rFonts w:ascii="Arial" w:cs="Arial" w:eastAsia="Arial" w:hAnsi="Arial"/>
          <w:sz w:val="18"/>
          <w:szCs w:val="18"/>
          <w:color w:val="auto"/>
        </w:rPr>
        <w:t>Our production taxes and transportation and processing expenses increased $12.5 million, or 57%,</w:t>
      </w:r>
      <w:r>
        <w:rPr>
          <w:rFonts w:ascii="Arial" w:cs="Arial" w:eastAsia="Arial" w:hAnsi="Arial"/>
          <w:sz w:val="18"/>
          <w:szCs w:val="18"/>
          <w:i w:val="1"/>
          <w:iCs w:val="1"/>
          <w:color w:val="auto"/>
        </w:rPr>
        <w:t xml:space="preserve"> </w:t>
      </w:r>
      <w:r>
        <w:rPr>
          <w:rFonts w:ascii="Arial" w:cs="Arial" w:eastAsia="Arial" w:hAnsi="Arial"/>
          <w:sz w:val="18"/>
          <w:szCs w:val="18"/>
          <w:color w:val="auto"/>
        </w:rPr>
        <w:t>to $34.2 million for the three months ended March 31, 2021, as compared to $21.7 million for the three months ended March 31, 2020. On a unit-of-production basis, our production taxes and transportation and processing expenses increased 53% to $5.13 per BOE for the three months ended March 31, 2021, as compared to $3.35 per BOE for the three months ended March 31, 2020. These increases were primarily due to (i) the $9.6 million increase in production taxes to $23.7 million for the three months ended March 31, 2021, as compared to $14.1 million for the three months ended March 31, 2020, primarily due to the increase in the weighted average oil and natural gas prices realized between the two periods, and (ii) the $2.9 million increase in transportation and processing expenses to $10.5 million for the three months ended March 31, 2021, as compared to $7.6 million for the three months ended March 31, 2020.</w:t>
      </w:r>
    </w:p>
    <w:p>
      <w:pPr>
        <w:spacing w:after="0" w:line="84"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decreased $5.0 million, or 16%, to $25.9 million for the three months ended March 31,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$30.9 million for the three months ended March 31, 2020. Our lease operating expenses on a unit-of-production basis decreased 18% to $3.90 per BOE for the three months ended March 31, 2021, as compared to $4.77 per BOE for the three months ended March 31, 2020. These decreases were largely attributable to (i) decreases in expenses associated with repairs and maintenance and equipment rentals of $3.0 million, (ii) a decrease in non-operated expenses of $1.0 million and (iii) a decrease in compression rental charges of $0.9 million for the three months ended March 31, 2021, as compared to the three months ended March 31, 2020.</w:t>
      </w:r>
    </w:p>
    <w:p>
      <w:pPr>
        <w:spacing w:after="0" w:line="84"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$3.7 million, or 37%, to $13.7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2021, as compared to $10.0 million for the three months ended March 31, 2020. This increase was primarily attributable to (i) increased expenses associated with our expanded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commercial produced water disposal operations of $7.7 million for the three months ended March 31, 2021, as compared to $5.1 million for the three months ended March 31, 2020, and (ii) increased expenses associated with our expanded pipeline operations of $3.2 million for the three months ended March 31, 2021, as compared to $2.0 million for the three months ended March 31, 2020.</w:t>
      </w:r>
    </w:p>
    <w:p>
      <w:pPr>
        <w:spacing w:after="0" w:line="76" w:lineRule="exact"/>
        <w:rPr>
          <w:sz w:val="20"/>
          <w:szCs w:val="20"/>
          <w:color w:val="auto"/>
        </w:rPr>
      </w:pPr>
    </w:p>
    <w:p>
      <w:pPr>
        <w:ind w:right="140" w:firstLine="445"/>
        <w:spacing w:after="0" w:line="291"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decreased $15.8 million, or 17%, to $74.9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2021, as compared to $90.7 million for the three months ended March 31, 2020. On a unit-of-production basis, our depletion, depreciation and amortization expenses decreased 20% to $11.24 per BOE for the three months ended March 31, 2021, as compared to $14.01 per BOE for the three months ended March 31, 2020. These decreases were attributable to the increase in our estimated total proved oil and natural gas reserves, as well as the decrease in unamortized property costs resulting from the full-cost ceiling impairments recorded in 2020. The decrease in our depletion, depreciation and amortization expenses was partially offset by a $3.0 million increase in depreciation expenses attributable to our midstream segment to $7.8 million for the three months ended March 31, 2021, as compared to $4.8 million for the three months ended March 31, 2020.</w:t>
      </w:r>
    </w:p>
    <w:p>
      <w:pPr>
        <w:spacing w:after="0" w:line="5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$6.0 million, or 37%, to $22.2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as compared to $16.2 million for the three months ended March 31, 2020. Our general and administrative expenses increased 33% on a unit-of-production basis to $3.33 per BOE for the three months ended March 31, 2021, as compared to $2.51 per BOE for the three months ended March 31, 2020. These increases were largely attributable to the $5.7 million increase in stock-based compensation expense we recorded primarily associated with our cash-settled stock awards, the values of which are remeasured at each reporting period. The share price of our common stock increased by 94% from $12.06 at December 31, 2020 to $23.45 at March 31, 2021.</w:t>
      </w:r>
    </w:p>
    <w:p>
      <w:pPr>
        <w:spacing w:after="0" w:line="84"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three months ended March 31, 2021, we incurred total interest expense of $20.2 million. We capitalized $0.6 million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on certain qualifying projects for the three months ended March 31, 2021 and expensed the remaining $19.7 million to operations. For the three months ended March 31, 2020, we incurred total interest expense of $21.3 million. We capitalized $1.4 million of our interest expense on certain qualifying projects for the three months ended March 31, 2020 and expensed the remaining $19.8 million to operations.</w:t>
      </w:r>
    </w:p>
    <w:p>
      <w:pPr>
        <w:spacing w:after="0" w:line="63"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Our income tax provision was $2.8 million for the three months ended March 31, 2021. Our effective tax rate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was 4%, which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As a result of the full-cost ceiling impairments recorded in 2020, we recognized a valuation allowance against our net deferred tax assets for the year ended December 31, 2020. The valuation allowance will continue to be recognized until the future deferred tax benefits are more likely than not to become utilized. Our effective tax rate for the three months ended March 31, 2020 was 24%, which differed from amounts computed by applying the U.S. federal statutory rate to the pre-tax income due to the impact of permanent differences between book and tax income, as well as state taxes, primarily in New Mexico.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Our primary use of capital has been, and we expect will continue to be during the remainder of 2021 and for the foreseeable future, for the acquisition, exploration and development of oil and natural gas properties and for midstream investments. Excluding any possible significant acquisitions, we expect to fund our capital expenditures for the remainder of 2021 primarily through a combination of cash on hand, operating cash flows and performance incentives paid to us by a subsidiary of Five Point Energy LLC, our joint venture partner, in connection with San Mateo. If capital expenditures were to exceed our operating cash flows during the remainder of 2021, we expect to fund any such excess capital expenditures through borrowings under the Credit Agreement or San Mateo’s revolving credit facility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future success in growing proved reserves and production will be highly dependent on our ability to generate operating cash flows and access outside sources of capital.</w:t>
      </w:r>
    </w:p>
    <w:p>
      <w:pPr>
        <w:spacing w:after="0" w:line="62" w:lineRule="exact"/>
        <w:rPr>
          <w:sz w:val="20"/>
          <w:szCs w:val="20"/>
          <w:color w:val="auto"/>
        </w:rPr>
      </w:pPr>
    </w:p>
    <w:p>
      <w:pPr>
        <w:ind w:right="140" w:firstLine="445"/>
        <w:spacing w:after="0" w:line="293" w:lineRule="auto"/>
        <w:rPr>
          <w:sz w:val="20"/>
          <w:szCs w:val="20"/>
          <w:color w:val="auto"/>
        </w:rPr>
      </w:pPr>
      <w:r>
        <w:rPr>
          <w:rFonts w:ascii="Arial" w:cs="Arial" w:eastAsia="Arial" w:hAnsi="Arial"/>
          <w:sz w:val="16"/>
          <w:szCs w:val="16"/>
          <w:color w:val="auto"/>
        </w:rPr>
        <w:t>At March 31, 2021, we had cash totaling $17.9 million and restricted cash totaling $30.3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 During the first quarter of 2021, we repaid $100.0 million of the borrowings under the Credit Agreement. In addition, in February 2021, the Board adopted a dividend policy and declared our first quarterly cash dividend of $0.025 per share of common stock, which was paid on March 31, 2021. In April 2021, the Board declared our second quarterly cash dividend of $0.025 per share of common stock payable on June 3, 2021 to shareholders of record as of May 13, 2021.</w:t>
      </w:r>
    </w:p>
    <w:p>
      <w:pPr>
        <w:spacing w:after="0" w:line="5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At March 31, 2021, we had (i) $1.05 billion of outstanding 5.875% senior notes due September 2026 (the “Notes”), (ii) $340.0 million in borrowings outstanding under the Credit Agreement, (iii) approximately $45.8 million in outstanding letters of credit issued pursuant to the Credit Agreement and (iv) $7.5 million outstanding under an unsecured U.S. Small Business Administration (“SBA”) loan. In April 2021, the lenders under our Credit Agreement completed their review of our proved oil and natural gas reserves, and, as a result, the borrowing base was reaffirmed at $900.0 million. We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 outstanding (net of up to $50.0 million of cash or cash equivalents), divided by a rolling four quarter EBITDA calculation, of 4.00 or less. We believe that we were in compliance with the terms of the Credit Agreement at March 31, 2021.</w:t>
      </w:r>
    </w:p>
    <w:p>
      <w:pPr>
        <w:spacing w:after="0" w:line="6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At December 31, 2020 and March 31, 2021, San Mateo had $334.0 million in borrowings outstanding under the San Mateo Credit Facility and approximately $9.0 million in outstanding letters of credit issued pursuant to the San Mateo Credit Facility. The San Mateo Credit Facility includes an accordion feature, which provides for potential increases to up to $400.0 million, and matures in December 2023. At March 31, 2021, the lender commitments under the San Mateo Credit Facility were $375.0 million (subject to San Mateo’s compliance with the covenants noted below). The San Mateo Credit Facility is guaranteed by San Mateo’s subsidiaries, secured by substantially all of San Mateo’s assets, including real property, and is non-recourse with respect to Matador and its wholly-owned subsidiaries.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March 31, 2021. Between March 31, 2021 and April 28, 2021, San Mateo repaid $19.0 million of borrowings under the San Mateo Credit Facility.</w:t>
      </w:r>
    </w:p>
    <w:p>
      <w:pPr>
        <w:spacing w:after="0" w:line="60"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On April 13, 2020, we executed a promissory note evidencing an unsecured loan in the amount of approximately $7.5 million as part of the Paycheck Protection Program. For a discussion of such loan, see “Management’s Discussion and Analysis of Financial Condition and Results of Operations— Liquidity and Capital Resources” in the Annual Report.</w:t>
      </w:r>
    </w:p>
    <w:p>
      <w:pPr>
        <w:spacing w:after="0" w:line="76"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During the first quarter and through April 2021, the oil and natural gas industry has experienced continued improvement in commodity prices as compared to the same period in 2020, primarily resulting from (i) improvements in oil demand as the impact from COVID-19 has begun to abate and (ii) actions taken by the Organization of Petroleum Exporting Countries, Russia and certain other oil-exporting countries (“OPEC+”) to reduce the worldwide supply of oil through coordinated production cuts. As a result, West Texas Intermediate (“WTI”) oil prices have increased from $48.52 per barrel at December 31, 2020 to as high as $66.09 per barrel in early March 2021. Prices for natural gas and NGLs were also much higher during the first quarter and through April 2021 than they were for the same period in 2020. While oil prices have continued to improve in 2021, the general outlook for the oil and natural gas industry for the remainder of the year remains uncertain, and we can provide no assurances as to when or to what extent economic disruptions resulting from COVID-19 and the corresponding decreases in oil demand may improve further. These economic disruptions have also reduced our ability to access the capital markets on reasonably similar terms as were available prior to 2020.</w:t>
      </w:r>
    </w:p>
    <w:p>
      <w:pPr>
        <w:spacing w:after="0" w:line="73" w:lineRule="exact"/>
        <w:rPr>
          <w:sz w:val="20"/>
          <w:szCs w:val="20"/>
          <w:color w:val="auto"/>
        </w:rPr>
      </w:pPr>
    </w:p>
    <w:p>
      <w:pPr>
        <w:jc w:val="both"/>
        <w:ind w:right="120" w:firstLine="445"/>
        <w:spacing w:after="0" w:line="257" w:lineRule="auto"/>
        <w:rPr>
          <w:sz w:val="20"/>
          <w:szCs w:val="20"/>
          <w:color w:val="auto"/>
        </w:rPr>
      </w:pPr>
      <w:r>
        <w:rPr>
          <w:rFonts w:ascii="Arial" w:cs="Arial" w:eastAsia="Arial" w:hAnsi="Arial"/>
          <w:sz w:val="18"/>
          <w:szCs w:val="18"/>
          <w:color w:val="auto"/>
        </w:rPr>
        <w:t>We expect that development of our Delaware Basin assets will be the primary focus of our operations and capital expenditures for the remainder of 2021. We began 2021 operating three contracted drilling rigs in the Delaware Basin and, in March 2021, we added a fourth drilling rig. We currently plan to operate four drilling rigs in the Delaware Basin throughout the remainder of 2021. Our 2021 estimated capital expenditure budget consists of $525.0 to $575.0 million for drilling, completing and equipping wells (“D/C/E capital expenditures”) and $20.0 to $30.0 million for midstream capital expenditures, which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reflects our proportionate share of San Mateo’s estimated 2021 capital expenditures. Substantially all of these 2021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2021 Delaware Basin operated drilling program is expected to focus on the continued development of our various asset areas throughout the Delaware Basin, with a continued emphasis on drilling and completing a higher percentage of longer horizontal wells in 2021, including 98% with anticipated completed lateral lengths of two miles or greater. We have built significant optionality into our drilling program, which should generally allow us to increase or decrease the number of rigs we operate as necessary based on changing commodity prices and other factors.</w:t>
      </w:r>
    </w:p>
    <w:p>
      <w:pPr>
        <w:spacing w:after="0" w:line="5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may divest portions of our non-core assets, particularly in the Eagle Ford shale in South Texas and the Haynesville shale and Cotton Valley plays in Northwest Louisiana,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the remainder of 2021. These monetizations, divestitures and expenditures are opportunity-specific, and purchase price multiples and per-acre prices can vary significantly based on the asset or prospect. As a result, it is difficult to estimate these 2021 monetizations, divestitures and capital expenditures with any degree of certainty; therefore, we have not provided estimated proceeds related to monetizations or divestitures or estimated capital expenditures related to acreage and mineral acquisitions for 2021.</w:t>
      </w:r>
    </w:p>
    <w:p>
      <w:pPr>
        <w:spacing w:after="0" w:line="69"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Our 2021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2021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the remainder of 2021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unaudited cash flows for the three months ended March 31, 2021 and 2020 are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18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(108,895)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(248,220)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130,515</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140,576</w:t>
            </w:r>
          </w:p>
        </w:tc>
      </w:tr>
      <w:tr>
        <w:trPr>
          <w:trHeight w:val="297"/>
        </w:trPr>
        <w:tc>
          <w:tcPr>
            <w:tcW w:w="810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89" w:lineRule="exact"/>
        <w:rPr>
          <w:sz w:val="20"/>
          <w:szCs w:val="20"/>
          <w:color w:val="auto"/>
        </w:rPr>
      </w:pPr>
    </w:p>
    <w:p>
      <w:pPr>
        <w:ind w:left="340" w:right="60" w:hanging="332"/>
        <w:spacing w:after="0" w:line="273" w:lineRule="auto"/>
        <w:tabs>
          <w:tab w:leader="none" w:pos="332"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Net cash provided by operating activities increased $60.0 million to $169.4 million for the three months ended March 31, 2021 from $109.4 million for the three months ended March 31, 2020. Excluding changes in operating assets and liabilities, net cash provided by operating activities increased $58.4 million to $192.7 million for the three months ended March 31, 2021 from $134.3 million for the three months ended March 31, 2020, primarily attributable to significantly higher realized oil and natural gas prices for the three months ended March 31, 2021, as compared to the three months ended March 31, 2020. Changes in our operating assets and liabilities between the two periods resulted in a net increase of approximately $1.6 million in net cash provided by operating activities for the three months ended March 31, 2021, as compared to the three months ended March 31, 2020.</w:t>
      </w:r>
    </w:p>
    <w:p>
      <w:pPr>
        <w:spacing w:after="0" w:line="56"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effects of COVID-19 and the corresponding decline in oil demand significantly impacted the prices we received for our oil production in recent periods. These factors are beyond our control and are difficult to predict. We use commodity derivative financial instruments at times to mitigate our exposure to fluctuations in oil, natural gas and NGL prices.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Net cash used in investing activities decreased $139.3 million to $108.9 million for the three months ended March 31, 2021 from $248.2 million for the three months ended March 31, 2020. This decrease in net cash used in investing activities was primarily due to (i) a decrease of $57.1 million in midstream capital expenditures, (ii) a decrease of $47.2 million in D/C/E capital expenditures and (iii) a decrease of $34.1 million in expenditures related to acquisition of oil and natural gas properties for the three months ended March 31, 2021, as compared to the three months ended March 31, 2020. Cash used for D/C/E capital expenditures for the three months ended March 31, 2021 and 2020 was primarily attributable to our operated and non-operated drilling and completion activities in the Delaware Basin. Cash used for midstream capital expenditures for the three months ended March 31, 2020 was primarily attributable to the expansion of the Black River Processing Plant and midstream facilities in the Greater Stebbins Area and the Stateline asset area, which were completed in 2020.</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Provided by Financing Activities</w:t>
      </w:r>
    </w:p>
    <w:p>
      <w:pPr>
        <w:spacing w:after="0" w:line="117"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Net cash used in financing activities was $103.6 million for the three months ended March 31, 2021, a significant change from net cash provided by financing activities of $130.5 million for the three months ended March 31, 2020. During the three months ended March 31, 2021, our primary use of cash related to financing activities was for the repayment of $100.0 million in borrowings under our Credit Agreement and the payment of our quarterly dividend on March 31, 2021. During the three months ended March 31, 2020, our primary sources of cash from financing activities included borrowings under our Credit Agreement of $60.0 million, borrowings under the San Mateo Credit Facility of $19.5 million and net contributions related to the formation of San Mateo and from non-controlling interest owners in less-than-wholly-owned subsidiaries of $53.2 million.</w:t>
      </w:r>
    </w:p>
    <w:p>
      <w:pPr>
        <w:spacing w:after="0" w:line="70"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Financial Information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Notes are jointly and severally guaranteed by certain subsidiaries of Matador (the “Guarantor Subsidiaries”) on a full and unconditional basis (except for customary release provisions). At March 31, 2021,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Balance Sheet</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214,610</w:t>
            </w:r>
          </w:p>
        </w:tc>
      </w:tr>
      <w:tr>
        <w:trPr>
          <w:trHeight w:val="229"/>
        </w:trPr>
        <w:tc>
          <w:tcPr>
            <w:tcW w:w="9120" w:type="dxa"/>
            <w:vAlign w:val="bottom"/>
          </w:tcPr>
          <w:p>
            <w:pPr>
              <w:ind w:left="240"/>
              <w:spacing w:after="0"/>
              <w:rPr>
                <w:sz w:val="20"/>
                <w:szCs w:val="20"/>
                <w:color w:val="auto"/>
              </w:rPr>
            </w:pPr>
            <w:r>
              <w:rPr>
                <w:rFonts w:ascii="Arial" w:cs="Arial" w:eastAsia="Arial" w:hAnsi="Arial"/>
                <w:sz w:val="18"/>
                <w:szCs w:val="18"/>
                <w:color w:val="auto"/>
              </w:rPr>
              <w:t>Net property and equipment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2,670,985</w:t>
            </w:r>
          </w:p>
        </w:tc>
      </w:tr>
      <w:tr>
        <w:trPr>
          <w:trHeight w:val="230"/>
        </w:trPr>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55,727</w:t>
            </w: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370,735</w:t>
            </w:r>
          </w:p>
        </w:tc>
      </w:tr>
      <w:tr>
        <w:trPr>
          <w:trHeight w:val="230"/>
        </w:trPr>
        <w:tc>
          <w:tcPr>
            <w:tcW w:w="912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1,381,393</w:t>
            </w:r>
          </w:p>
        </w:tc>
      </w:tr>
      <w:tr>
        <w:trPr>
          <w:trHeight w:val="229"/>
        </w:trPr>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Three Months Ended</w:t>
            </w:r>
          </w:p>
        </w:tc>
      </w:tr>
      <w:tr>
        <w:trPr>
          <w:trHeight w:val="234"/>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2021</w:t>
            </w:r>
          </w:p>
        </w:tc>
      </w:tr>
      <w:tr>
        <w:trPr>
          <w:trHeight w:val="21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247,793</w:t>
            </w: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175,123</w:t>
            </w:r>
          </w:p>
        </w:tc>
      </w:tr>
      <w:tr>
        <w:trPr>
          <w:trHeight w:val="223"/>
        </w:trPr>
        <w:tc>
          <w:tcPr>
            <w:tcW w:w="91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72,670</w:t>
            </w: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provision</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r>
      <w:tr>
        <w:trPr>
          <w:trHeight w:val="248"/>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11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80" w:lineRule="exact"/>
        <w:rPr>
          <w:sz w:val="20"/>
          <w:szCs w:val="20"/>
          <w:color w:val="auto"/>
        </w:rPr>
      </w:pPr>
    </w:p>
    <w:p>
      <w:pPr>
        <w:ind w:right="300" w:firstLine="445"/>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63"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r>
      <w:tr>
        <w:trPr>
          <w:trHeight w:val="184"/>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Unaudited Adjusted EBITDA Reconciliation to Net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60,645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125,729</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r>
      <w:tr>
        <w:trPr>
          <w:trHeight w:val="223"/>
        </w:trPr>
        <w:tc>
          <w:tcPr>
            <w:tcW w:w="8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135,083</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Total income tax provision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39,957</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90,707</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derivatives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r>
      <w:tr>
        <w:trPr>
          <w:trHeight w:val="223"/>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Adjusted EBITDA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153,399</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w:t>
            </w:r>
          </w:p>
        </w:tc>
      </w:tr>
      <w:tr>
        <w:trPr>
          <w:trHeight w:val="248"/>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140,576</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25"/>
        </w:trPr>
        <w:tc>
          <w:tcPr>
            <w:tcW w:w="8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r>
      <w:tr>
        <w:trPr>
          <w:trHeight w:val="184"/>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Unaudited Adjusted EBITDA Reconciliation to Net Cash Provided by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169,395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109,372</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24,899</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Interest expense, net of non-cash portion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19,128</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r>
      <w:tr>
        <w:trPr>
          <w:trHeight w:val="223"/>
        </w:trPr>
        <w:tc>
          <w:tcPr>
            <w:tcW w:w="8620" w:type="dxa"/>
            <w:vAlign w:val="bottom"/>
          </w:tcPr>
          <w:p>
            <w:pPr>
              <w:ind w:left="14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140,576</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For the three months ended March 31, 2021, we reported net income attributable to Matador shareholders of $60.6 million, as compared to net income attributable to Matador shareholders of $125.7 million for the three months ended March 31, 2020. This $65.1 million decrease in net income attributable to Matador shareholders primarily resulted from an unrealized loss on derivatives of $43.4 million for the three months ended March 31, 2021, as compared to an unrealized gain on derivatives of $136.4 million for the three months ended March 31, 2020. This change was partially offset by higher oil and natural gas production and higher realized oil and natural gas prices for the three months ended March 31, 2021, as compared to the three months ended March 31, 2020.</w:t>
      </w:r>
    </w:p>
    <w:p>
      <w:pPr>
        <w:spacing w:after="0" w:line="84"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auto"/>
        </w:rPr>
        <w:t>Adjusted EBITDA, a non-GAAP financial measure, increased $57.5 million to $198.1 million for the three months ended March 31, 2021, as compared to $140.6 million for the three months ended March 31, 2020. This increase is primarily attributable to higher oil and natural gas production and higher realized oil and natural gas prices for the three months ended March 31, 2021, as compared to the three months ended March 31,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time-to-time, we enter into off-balance sheet arrangements and transactions that can give rise to material off-balance sheet obligations.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March 31, 2021, the material off-balance sheet arrangements and transactions that we have entered into include (i) non-operated drilling commitments,</w:t>
      </w:r>
    </w:p>
    <w:p>
      <w:pPr>
        <w:spacing w:after="0" w:line="32" w:lineRule="exact"/>
        <w:rPr>
          <w:sz w:val="20"/>
          <w:szCs w:val="20"/>
          <w:color w:val="auto"/>
        </w:rPr>
      </w:pPr>
    </w:p>
    <w:p>
      <w:pPr>
        <w:ind w:right="140" w:firstLine="8"/>
        <w:spacing w:after="0" w:line="25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the following material contractual obligations and commitments at March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1"/>
                <w:szCs w:val="11"/>
                <w:color w:val="auto"/>
              </w:rPr>
            </w:pPr>
          </w:p>
        </w:tc>
        <w:tc>
          <w:tcPr>
            <w:tcW w:w="9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Than</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88"/>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Borrowings, including letters of credit</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736,273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736,273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1,050,000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Non-operated drilling and other capital commitments</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w w:val="94"/>
              </w:rPr>
              <w:t>Transportation, gathering, processing and disposal agreements with</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615,235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66,837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143,141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143,433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261,824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non-affiliates</w:t>
            </w:r>
            <w:r>
              <w:rPr>
                <w:rFonts w:ascii="Arial" w:cs="Arial" w:eastAsia="Arial" w:hAnsi="Arial"/>
                <w:sz w:val="23"/>
                <w:szCs w:val="23"/>
                <w:color w:val="auto"/>
                <w:vertAlign w:val="superscript"/>
              </w:rPr>
              <w:t>(6)</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Transportation, gathering, processing and disposal agreements with</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470,108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152,340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182,740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107,466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 Mateo</w:t>
            </w:r>
            <w:r>
              <w:rPr>
                <w:rFonts w:ascii="Arial" w:cs="Arial" w:eastAsia="Arial" w:hAnsi="Arial"/>
                <w:sz w:val="23"/>
                <w:szCs w:val="23"/>
                <w:color w:val="auto"/>
                <w:vertAlign w:val="superscript"/>
              </w:rPr>
              <w:t>(7)</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2,991,698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1,451,794</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340" w:right="60" w:hanging="332"/>
        <w:spacing w:after="0" w:line="247"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At March 31, 2021, we had $340.0 million in borrowings outstanding under the Credit Agreement, approximately $45.8 million in outstanding letters of credit issued pursuant to the Credit Agreement and $7.5 million in borrowings outstanding under the SBA loan. The Credit Agreement matures in October 2023. At March 31, 2021, San Mateo had $334.0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1.61% and 1.86%, for the Credit Agreement and the San Mateo Credit Facility, respectively, at March 31, 2021, the interest expense for such facilities is expected to be approximately $5.5 million and $6.3 million each year until maturity.</w:t>
      </w:r>
    </w:p>
    <w:p>
      <w:pPr>
        <w:spacing w:after="0" w:line="85" w:lineRule="exact"/>
        <w:rPr>
          <w:rFonts w:ascii="Arial" w:cs="Arial" w:eastAsia="Arial" w:hAnsi="Arial"/>
          <w:sz w:val="14"/>
          <w:szCs w:val="14"/>
          <w:color w:val="auto"/>
        </w:rPr>
      </w:pPr>
    </w:p>
    <w:p>
      <w:pPr>
        <w:ind w:left="340" w:right="360" w:hanging="332"/>
        <w:spacing w:after="0" w:line="273"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March 31, 2021 is expected to be approximately $61.7 million each year until maturity.</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 March 31, 2021, we had outstanding commitments to drill and complete and to participate in the drilling and completion of various operated and non-operated wells.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March 31, 2021.</w:t>
      </w:r>
    </w:p>
    <w:p>
      <w:pPr>
        <w:spacing w:after="0" w:line="109" w:lineRule="exact"/>
        <w:rPr>
          <w:rFonts w:ascii="Arial" w:cs="Arial" w:eastAsia="Arial" w:hAnsi="Arial"/>
          <w:sz w:val="14"/>
          <w:szCs w:val="14"/>
          <w:color w:val="auto"/>
        </w:rPr>
      </w:pPr>
    </w:p>
    <w:p>
      <w:pPr>
        <w:ind w:left="340" w:right="120" w:hanging="332"/>
        <w:spacing w:after="0" w:line="252"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9" w:lineRule="exact"/>
        <w:rPr>
          <w:rFonts w:ascii="Arial" w:cs="Arial" w:eastAsia="Arial" w:hAnsi="Arial"/>
          <w:sz w:val="14"/>
          <w:szCs w:val="14"/>
          <w:color w:val="auto"/>
        </w:rPr>
      </w:pPr>
    </w:p>
    <w:p>
      <w:pPr>
        <w:ind w:left="340" w:right="140" w:hanging="332"/>
        <w:spacing w:after="0" w:line="307" w:lineRule="auto"/>
        <w:tabs>
          <w:tab w:leader="none" w:pos="332"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dedicated to San Mateo our current and certain future leasehold interests in the Rustler Breaks and Wolf asset areas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During the first quarter and through April 2020, the oil and natural gas industry witnessed an abrupt and significant decline in oil prices resulting from two primary factors: (i) the precipitous decline in global oil demand resulting from the worldwide spread of COVID-19 and (ii) the increase in global oil supply resulting from actions of OPEC+. The sudden decline in oil prices began to improve later in the second quarter of 2020 and throughout the remainder of 2020 and the first quarter of 2021. For the three months ended March 31, 2021, oil prices averaged $58.14 per Bbl, ranging from a low of $47.62 per Bbl in early January to a high of $66.09 per Bbl in early March, based upon the WTI oil futures contract price for the earliest delivery date.</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realized a weighted average oil price of $57.05 per Bbl ($50.08 per Bbl including realized losses from oil derivatives) for our oil production for the three months ended March 31, 2021, as compared to $45.87 per Bbl ($48.81 per Bbl including realized gains from oil derivatives) for our oil production for the three months ended March 31, 2020. At April 28, 2021, the WTI oil futures contract for the earliest delivery date had increased from the average price for the first quarter of 2021 of $58.14 per Bbl, settling at $63.86 per Bbl, which was a significant increase as compared to $12.34 per Bbl at April 28, 2020.</w:t>
      </w:r>
    </w:p>
    <w:p>
      <w:pPr>
        <w:spacing w:after="0" w:line="8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Natural gas prices were also higher in the first quarter of 2021, as compared to the first quarter of 2020. For the three months ended March 31, 2021, natural gas prices averaged $2.72 per MMBtu, ranging from a low of $2.45 per MMBtu in mid-January to a high of $3.22 per MMBtu in mid-February, based upon the NYMEX Henry Hub natural gas futures contract price for the earliest delivery date.</w:t>
      </w:r>
    </w:p>
    <w:p>
      <w:pPr>
        <w:spacing w:after="0" w:line="76"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realized a weighted average natural gas price of $5.88 per Mcf ($5.89 per Mcf including realized gains from natural gas derivatives) for our natural gas production (including revenues attributable to NGLs) for the three months ended March 31, 2021, as compared to $1.70 per Mcf (with no realized gains or losses from natural gas derivatives) for our natural gas production (including revenues attributable to NGLs) for the three months ended March 31, 2020. While most of our natural gas production is typically sold at prices established at the beginning of each month by the various markets where we sell our natural gas production, certain volumes of our natural gas production are sold at daily market prices. During the first quarter of 2021, and particularly during the historically prolonged cold weather conditions in New Mexico and Texas in February due to Winter Storm Uri, these daily market prices for natural gas were often well above the monthly market prices, resulting in an associated increase in our weighted average realized natural gas price for the first quarter of 2021. NGL prices were also strong in the first quarter of 2021, which further contributed to our first quarter weighted average realized natural gas price. At April 28, 2021, the NYMEX Henry Hub natural gas futures contract price for the earliest delivery date had increased from the average price for the first quarter of 2021 of $2.72 per MMBtu, settling at $2.93 per MMBtu, which was also an increase as compared to $1.79 per MMBtu at April 28, 2020.</w:t>
      </w:r>
    </w:p>
    <w:p>
      <w:pPr>
        <w:spacing w:after="0" w:line="74" w:lineRule="exact"/>
        <w:rPr>
          <w:sz w:val="20"/>
          <w:szCs w:val="20"/>
          <w:color w:val="auto"/>
        </w:rPr>
      </w:pPr>
    </w:p>
    <w:p>
      <w:pPr>
        <w:jc w:val="both"/>
        <w:ind w:right="160" w:firstLine="445"/>
        <w:spacing w:after="0" w:line="287" w:lineRule="auto"/>
        <w:rPr>
          <w:sz w:val="20"/>
          <w:szCs w:val="20"/>
          <w:color w:val="auto"/>
        </w:rPr>
      </w:pPr>
      <w:r>
        <w:rPr>
          <w:rFonts w:ascii="Arial" w:cs="Arial" w:eastAsia="Arial" w:hAnsi="Arial"/>
          <w:sz w:val="16"/>
          <w:szCs w:val="16"/>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w:t>
      </w:r>
    </w:p>
    <w:p>
      <w:pPr>
        <w:spacing w:after="0" w:line="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oil and natural gas prices may rise from their current levels, and in fact, oil and natural gas prices may decrease in future periods.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70"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w:t>
      </w:r>
    </w:p>
    <w:p>
      <w:pPr>
        <w:spacing w:after="0" w:line="6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2021, most of our oil production from the Delaware Basin was sold based on prices established in Midland, Texas, and most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80"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Midland-Cushing (Oklahoma) oil price differential has been highly volatile in recent years, but began 2020 slightly positive to the WTI oil price and remained positive through much of the first quarter. With the abrupt decline in oil prices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quarter of 2020, however, the Midland-Cushing (Oklahoma) oil price differential experienced significant volatility in April 2020, reaching ($6.00) per Bbl before becoming positive in the second quarter and improving through the rest of 2020 and into 2021. At April 28, 2021, this oil price differential was approximately $0.29 per Bbl. At April 28, 2021, we had derivative contracts in place to mitigate our exposure to this Midland-Cushing (Oklahoma) oil price differential on a portion of our anticipated oil production for the remainder of 2021 and 2022.</w:t>
      </w:r>
    </w:p>
    <w:p>
      <w:pPr>
        <w:spacing w:after="0" w:line="63"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A portion of our Delaware Basin natural gas production is exposed to the Waha-Henry Hub basis differential, which has also been highly volatile in recent years, including in April 2019 when natural gas was sold at the Waha hub for negative prices as high as ($7.00) to ($9.00) per MMBtu. In early 2020, the Waha basis differential remained significant at about ($1.20) per MMBtu and continued to deteriorate. Natural gas prices at the Waha hub were negative on certain days in April 2020. The Waha basis differential narrowed during the remainder of the second quarter of 2020. During the third quarter of 2020 and, in particular, at the beginning of October 2020, the Waha basis differential widened significantly again, including several days when natural gas was being sold at the Waha hub for negative prices, due to seasonal pipeline maintenance and other factors that reduced capacity out of the Waha hub. These capacity issues have been largely resolved and the Waha basis differential improved during the remainder of 2020 and throughout the first quarter of 2021.</w:t>
      </w:r>
    </w:p>
    <w:p>
      <w:pPr>
        <w:spacing w:after="0" w:line="8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majority of our Delaware Basin natural gas production, however, is typically sold at Houston Ship Channel pricing and is not exposed to Waha pricing. During 2020 and most of the first quarter of 2021, we typically realized a premium to natural gas sold at the Waha hub despite higher transportation changes incurred to transport the natural gas to the Gulf Coast. At certain times, we may also sell a portion of our natural gas production to other markets, e.g., Southern California, to improve our realized natural gas pricing.</w:t>
      </w:r>
    </w:p>
    <w:p>
      <w:pPr>
        <w:spacing w:after="0" w:line="7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Although the natural gas price differentials have recently remained positive,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during 2021 or for future periods.</w:t>
      </w:r>
    </w:p>
    <w:p>
      <w:pPr>
        <w:spacing w:after="0" w:line="79"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addition to concerns regarding oil and natural gas prices and basis differentials, the destruction of global oil demand resulting from the decline in economic activity associated with COVID-19, in conjunction with the actions initiated by Saudi Arabia in March 2020 to increase its oil production to world markets, led to a significant oversupply of oil worldwide. OPEC+ (led by Saudi Arabia) reversed course in April 2020 and reduced oil production significantly for the remainder of 2020 and through the first quarter of 2021, which has contributed to improving oil prices. The members of OPEC+ have generally adhered to these production cuts, which have contributed to improving oil prices, although OPEC+ has begun to restore production levels as oil prices have improved. It is uncertain to what degree these production cuts may restore the balance between oil supply and demand, and most oil and natural gas industry observers remain skeptical that oil prices can improve further until oil demand improves, most likely as a result of the “re-opening” of the world economy as concerns surrounding COVID-19 begin to subside.</w:t>
      </w:r>
    </w:p>
    <w:p>
      <w:pPr>
        <w:spacing w:after="0" w:line="7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During times of low oil prices, we may elect to shut in or curtail certain volumes of our oil production temporarily rather than sell the oil at depressed prices. As most of our natural gas production in the Delaware Basin is associated with oil production, portions of our natural gas production may also be curtailed or shut in. Furthermore, portions of our Delaware Basin production in the first quarter of 2021 were impacted by the historically prolonged cold weather conditions in New Mexico and Texas in February due to Winter Storm Uri, although we were able to produce and sell the majority of our oil and natural gas during this period. We experienced minimal impact to our production volumes due to insufficient storage capacity or damage to refineries downstream of our operations as a result of Winter Storm Uri.</w:t>
      </w:r>
    </w:p>
    <w:p>
      <w:pPr>
        <w:spacing w:after="0" w:line="84"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At April 28, 2021,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49"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separate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also signed an executive order requiring a regulatory framework to ensure reductions of methane emissions. Following that executive order, the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governing New Mexico regulatory bodies and New Mexico legislature have proposed various rules, regulations and bills regarding the reduction of natural gas waste and the control of emissions. In 2021, New Mexico adopted a rule that requires upstream and midstream operators to reduce natural gas waste by a fixed amount each year and achieve a 98% natural gas capture rate by the end of 2026.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January 2021, the Biden administration issued (i) an order signed by the acting Secretary of the Interior dated January 20, 2021 providing for a 60-day pause limiting the authority of local offices of the Bureau of Land Management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Federal Lease Orders”). While certain of the Biden Federal Lease Orders were allowed to expire in March 2021, others were extended. The pause relating to federal oil and natural gas leases in these orders did not restrict our activities on existing valid leases. As such, we have continued our operations on federal properties. However, we can provide no assurances that federal regulations will not be adopted that limit our ability to develop our federal properties. Should such actions be taken, they would almost certainly impact our drilling and completion plans and could materially impact our production volumes, revenues, reserves, cash flows and availability under our Credit Agreement. See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our Annual Report.</w:t>
      </w:r>
    </w:p>
    <w:p>
      <w:pPr>
        <w:spacing w:after="0" w:line="66" w:lineRule="exact"/>
        <w:rPr>
          <w:sz w:val="20"/>
          <w:szCs w:val="20"/>
          <w:color w:val="auto"/>
        </w:rPr>
      </w:pPr>
    </w:p>
    <w:p>
      <w:pPr>
        <w:ind w:right="260" w:firstLine="445"/>
        <w:spacing w:after="0" w:line="279" w:lineRule="auto"/>
        <w:rPr>
          <w:sz w:val="20"/>
          <w:szCs w:val="20"/>
          <w:color w:val="auto"/>
        </w:rPr>
      </w:pPr>
      <w:r>
        <w:rPr>
          <w:rFonts w:ascii="Arial" w:cs="Arial" w:eastAsia="Arial" w:hAnsi="Arial"/>
          <w:sz w:val="17"/>
          <w:szCs w:val="17"/>
          <w:color w:val="auto"/>
        </w:rPr>
        <w:t>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63"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57" w:lineRule="exact"/>
        <w:rPr>
          <w:sz w:val="20"/>
          <w:szCs w:val="20"/>
          <w:color w:val="auto"/>
        </w:rPr>
      </w:pPr>
    </w:p>
    <w:p>
      <w:pPr>
        <w:jc w:val="both"/>
        <w:ind w:right="100" w:firstLine="445"/>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2020, which are disclosed in Part II, Item 7A of the Annual Report and incorporated herein by reference.</w:t>
      </w:r>
    </w:p>
    <w:p>
      <w:pPr>
        <w:spacing w:after="0" w:line="62" w:lineRule="exact"/>
        <w:rPr>
          <w:sz w:val="20"/>
          <w:szCs w:val="20"/>
          <w:color w:val="auto"/>
        </w:rPr>
      </w:pPr>
    </w:p>
    <w:p>
      <w:pPr>
        <w:jc w:val="both"/>
        <w:ind w:right="260" w:firstLine="445"/>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components. In a swap contract, a floating price is exchanged for a fixed price over a specified period, providing downside price protection.</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March 31, 2021, The Bank of Nova Scotia, BMO Harris Financing (Bank of Montreal), Truist Bank (or affiliates thereof), PNC Bank and the Royal Bank of Canada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2021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March 31, 2021 that have materially affected or are reasonably likely to have a material effect on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information on our legal proceeding with the Environmental Protection Agency and the New Mexico Environment Department, see “Item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 the Annual Report. There have been no material changes regarding such legal proceeding.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 There have been no material changes to the risk factors we have disclosed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During the quarter ended March 31, 2021, the Company re-acquired shares of common stock from certain employees in order to satisfy the employees’ tax liability in connection with the vesting of restricted stock.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5"/>
              </w:rPr>
              <w:t>Shares Purchased as</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76"/>
        </w:trPr>
        <w:tc>
          <w:tcPr>
            <w:tcW w:w="4400" w:type="dxa"/>
            <w:vAlign w:val="bottom"/>
            <w:gridSpan w:val="2"/>
            <w:vMerge w:val="restart"/>
          </w:tcPr>
          <w:p>
            <w:pPr>
              <w:ind w:left="1900"/>
              <w:spacing w:after="0"/>
              <w:rPr>
                <w:sz w:val="20"/>
                <w:szCs w:val="20"/>
                <w:color w:val="auto"/>
              </w:rPr>
            </w:pPr>
            <w:r>
              <w:rPr>
                <w:rFonts w:ascii="Arial" w:cs="Arial" w:eastAsia="Arial" w:hAnsi="Arial"/>
                <w:sz w:val="18"/>
                <w:szCs w:val="18"/>
                <w:b w:val="1"/>
                <w:bCs w:val="1"/>
                <w:color w:val="auto"/>
              </w:rPr>
              <w:t>Period</w:t>
            </w: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29"/>
        </w:trPr>
        <w:tc>
          <w:tcPr>
            <w:tcW w:w="4400" w:type="dxa"/>
            <w:vAlign w:val="bottom"/>
            <w:gridSpan w:val="2"/>
            <w:vMerge w:val="continue"/>
          </w:tcPr>
          <w:p>
            <w:pPr>
              <w:spacing w:after="0"/>
              <w:rPr>
                <w:sz w:val="19"/>
                <w:szCs w:val="19"/>
                <w:color w:val="auto"/>
              </w:rPr>
            </w:pPr>
          </w:p>
        </w:tc>
        <w:tc>
          <w:tcPr>
            <w:tcW w:w="15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to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February 1, 2021 to February 28, 2021</w:t>
            </w:r>
          </w:p>
        </w:tc>
        <w:tc>
          <w:tcPr>
            <w:tcW w:w="1540" w:type="dxa"/>
            <w:vAlign w:val="bottom"/>
          </w:tcPr>
          <w:p>
            <w:pPr>
              <w:jc w:val="right"/>
              <w:spacing w:after="0"/>
              <w:rPr>
                <w:sz w:val="20"/>
                <w:szCs w:val="20"/>
                <w:color w:val="auto"/>
              </w:rPr>
            </w:pPr>
            <w:r>
              <w:rPr>
                <w:rFonts w:ascii="Arial" w:cs="Arial" w:eastAsia="Arial" w:hAnsi="Arial"/>
                <w:sz w:val="18"/>
                <w:szCs w:val="18"/>
                <w:color w:val="auto"/>
              </w:rPr>
              <w:t>67,445</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19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to March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76,504</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160" w:hanging="332"/>
        <w:spacing w:after="0" w:line="273"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80" w:type="dxa"/>
            <w:vAlign w:val="bottom"/>
            <w:gridSpan w:val="18"/>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8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00" w:type="dxa"/>
            <w:vAlign w:val="bottom"/>
            <w:tcBorders>
              <w:top w:val="single" w:sz="8" w:color="auto"/>
            </w:tcBorders>
            <w:gridSpan w:val="2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to the Quarterly Report on Form 10-Q for the quarter ended June 30, 2017).</w:t>
              </w:r>
            </w:hyperlink>
          </w:p>
        </w:tc>
        <w:tc>
          <w:tcPr>
            <w:tcW w:w="338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30, 2017).</w:t>
              </w:r>
            </w:hyperlink>
          </w:p>
        </w:tc>
        <w:tc>
          <w:tcPr>
            <w:tcW w:w="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8"/>
              </w:rPr>
            </w:pPr>
            <w:hyperlink r:id="rId51">
              <w:r>
                <w:rPr>
                  <w:rFonts w:ascii="Arial" w:cs="Arial" w:eastAsia="Arial" w:hAnsi="Arial"/>
                  <w:sz w:val="18"/>
                  <w:szCs w:val="18"/>
                  <w:color w:val="0000FF"/>
                  <w:w w:val="98"/>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2"/>
          </w:tcPr>
          <w:p>
            <w:pPr>
              <w:spacing w:after="0" w:line="15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ended June 30, 2017).</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the Current Report on Form 8-K filed on February 22, 2018).</w:t>
              </w:r>
            </w:hyperlink>
          </w:p>
        </w:tc>
        <w:tc>
          <w:tcPr>
            <w:tcW w:w="43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w:t>
            </w: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Form of Stock Option Cancellation Agreement for certain stock options under the Matador Resources Company Amended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and Restated 2012 Long-Term Incentive Plan (incorporated by reference to Exhibit 10.56 to the Annual Report on Form</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10-K for the year ended December 31, 2020).</w:t>
              </w:r>
            </w:hyperlink>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Fifteenth Amendment to Third Amended and Restated Credit Agreement, dated as of April 23, 2021, by and among MRC</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Energy Company, as Borrower, the Lenders party thereto and Royal Bank of Canada, as Administrative Agent</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(incorporated by reference to Exhibit 10.1 to the Current Report on Form 8-K filed on April 29, 2021).</w:t>
              </w:r>
            </w:hyperlink>
          </w:p>
        </w:tc>
        <w:tc>
          <w:tcPr>
            <w:tcW w:w="540" w:type="dxa"/>
            <w:vAlign w:val="bottom"/>
            <w:tcBorders>
              <w:top w:val="single" w:sz="8" w:color="0000FF"/>
            </w:tcBorders>
          </w:tcPr>
          <w:p>
            <w:pPr>
              <w:spacing w:after="0"/>
              <w:rPr>
                <w:sz w:val="13"/>
                <w:szCs w:val="13"/>
                <w:color w:val="auto"/>
              </w:rPr>
            </w:pPr>
          </w:p>
        </w:tc>
        <w:tc>
          <w:tcPr>
            <w:tcW w:w="6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22"/>
                <w:szCs w:val="22"/>
                <w:color w:val="auto"/>
              </w:rPr>
            </w:pPr>
          </w:p>
        </w:tc>
        <w:tc>
          <w:tcPr>
            <w:tcW w:w="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Sarbanes-Oxley Act of 2002 (furnished herewith).</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5120" w:type="dxa"/>
            <w:vAlign w:val="bottom"/>
            <w:gridSpan w:val="1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2"/>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Sarbanes-Oxley Act of 2002 (furnished herewith).</w:t>
              </w:r>
            </w:hyperlink>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900" w:right="439" w:hanging="582"/>
        <w:spacing w:after="0" w:line="21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Quarterly Report on Form 10-Q for the quarter ended March 31, 2021,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54" w:lineRule="exact"/>
        <w:rPr>
          <w:sz w:val="20"/>
          <w:szCs w:val="20"/>
          <w:color w:val="auto"/>
        </w:rPr>
      </w:pPr>
    </w:p>
    <w:p>
      <w:pPr>
        <w:ind w:left="900" w:hanging="582"/>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as Exhibit 101).</w:t>
      </w:r>
    </w:p>
    <w:p>
      <w:pPr>
        <w:spacing w:after="0" w:line="292"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283"/>
        </w:trPr>
        <w:tc>
          <w:tcPr>
            <w:tcW w:w="3140" w:type="dxa"/>
            <w:vAlign w:val="bottom"/>
          </w:tcPr>
          <w:p>
            <w:pPr>
              <w:spacing w:after="0"/>
              <w:rPr>
                <w:sz w:val="20"/>
                <w:szCs w:val="20"/>
                <w:color w:val="auto"/>
              </w:rPr>
            </w:pPr>
            <w:r>
              <w:rPr>
                <w:rFonts w:ascii="Arial" w:cs="Arial" w:eastAsia="Arial" w:hAnsi="Arial"/>
                <w:sz w:val="18"/>
                <w:szCs w:val="18"/>
                <w:color w:val="auto"/>
              </w:rPr>
              <w:t>Date: April 30, 2021</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3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30"/>
        </w:trPr>
        <w:tc>
          <w:tcPr>
            <w:tcW w:w="3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337"/>
        </w:trPr>
        <w:tc>
          <w:tcPr>
            <w:tcW w:w="3140" w:type="dxa"/>
            <w:vAlign w:val="bottom"/>
          </w:tcPr>
          <w:p>
            <w:pPr>
              <w:spacing w:after="0"/>
              <w:rPr>
                <w:sz w:val="20"/>
                <w:szCs w:val="20"/>
                <w:color w:val="auto"/>
              </w:rPr>
            </w:pPr>
            <w:r>
              <w:rPr>
                <w:rFonts w:ascii="Arial" w:cs="Arial" w:eastAsia="Arial" w:hAnsi="Arial"/>
                <w:sz w:val="18"/>
                <w:szCs w:val="18"/>
                <w:color w:val="auto"/>
              </w:rPr>
              <w:t>Date: April 30, 2021</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Lancaster</w:t>
            </w:r>
          </w:p>
        </w:tc>
      </w:tr>
      <w:tr>
        <w:trPr>
          <w:trHeight w:val="222"/>
        </w:trPr>
        <w:tc>
          <w:tcPr>
            <w:tcW w:w="3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30"/>
        </w:trPr>
        <w:tc>
          <w:tcPr>
            <w:tcW w:w="3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April 30, 2021</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48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176"/>
        </w:trPr>
        <w:tc>
          <w:tcPr>
            <w:tcW w:w="480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40" w:hanging="18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2503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E. Lancaster</w:t>
      </w:r>
    </w:p>
    <w:p>
      <w:pPr>
        <w:ind w:left="574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2021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April 30, 2021</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Wm. Foran</w:t>
            </w:r>
          </w:p>
        </w:tc>
      </w:tr>
      <w:tr>
        <w:trPr>
          <w:trHeight w:val="222"/>
        </w:trPr>
        <w:tc>
          <w:tcPr>
            <w:tcW w:w="45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Joseph Wm. Foran</w:t>
            </w:r>
          </w:p>
        </w:tc>
      </w:tr>
      <w:tr>
        <w:trPr>
          <w:trHeight w:val="176"/>
        </w:trPr>
        <w:tc>
          <w:tcPr>
            <w:tcW w:w="4520" w:type="dxa"/>
            <w:vAlign w:val="bottom"/>
          </w:tcPr>
          <w:p>
            <w:pPr>
              <w:spacing w:after="0"/>
              <w:rPr>
                <w:sz w:val="15"/>
                <w:szCs w:val="15"/>
                <w:color w:val="auto"/>
              </w:rPr>
            </w:pPr>
          </w:p>
        </w:tc>
        <w:tc>
          <w:tcPr>
            <w:tcW w:w="3680" w:type="dxa"/>
            <w:vAlign w:val="bottom"/>
          </w:tcPr>
          <w:p>
            <w:pPr>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2021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April 30, 2021</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Lancaster</w:t>
            </w:r>
          </w:p>
        </w:tc>
      </w:tr>
      <w:tr>
        <w:trPr>
          <w:trHeight w:val="222"/>
        </w:trPr>
        <w:tc>
          <w:tcPr>
            <w:tcW w:w="49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176"/>
        </w:trPr>
        <w:tc>
          <w:tcPr>
            <w:tcW w:w="492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r>
      <w:tr>
        <w:trPr>
          <w:trHeight w:val="176"/>
        </w:trPr>
        <w:tc>
          <w:tcPr>
            <w:tcW w:w="492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Officer</w:t>
            </w:r>
          </w:p>
        </w:tc>
      </w:tr>
      <w:tr>
        <w:trPr>
          <w:trHeight w:val="230"/>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49" Type="http://schemas.openxmlformats.org/officeDocument/2006/relationships/hyperlink" Target="http://www.sec.gov/Archives/edgar/data/1520006/000152000617000188/a20170630mtdr10q-exhibit32.htm" TargetMode="External"/><Relationship Id="rId50" Type="http://schemas.openxmlformats.org/officeDocument/2006/relationships/hyperlink" Target="http://www.sec.gov/Archives/edgar/data/1520006/000152000617000188/a20170630mtdr10q-exhibit33.htm" TargetMode="External"/><Relationship Id="rId51" Type="http://schemas.openxmlformats.org/officeDocument/2006/relationships/hyperlink" Target="http://www.sec.gov/Archives/edgar/data/1520006/000152000617000188/a20170630mtdr10q-exhibit34.htm" TargetMode="External"/><Relationship Id="rId52" Type="http://schemas.openxmlformats.org/officeDocument/2006/relationships/hyperlink" Target="http://www.sec.gov/Archives/edgar/data/1520006/000152000618000051/a20171231mtdr8k-amendedbyl.htm" TargetMode="External"/><Relationship Id="rId53" Type="http://schemas.openxmlformats.org/officeDocument/2006/relationships/hyperlink" Target="http://www.sec.gov/Archives/edgar/data/1520006/000152000621000056/a20201231mtdr10-kex1056.htm" TargetMode="External"/><Relationship Id="rId54" Type="http://schemas.openxmlformats.org/officeDocument/2006/relationships/hyperlink" Target="http://www.sec.gov/Archives/edgar/data/1520006/000152000621000083/a20210331mtdr8ker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2021-04-30T15:47:15Z</dcterms:created>
  <dcterms:modified xsi:type="dcterms:W3CDTF">2021-04-30T15:47:15Z</dcterms:modified>
</cp:coreProperties>
</file>