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ind w:left="4120"/>
        <w:spacing w:after="0"/>
        <w:rPr>
          <w:sz w:val="20"/>
          <w:szCs w:val="20"/>
          <w:color w:val="auto"/>
        </w:rPr>
      </w:pPr>
      <w:r>
        <w:rPr>
          <w:rFonts w:ascii="Arial" w:cs="Arial" w:eastAsia="Arial" w:hAnsi="Arial"/>
          <w:sz w:val="11"/>
          <w:szCs w:val="11"/>
          <w:color w:val="auto"/>
        </w:rPr>
        <w:t>________________________________________________________</w:t>
      </w:r>
    </w:p>
    <w:p>
      <w:pPr>
        <w:spacing w:after="0" w:line="77"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36" w:lineRule="exact"/>
        <w:rPr>
          <w:sz w:val="24"/>
          <w:szCs w:val="24"/>
          <w:color w:val="auto"/>
        </w:rPr>
      </w:pPr>
    </w:p>
    <w:p>
      <w:pPr>
        <w:ind w:left="4080"/>
        <w:spacing w:after="0"/>
        <w:rPr>
          <w:sz w:val="20"/>
          <w:szCs w:val="20"/>
          <w:color w:val="auto"/>
        </w:rPr>
      </w:pPr>
      <w:r>
        <w:rPr>
          <w:rFonts w:ascii="Arial" w:cs="Arial" w:eastAsia="Arial" w:hAnsi="Arial"/>
          <w:sz w:val="11"/>
          <w:szCs w:val="11"/>
          <w:color w:val="auto"/>
        </w:rPr>
        <w:t>_________________________________________________________</w:t>
      </w:r>
    </w:p>
    <w:p>
      <w:pPr>
        <w:spacing w:after="0" w:line="131" w:lineRule="exact"/>
        <w:rPr>
          <w:sz w:val="24"/>
          <w:szCs w:val="24"/>
          <w:color w:val="auto"/>
        </w:rPr>
      </w:pPr>
    </w:p>
    <w:p>
      <w:pPr>
        <w:ind w:left="500" w:right="260" w:hanging="465"/>
        <w:spacing w:after="0" w:line="256" w:lineRule="auto"/>
        <w:tabs>
          <w:tab w:leader="none" w:pos="50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95"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For the quarterly period ended March 31, 2020</w:t>
      </w:r>
    </w:p>
    <w:p>
      <w:pPr>
        <w:spacing w:after="0" w:line="10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162" w:lineRule="exact"/>
        <w:rPr>
          <w:sz w:val="24"/>
          <w:szCs w:val="24"/>
          <w:color w:val="auto"/>
        </w:rPr>
      </w:pPr>
    </w:p>
    <w:p>
      <w:pPr>
        <w:ind w:left="500" w:right="240" w:hanging="465"/>
        <w:spacing w:after="0" w:line="256" w:lineRule="auto"/>
        <w:tabs>
          <w:tab w:leader="none" w:pos="50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95" w:lineRule="exact"/>
        <w:rPr>
          <w:sz w:val="24"/>
          <w:szCs w:val="24"/>
          <w:color w:val="auto"/>
        </w:rPr>
      </w:pPr>
    </w:p>
    <w:p>
      <w:pPr>
        <w:ind w:left="4000"/>
        <w:spacing w:after="0"/>
        <w:tabs>
          <w:tab w:leader="none" w:pos="6600" w:val="left"/>
        </w:tabs>
        <w:rPr>
          <w:sz w:val="20"/>
          <w:szCs w:val="20"/>
          <w:color w:val="auto"/>
        </w:rPr>
      </w:pPr>
      <w:r>
        <w:rPr>
          <w:rFonts w:ascii="Arial" w:cs="Arial" w:eastAsia="Arial" w:hAnsi="Arial"/>
          <w:sz w:val="16"/>
          <w:szCs w:val="16"/>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113"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Commission File Number 001-35410</w:t>
      </w:r>
    </w:p>
    <w:p>
      <w:pPr>
        <w:spacing w:after="0" w:line="63" w:lineRule="exact"/>
        <w:rPr>
          <w:sz w:val="24"/>
          <w:szCs w:val="24"/>
          <w:color w:val="auto"/>
        </w:rPr>
      </w:pPr>
    </w:p>
    <w:p>
      <w:pPr>
        <w:ind w:left="4080"/>
        <w:spacing w:after="0"/>
        <w:rPr>
          <w:sz w:val="20"/>
          <w:szCs w:val="20"/>
          <w:color w:val="auto"/>
        </w:rPr>
      </w:pPr>
      <w:r>
        <w:rPr>
          <w:rFonts w:ascii="Arial" w:cs="Arial" w:eastAsia="Arial" w:hAnsi="Arial"/>
          <w:sz w:val="11"/>
          <w:szCs w:val="11"/>
          <w:color w:val="auto"/>
        </w:rPr>
        <w:t>_________________________________________________________</w:t>
      </w:r>
    </w:p>
    <w:p>
      <w:pPr>
        <w:spacing w:after="0" w:line="123"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Matador Resources Company</w:t>
      </w:r>
    </w:p>
    <w:p>
      <w:pPr>
        <w:spacing w:after="0" w:line="53"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(Exact name of registrant as specified in its charter)</w:t>
      </w:r>
    </w:p>
    <w:p>
      <w:pPr>
        <w:spacing w:after="0" w:line="59" w:lineRule="exact"/>
        <w:rPr>
          <w:sz w:val="24"/>
          <w:szCs w:val="24"/>
          <w:color w:val="auto"/>
        </w:rPr>
      </w:pPr>
    </w:p>
    <w:p>
      <w:pPr>
        <w:ind w:left="4080"/>
        <w:spacing w:after="0"/>
        <w:rPr>
          <w:sz w:val="20"/>
          <w:szCs w:val="20"/>
          <w:color w:val="auto"/>
        </w:rPr>
      </w:pPr>
      <w:r>
        <w:rPr>
          <w:rFonts w:ascii="Arial" w:cs="Arial" w:eastAsia="Arial" w:hAnsi="Arial"/>
          <w:sz w:val="11"/>
          <w:szCs w:val="11"/>
          <w:color w:val="auto"/>
        </w:rPr>
        <w:t>_________________________________________________________</w:t>
      </w:r>
    </w:p>
    <w:p>
      <w:pPr>
        <w:spacing w:after="0" w:line="202" w:lineRule="exact"/>
        <w:rPr>
          <w:sz w:val="24"/>
          <w:szCs w:val="24"/>
          <w:color w:val="auto"/>
        </w:rPr>
      </w:pPr>
    </w:p>
    <w:tbl>
      <w:tblPr>
        <w:tblLayout w:type="fixed"/>
        <w:tblInd w:w="1580" w:type="dxa"/>
        <w:tblCellMar>
          <w:top w:w="0" w:type="dxa"/>
          <w:left w:w="0" w:type="dxa"/>
          <w:bottom w:w="0" w:type="dxa"/>
          <w:right w:w="0" w:type="dxa"/>
        </w:tblCellMar>
      </w:tblPr>
      <w:tr>
        <w:trPr>
          <w:trHeight w:val="234"/>
        </w:trPr>
        <w:tc>
          <w:tcPr>
            <w:tcW w:w="5960" w:type="dxa"/>
            <w:vAlign w:val="bottom"/>
          </w:tcPr>
          <w:p>
            <w:pPr>
              <w:jc w:val="center"/>
              <w:ind w:right="3499"/>
              <w:spacing w:after="0"/>
              <w:rPr>
                <w:sz w:val="20"/>
                <w:szCs w:val="20"/>
                <w:color w:val="auto"/>
              </w:rPr>
            </w:pPr>
            <w:r>
              <w:rPr>
                <w:rFonts w:ascii="Arial" w:cs="Arial" w:eastAsia="Arial" w:hAnsi="Arial"/>
                <w:sz w:val="18"/>
                <w:szCs w:val="18"/>
                <w:b w:val="1"/>
                <w:bCs w:val="1"/>
                <w:color w:val="auto"/>
                <w:w w:val="82"/>
              </w:rPr>
              <w:t>Texas</w:t>
            </w:r>
          </w:p>
        </w:tc>
        <w:tc>
          <w:tcPr>
            <w:tcW w:w="1440" w:type="dxa"/>
            <w:vAlign w:val="bottom"/>
          </w:tcPr>
          <w:p>
            <w:pPr>
              <w:jc w:val="right"/>
              <w:ind w:right="61"/>
              <w:spacing w:after="0"/>
              <w:rPr>
                <w:sz w:val="20"/>
                <w:szCs w:val="20"/>
                <w:color w:val="auto"/>
              </w:rPr>
            </w:pPr>
            <w:r>
              <w:rPr>
                <w:rFonts w:ascii="Arial" w:cs="Arial" w:eastAsia="Arial" w:hAnsi="Arial"/>
                <w:sz w:val="18"/>
                <w:szCs w:val="18"/>
                <w:b w:val="1"/>
                <w:bCs w:val="1"/>
                <w:color w:val="auto"/>
              </w:rPr>
              <w:t>27-4662601</w:t>
            </w:r>
          </w:p>
        </w:tc>
      </w:tr>
      <w:tr>
        <w:trPr>
          <w:trHeight w:val="180"/>
        </w:trPr>
        <w:tc>
          <w:tcPr>
            <w:tcW w:w="5960" w:type="dxa"/>
            <w:vAlign w:val="bottom"/>
          </w:tcPr>
          <w:p>
            <w:pPr>
              <w:jc w:val="center"/>
              <w:ind w:right="3519"/>
              <w:spacing w:after="0"/>
              <w:rPr>
                <w:sz w:val="20"/>
                <w:szCs w:val="20"/>
                <w:color w:val="auto"/>
              </w:rPr>
            </w:pPr>
            <w:r>
              <w:rPr>
                <w:rFonts w:ascii="Arial" w:cs="Arial" w:eastAsia="Arial" w:hAnsi="Arial"/>
                <w:sz w:val="14"/>
                <w:szCs w:val="14"/>
                <w:b w:val="1"/>
                <w:bCs w:val="1"/>
                <w:color w:val="auto"/>
                <w:w w:val="93"/>
              </w:rPr>
              <w:t>(State or other jurisdiction of</w:t>
            </w:r>
          </w:p>
        </w:tc>
        <w:tc>
          <w:tcPr>
            <w:tcW w:w="1440" w:type="dxa"/>
            <w:vAlign w:val="bottom"/>
          </w:tcPr>
          <w:p>
            <w:pPr>
              <w:jc w:val="center"/>
              <w:ind w:left="241"/>
              <w:spacing w:after="0"/>
              <w:rPr>
                <w:sz w:val="20"/>
                <w:szCs w:val="20"/>
                <w:color w:val="auto"/>
              </w:rPr>
            </w:pPr>
            <w:r>
              <w:rPr>
                <w:rFonts w:ascii="Arial" w:cs="Arial" w:eastAsia="Arial" w:hAnsi="Arial"/>
                <w:sz w:val="14"/>
                <w:szCs w:val="14"/>
                <w:b w:val="1"/>
                <w:bCs w:val="1"/>
                <w:color w:val="auto"/>
                <w:w w:val="96"/>
              </w:rPr>
              <w:t>(I.R.S. Employer</w:t>
            </w:r>
          </w:p>
        </w:tc>
      </w:tr>
      <w:tr>
        <w:trPr>
          <w:trHeight w:val="186"/>
        </w:trPr>
        <w:tc>
          <w:tcPr>
            <w:tcW w:w="5960" w:type="dxa"/>
            <w:vAlign w:val="bottom"/>
          </w:tcPr>
          <w:p>
            <w:pPr>
              <w:jc w:val="center"/>
              <w:ind w:right="3519"/>
              <w:spacing w:after="0"/>
              <w:rPr>
                <w:sz w:val="20"/>
                <w:szCs w:val="20"/>
                <w:color w:val="auto"/>
              </w:rPr>
            </w:pPr>
            <w:r>
              <w:rPr>
                <w:rFonts w:ascii="Arial" w:cs="Arial" w:eastAsia="Arial" w:hAnsi="Arial"/>
                <w:sz w:val="14"/>
                <w:szCs w:val="14"/>
                <w:b w:val="1"/>
                <w:bCs w:val="1"/>
                <w:color w:val="auto"/>
                <w:w w:val="94"/>
              </w:rPr>
              <w:t>incorporation or organization)</w:t>
            </w:r>
          </w:p>
        </w:tc>
        <w:tc>
          <w:tcPr>
            <w:tcW w:w="1440" w:type="dxa"/>
            <w:vAlign w:val="bottom"/>
          </w:tcPr>
          <w:p>
            <w:pPr>
              <w:jc w:val="center"/>
              <w:ind w:left="221"/>
              <w:spacing w:after="0"/>
              <w:rPr>
                <w:sz w:val="20"/>
                <w:szCs w:val="20"/>
                <w:color w:val="auto"/>
              </w:rPr>
            </w:pPr>
            <w:r>
              <w:rPr>
                <w:rFonts w:ascii="Arial" w:cs="Arial" w:eastAsia="Arial" w:hAnsi="Arial"/>
                <w:sz w:val="14"/>
                <w:szCs w:val="14"/>
                <w:b w:val="1"/>
                <w:bCs w:val="1"/>
                <w:color w:val="auto"/>
                <w:w w:val="96"/>
              </w:rPr>
              <w:t>Identification No.)</w:t>
            </w:r>
          </w:p>
        </w:tc>
      </w:tr>
      <w:tr>
        <w:trPr>
          <w:trHeight w:val="376"/>
        </w:trPr>
        <w:tc>
          <w:tcPr>
            <w:tcW w:w="5960" w:type="dxa"/>
            <w:vAlign w:val="bottom"/>
          </w:tcPr>
          <w:p>
            <w:pPr>
              <w:ind w:left="140"/>
              <w:spacing w:after="0"/>
              <w:rPr>
                <w:sz w:val="20"/>
                <w:szCs w:val="20"/>
                <w:color w:val="auto"/>
              </w:rPr>
            </w:pPr>
            <w:r>
              <w:rPr>
                <w:rFonts w:ascii="Arial" w:cs="Arial" w:eastAsia="Arial" w:hAnsi="Arial"/>
                <w:sz w:val="18"/>
                <w:szCs w:val="18"/>
                <w:b w:val="1"/>
                <w:bCs w:val="1"/>
                <w:color w:val="auto"/>
              </w:rPr>
              <w:t>5400 LBJ Freeway, Suite 1500</w:t>
            </w:r>
          </w:p>
        </w:tc>
        <w:tc>
          <w:tcPr>
            <w:tcW w:w="1440" w:type="dxa"/>
            <w:vAlign w:val="bottom"/>
          </w:tcPr>
          <w:p>
            <w:pPr>
              <w:spacing w:after="0"/>
              <w:rPr>
                <w:sz w:val="24"/>
                <w:szCs w:val="24"/>
                <w:color w:val="auto"/>
              </w:rPr>
            </w:pPr>
          </w:p>
        </w:tc>
      </w:tr>
      <w:tr>
        <w:trPr>
          <w:trHeight w:val="270"/>
        </w:trPr>
        <w:tc>
          <w:tcPr>
            <w:tcW w:w="5960" w:type="dxa"/>
            <w:vAlign w:val="bottom"/>
          </w:tcPr>
          <w:p>
            <w:pPr>
              <w:jc w:val="center"/>
              <w:ind w:right="3479"/>
              <w:spacing w:after="0"/>
              <w:rPr>
                <w:sz w:val="20"/>
                <w:szCs w:val="20"/>
                <w:color w:val="auto"/>
              </w:rPr>
            </w:pPr>
            <w:r>
              <w:rPr>
                <w:rFonts w:ascii="Arial" w:cs="Arial" w:eastAsia="Arial" w:hAnsi="Arial"/>
                <w:sz w:val="18"/>
                <w:szCs w:val="18"/>
                <w:b w:val="1"/>
                <w:bCs w:val="1"/>
                <w:color w:val="auto"/>
                <w:w w:val="87"/>
              </w:rPr>
              <w:t>Dallas, Texas</w:t>
            </w:r>
          </w:p>
        </w:tc>
        <w:tc>
          <w:tcPr>
            <w:tcW w:w="1440" w:type="dxa"/>
            <w:vAlign w:val="bottom"/>
          </w:tcPr>
          <w:p>
            <w:pPr>
              <w:jc w:val="right"/>
              <w:ind w:right="261"/>
              <w:spacing w:after="0"/>
              <w:rPr>
                <w:sz w:val="20"/>
                <w:szCs w:val="20"/>
                <w:color w:val="auto"/>
              </w:rPr>
            </w:pPr>
            <w:r>
              <w:rPr>
                <w:rFonts w:ascii="Arial" w:cs="Arial" w:eastAsia="Arial" w:hAnsi="Arial"/>
                <w:sz w:val="18"/>
                <w:szCs w:val="18"/>
                <w:b w:val="1"/>
                <w:bCs w:val="1"/>
                <w:color w:val="auto"/>
              </w:rPr>
              <w:t>75240</w:t>
            </w:r>
          </w:p>
        </w:tc>
      </w:tr>
      <w:tr>
        <w:trPr>
          <w:trHeight w:val="218"/>
        </w:trPr>
        <w:tc>
          <w:tcPr>
            <w:tcW w:w="5960" w:type="dxa"/>
            <w:vAlign w:val="bottom"/>
          </w:tcPr>
          <w:p>
            <w:pPr>
              <w:jc w:val="center"/>
              <w:ind w:right="3499"/>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1440" w:type="dxa"/>
            <w:vAlign w:val="bottom"/>
          </w:tcPr>
          <w:p>
            <w:pPr>
              <w:jc w:val="center"/>
              <w:ind w:left="221"/>
              <w:spacing w:after="0"/>
              <w:rPr>
                <w:sz w:val="20"/>
                <w:szCs w:val="20"/>
                <w:color w:val="auto"/>
              </w:rPr>
            </w:pPr>
            <w:r>
              <w:rPr>
                <w:rFonts w:ascii="Arial" w:cs="Arial" w:eastAsia="Arial" w:hAnsi="Arial"/>
                <w:sz w:val="14"/>
                <w:szCs w:val="14"/>
                <w:b w:val="1"/>
                <w:bCs w:val="1"/>
                <w:color w:val="auto"/>
                <w:w w:val="95"/>
              </w:rPr>
              <w:t>(Zip Code)</w:t>
            </w:r>
          </w:p>
        </w:tc>
      </w:tr>
      <w:tr>
        <w:trPr>
          <w:trHeight w:val="435"/>
        </w:trPr>
        <w:tc>
          <w:tcPr>
            <w:tcW w:w="5960" w:type="dxa"/>
            <w:vAlign w:val="bottom"/>
          </w:tcPr>
          <w:p>
            <w:pPr>
              <w:jc w:val="right"/>
              <w:ind w:right="1279"/>
              <w:spacing w:after="0"/>
              <w:rPr>
                <w:sz w:val="20"/>
                <w:szCs w:val="20"/>
                <w:color w:val="auto"/>
              </w:rPr>
            </w:pPr>
            <w:r>
              <w:rPr>
                <w:rFonts w:ascii="Arial" w:cs="Arial" w:eastAsia="Arial" w:hAnsi="Arial"/>
                <w:sz w:val="18"/>
                <w:szCs w:val="18"/>
                <w:b w:val="1"/>
                <w:bCs w:val="1"/>
                <w:color w:val="auto"/>
              </w:rPr>
              <w:t>(972) 371-5200</w:t>
            </w:r>
          </w:p>
        </w:tc>
        <w:tc>
          <w:tcPr>
            <w:tcW w:w="1440" w:type="dxa"/>
            <w:vAlign w:val="bottom"/>
          </w:tcPr>
          <w:p>
            <w:pPr>
              <w:spacing w:after="0"/>
              <w:rPr>
                <w:sz w:val="24"/>
                <w:szCs w:val="24"/>
                <w:color w:val="auto"/>
              </w:rPr>
            </w:pPr>
          </w:p>
        </w:tc>
      </w:tr>
      <w:tr>
        <w:trPr>
          <w:trHeight w:val="186"/>
        </w:trPr>
        <w:tc>
          <w:tcPr>
            <w:tcW w:w="5960" w:type="dxa"/>
            <w:vAlign w:val="bottom"/>
          </w:tcPr>
          <w:p>
            <w:pPr>
              <w:jc w:val="center"/>
              <w:ind w:left="2039"/>
              <w:spacing w:after="0"/>
              <w:rPr>
                <w:sz w:val="20"/>
                <w:szCs w:val="20"/>
                <w:color w:val="auto"/>
              </w:rPr>
            </w:pPr>
            <w:r>
              <w:rPr>
                <w:rFonts w:ascii="Arial" w:cs="Arial" w:eastAsia="Arial" w:hAnsi="Arial"/>
                <w:sz w:val="14"/>
                <w:szCs w:val="14"/>
                <w:b w:val="1"/>
                <w:bCs w:val="1"/>
                <w:color w:val="auto"/>
                <w:w w:val="91"/>
              </w:rPr>
              <w:t>(Registrant’s telephone number, including area code)</w:t>
            </w:r>
          </w:p>
        </w:tc>
        <w:tc>
          <w:tcPr>
            <w:tcW w:w="1440" w:type="dxa"/>
            <w:vAlign w:val="bottom"/>
          </w:tcPr>
          <w:p>
            <w:pPr>
              <w:spacing w:after="0"/>
              <w:rPr>
                <w:sz w:val="16"/>
                <w:szCs w:val="16"/>
                <w:color w:val="auto"/>
              </w:rPr>
            </w:pPr>
          </w:p>
        </w:tc>
      </w:tr>
    </w:tbl>
    <w:p>
      <w:pPr>
        <w:spacing w:after="0" w:line="2" w:lineRule="exact"/>
        <w:rPr>
          <w:sz w:val="24"/>
          <w:szCs w:val="24"/>
          <w:color w:val="auto"/>
        </w:rPr>
      </w:pPr>
    </w:p>
    <w:p>
      <w:pPr>
        <w:ind w:left="3300"/>
        <w:spacing w:after="0"/>
        <w:rPr>
          <w:sz w:val="20"/>
          <w:szCs w:val="20"/>
          <w:color w:val="auto"/>
        </w:rPr>
      </w:pPr>
      <w:r>
        <w:rPr>
          <w:rFonts w:ascii="Arial" w:cs="Arial" w:eastAsia="Arial" w:hAnsi="Arial"/>
          <w:sz w:val="16"/>
          <w:szCs w:val="16"/>
          <w:color w:val="auto"/>
        </w:rPr>
        <w:t>_________________________________________________________</w:t>
      </w:r>
    </w:p>
    <w:p>
      <w:pPr>
        <w:spacing w:after="0" w:line="122"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30" w:lineRule="exact"/>
        <w:rPr>
          <w:sz w:val="24"/>
          <w:szCs w:val="24"/>
          <w:color w:val="auto"/>
        </w:rPr>
      </w:pPr>
    </w:p>
    <w:tbl>
      <w:tblPr>
        <w:tblLayout w:type="fixed"/>
        <w:tblInd w:w="880" w:type="dxa"/>
        <w:tblCellMar>
          <w:top w:w="0" w:type="dxa"/>
          <w:left w:w="0" w:type="dxa"/>
          <w:bottom w:w="0" w:type="dxa"/>
          <w:right w:w="0" w:type="dxa"/>
        </w:tblCellMar>
      </w:tblPr>
      <w:tr>
        <w:trPr>
          <w:trHeight w:val="192"/>
        </w:trPr>
        <w:tc>
          <w:tcPr>
            <w:tcW w:w="40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Title of each class</w:t>
            </w:r>
          </w:p>
        </w:tc>
        <w:tc>
          <w:tcPr>
            <w:tcW w:w="200" w:type="dxa"/>
            <w:vAlign w:val="bottom"/>
          </w:tcPr>
          <w:p>
            <w:pPr>
              <w:spacing w:after="0"/>
              <w:rPr>
                <w:sz w:val="16"/>
                <w:szCs w:val="16"/>
                <w:color w:val="auto"/>
              </w:rPr>
            </w:pPr>
          </w:p>
        </w:tc>
        <w:tc>
          <w:tcPr>
            <w:tcW w:w="16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Trading symbol(s)</w:t>
            </w:r>
          </w:p>
        </w:tc>
        <w:tc>
          <w:tcPr>
            <w:tcW w:w="180" w:type="dxa"/>
            <w:vAlign w:val="bottom"/>
          </w:tcPr>
          <w:p>
            <w:pPr>
              <w:spacing w:after="0"/>
              <w:rPr>
                <w:sz w:val="16"/>
                <w:szCs w:val="16"/>
                <w:color w:val="auto"/>
              </w:rPr>
            </w:pPr>
          </w:p>
        </w:tc>
        <w:tc>
          <w:tcPr>
            <w:tcW w:w="3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Name of each exchange on which registered</w:t>
            </w:r>
          </w:p>
        </w:tc>
      </w:tr>
      <w:tr>
        <w:trPr>
          <w:trHeight w:val="243"/>
        </w:trPr>
        <w:tc>
          <w:tcPr>
            <w:tcW w:w="4200" w:type="dxa"/>
            <w:vAlign w:val="bottom"/>
            <w:gridSpan w:val="2"/>
          </w:tcPr>
          <w:p>
            <w:pPr>
              <w:jc w:val="center"/>
              <w:ind w:right="220"/>
              <w:spacing w:after="0"/>
              <w:rPr>
                <w:sz w:val="20"/>
                <w:szCs w:val="20"/>
                <w:color w:val="auto"/>
              </w:rPr>
            </w:pPr>
            <w:r>
              <w:rPr>
                <w:rFonts w:ascii="Arial" w:cs="Arial" w:eastAsia="Arial" w:hAnsi="Arial"/>
                <w:sz w:val="18"/>
                <w:szCs w:val="18"/>
                <w:color w:val="auto"/>
                <w:w w:val="89"/>
              </w:rPr>
              <w:t>Common Stock, par value $0.01 per share</w:t>
            </w:r>
          </w:p>
        </w:tc>
        <w:tc>
          <w:tcPr>
            <w:tcW w:w="1800" w:type="dxa"/>
            <w:vAlign w:val="bottom"/>
            <w:gridSpan w:val="2"/>
          </w:tcPr>
          <w:p>
            <w:pPr>
              <w:jc w:val="center"/>
              <w:ind w:right="200"/>
              <w:spacing w:after="0"/>
              <w:rPr>
                <w:sz w:val="20"/>
                <w:szCs w:val="20"/>
                <w:color w:val="auto"/>
              </w:rPr>
            </w:pPr>
            <w:r>
              <w:rPr>
                <w:rFonts w:ascii="Arial" w:cs="Arial" w:eastAsia="Arial" w:hAnsi="Arial"/>
                <w:sz w:val="18"/>
                <w:szCs w:val="18"/>
                <w:color w:val="auto"/>
                <w:w w:val="99"/>
              </w:rPr>
              <w:t>MTDR</w:t>
            </w:r>
          </w:p>
        </w:tc>
        <w:tc>
          <w:tcPr>
            <w:tcW w:w="3500" w:type="dxa"/>
            <w:vAlign w:val="bottom"/>
          </w:tcPr>
          <w:p>
            <w:pPr>
              <w:jc w:val="center"/>
              <w:spacing w:after="0"/>
              <w:rPr>
                <w:sz w:val="20"/>
                <w:szCs w:val="20"/>
                <w:color w:val="auto"/>
              </w:rPr>
            </w:pPr>
            <w:r>
              <w:rPr>
                <w:rFonts w:ascii="Arial" w:cs="Arial" w:eastAsia="Arial" w:hAnsi="Arial"/>
                <w:sz w:val="18"/>
                <w:szCs w:val="18"/>
                <w:color w:val="auto"/>
                <w:w w:val="91"/>
              </w:rPr>
              <w:t>New York Stock Exchange</w:t>
            </w:r>
          </w:p>
        </w:tc>
      </w:tr>
    </w:tbl>
    <w:p>
      <w:pPr>
        <w:spacing w:after="0" w:line="179" w:lineRule="exact"/>
        <w:rPr>
          <w:sz w:val="24"/>
          <w:szCs w:val="24"/>
          <w:color w:val="auto"/>
        </w:rPr>
      </w:pPr>
    </w:p>
    <w:p>
      <w:pPr>
        <w:spacing w:after="0" w:line="268" w:lineRule="auto"/>
        <w:rPr>
          <w:sz w:val="20"/>
          <w:szCs w:val="20"/>
          <w:color w:val="auto"/>
        </w:rPr>
      </w:pPr>
      <w:r>
        <w:rPr>
          <w:rFonts w:ascii="Arial" w:cs="Arial" w:eastAsia="Arial" w:hAnsi="Arial"/>
          <w:sz w:val="15"/>
          <w:szCs w:val="15"/>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w:t>
      </w:r>
    </w:p>
    <w:p>
      <w:pPr>
        <w:spacing w:after="0" w:line="1" w:lineRule="exact"/>
        <w:rPr>
          <w:sz w:val="24"/>
          <w:szCs w:val="24"/>
          <w:color w:val="auto"/>
        </w:rPr>
      </w:pPr>
    </w:p>
    <w:p>
      <w:pPr>
        <w:spacing w:after="0" w:line="184" w:lineRule="exact"/>
        <w:tabs>
          <w:tab w:leader="none" w:pos="520" w:val="left"/>
          <w:tab w:leader="none" w:pos="1160" w:val="left"/>
        </w:tabs>
        <w:rPr>
          <w:sz w:val="20"/>
          <w:szCs w:val="20"/>
          <w:color w:val="auto"/>
        </w:rPr>
      </w:pPr>
      <w:r>
        <w:rPr>
          <w:rFonts w:ascii="Arial" w:cs="Arial" w:eastAsia="Arial" w:hAnsi="Arial"/>
          <w:sz w:val="16"/>
          <w:szCs w:val="16"/>
          <w:color w:val="auto"/>
        </w:rPr>
        <w:t>days.</w:t>
        <w:tab/>
      </w:r>
      <w:r>
        <w:rPr>
          <w:rFonts w:ascii="MS PGothic" w:cs="MS PGothic" w:eastAsia="MS PGothic" w:hAnsi="MS PGothic"/>
          <w:sz w:val="16"/>
          <w:szCs w:val="16"/>
          <w:color w:val="auto"/>
        </w:rPr>
        <w:t>☒</w:t>
      </w:r>
      <w:r>
        <w:rPr>
          <w:rFonts w:ascii="Arial" w:cs="Arial" w:eastAsia="Arial" w:hAnsi="Arial"/>
          <w:sz w:val="16"/>
          <w:szCs w:val="16"/>
          <w:color w:val="auto"/>
        </w:rPr>
        <w:t xml:space="preserve"> Yes</w:t>
      </w:r>
      <w:r>
        <w:rPr>
          <w:sz w:val="20"/>
          <w:szCs w:val="20"/>
          <w:color w:val="auto"/>
        </w:rPr>
        <w:tab/>
      </w:r>
      <w:r>
        <w:rPr>
          <w:rFonts w:ascii="MS PGothic" w:cs="MS PGothic" w:eastAsia="MS PGothic" w:hAnsi="MS PGothic"/>
          <w:sz w:val="16"/>
          <w:szCs w:val="16"/>
          <w:color w:val="auto"/>
        </w:rPr>
        <w:t xml:space="preserve">☐ </w:t>
      </w:r>
      <w:r>
        <w:rPr>
          <w:rFonts w:ascii="Arial" w:cs="Arial" w:eastAsia="Arial" w:hAnsi="Arial"/>
          <w:sz w:val="16"/>
          <w:szCs w:val="16"/>
          <w:color w:val="auto"/>
        </w:rPr>
        <w:t>No</w:t>
      </w:r>
    </w:p>
    <w:p>
      <w:pPr>
        <w:spacing w:after="0" w:line="159" w:lineRule="exact"/>
        <w:rPr>
          <w:sz w:val="24"/>
          <w:szCs w:val="24"/>
          <w:color w:val="auto"/>
        </w:rPr>
      </w:pPr>
    </w:p>
    <w:p>
      <w:pPr>
        <w:ind w:right="240"/>
        <w:spacing w:after="0" w:line="207"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w:t>
      </w:r>
      <w:r>
        <w:rPr>
          <w:rFonts w:ascii="MS PGothic" w:cs="MS PGothic" w:eastAsia="MS PGothic" w:hAnsi="MS PGothic"/>
          <w:sz w:val="15"/>
          <w:szCs w:val="15"/>
          <w:color w:val="auto"/>
        </w:rPr>
        <w:t>☒</w:t>
      </w:r>
      <w:r>
        <w:rPr>
          <w:rFonts w:ascii="Arial" w:cs="Arial" w:eastAsia="Arial" w:hAnsi="Arial"/>
          <w:sz w:val="15"/>
          <w:szCs w:val="15"/>
          <w:color w:val="auto"/>
        </w:rPr>
        <w:t xml:space="preserve"> Yes </w:t>
      </w:r>
      <w:r>
        <w:rPr>
          <w:rFonts w:ascii="MS PGothic" w:cs="MS PGothic" w:eastAsia="MS PGothic" w:hAnsi="MS PGothic"/>
          <w:sz w:val="15"/>
          <w:szCs w:val="15"/>
          <w:color w:val="auto"/>
        </w:rPr>
        <w:t>☐</w:t>
      </w:r>
      <w:r>
        <w:rPr>
          <w:rFonts w:ascii="Arial" w:cs="Arial" w:eastAsia="Arial" w:hAnsi="Arial"/>
          <w:sz w:val="15"/>
          <w:szCs w:val="15"/>
          <w:color w:val="auto"/>
        </w:rPr>
        <w:t xml:space="preserve"> No</w:t>
      </w:r>
    </w:p>
    <w:p>
      <w:pPr>
        <w:spacing w:after="0" w:line="127" w:lineRule="exact"/>
        <w:rPr>
          <w:sz w:val="24"/>
          <w:szCs w:val="24"/>
          <w:color w:val="auto"/>
        </w:rPr>
      </w:pPr>
    </w:p>
    <w:p>
      <w:pPr>
        <w:ind w:right="120"/>
        <w:spacing w:after="0" w:line="261"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12" w:lineRule="exact"/>
        <w:rPr>
          <w:sz w:val="24"/>
          <w:szCs w:val="24"/>
          <w:color w:val="auto"/>
        </w:rPr>
      </w:pPr>
    </w:p>
    <w:tbl>
      <w:tblPr>
        <w:tblLayout w:type="fixed"/>
        <w:tblInd w:w="40" w:type="dxa"/>
        <w:tblCellMar>
          <w:top w:w="0" w:type="dxa"/>
          <w:left w:w="0" w:type="dxa"/>
          <w:bottom w:w="0" w:type="dxa"/>
          <w:right w:w="0" w:type="dxa"/>
        </w:tblCellMar>
      </w:tblPr>
      <w:tr>
        <w:trPr>
          <w:trHeight w:val="254"/>
        </w:trPr>
        <w:tc>
          <w:tcPr>
            <w:tcW w:w="224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3220" w:type="dxa"/>
            <w:vAlign w:val="bottom"/>
          </w:tcPr>
          <w:p>
            <w:pPr>
              <w:ind w:left="800"/>
              <w:spacing w:after="0" w:line="161" w:lineRule="exact"/>
              <w:rPr>
                <w:sz w:val="20"/>
                <w:szCs w:val="20"/>
                <w:color w:val="auto"/>
              </w:rPr>
            </w:pPr>
            <w:r>
              <w:rPr>
                <w:rFonts w:ascii="MS PGothic" w:cs="MS PGothic" w:eastAsia="MS PGothic" w:hAnsi="MS PGothic"/>
                <w:sz w:val="16"/>
                <w:szCs w:val="16"/>
                <w:color w:val="auto"/>
              </w:rPr>
              <w:t>☒</w:t>
            </w:r>
          </w:p>
        </w:tc>
        <w:tc>
          <w:tcPr>
            <w:tcW w:w="4740" w:type="dxa"/>
            <w:vAlign w:val="bottom"/>
          </w:tcPr>
          <w:p>
            <w:pPr>
              <w:ind w:left="2280"/>
              <w:spacing w:after="0"/>
              <w:rPr>
                <w:sz w:val="20"/>
                <w:szCs w:val="20"/>
                <w:color w:val="auto"/>
              </w:rPr>
            </w:pPr>
            <w:r>
              <w:rPr>
                <w:rFonts w:ascii="Arial" w:cs="Arial" w:eastAsia="Arial" w:hAnsi="Arial"/>
                <w:sz w:val="16"/>
                <w:szCs w:val="16"/>
                <w:color w:val="auto"/>
              </w:rPr>
              <w:t>Accelerated filer</w:t>
            </w:r>
          </w:p>
        </w:tc>
        <w:tc>
          <w:tcPr>
            <w:tcW w:w="820" w:type="dxa"/>
            <w:vAlign w:val="bottom"/>
          </w:tcPr>
          <w:p>
            <w:pPr>
              <w:ind w:left="68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391"/>
        </w:trPr>
        <w:tc>
          <w:tcPr>
            <w:tcW w:w="2240" w:type="dxa"/>
            <w:vAlign w:val="bottom"/>
          </w:tcPr>
          <w:p>
            <w:pPr>
              <w:spacing w:after="0"/>
              <w:rPr>
                <w:sz w:val="20"/>
                <w:szCs w:val="20"/>
                <w:color w:val="auto"/>
              </w:rPr>
            </w:pPr>
            <w:r>
              <w:rPr>
                <w:rFonts w:ascii="Arial" w:cs="Arial" w:eastAsia="Arial" w:hAnsi="Arial"/>
                <w:sz w:val="16"/>
                <w:szCs w:val="16"/>
                <w:color w:val="auto"/>
              </w:rPr>
              <w:t>Non-accelerated filer</w:t>
            </w:r>
          </w:p>
        </w:tc>
        <w:tc>
          <w:tcPr>
            <w:tcW w:w="3220" w:type="dxa"/>
            <w:vAlign w:val="bottom"/>
          </w:tcPr>
          <w:p>
            <w:pPr>
              <w:ind w:left="800"/>
              <w:spacing w:after="0" w:line="161" w:lineRule="exact"/>
              <w:rPr>
                <w:sz w:val="20"/>
                <w:szCs w:val="20"/>
                <w:color w:val="auto"/>
              </w:rPr>
            </w:pPr>
            <w:r>
              <w:rPr>
                <w:rFonts w:ascii="MS PGothic" w:cs="MS PGothic" w:eastAsia="MS PGothic" w:hAnsi="MS PGothic"/>
                <w:sz w:val="16"/>
                <w:szCs w:val="16"/>
                <w:color w:val="auto"/>
              </w:rPr>
              <w:t>☐</w:t>
            </w:r>
          </w:p>
        </w:tc>
        <w:tc>
          <w:tcPr>
            <w:tcW w:w="4740" w:type="dxa"/>
            <w:vAlign w:val="bottom"/>
          </w:tcPr>
          <w:p>
            <w:pPr>
              <w:ind w:left="2280"/>
              <w:spacing w:after="0"/>
              <w:rPr>
                <w:sz w:val="20"/>
                <w:szCs w:val="20"/>
                <w:color w:val="auto"/>
              </w:rPr>
            </w:pPr>
            <w:r>
              <w:rPr>
                <w:rFonts w:ascii="Arial" w:cs="Arial" w:eastAsia="Arial" w:hAnsi="Arial"/>
                <w:sz w:val="16"/>
                <w:szCs w:val="16"/>
                <w:color w:val="auto"/>
              </w:rPr>
              <w:t>Smaller reporting company</w:t>
            </w:r>
          </w:p>
        </w:tc>
        <w:tc>
          <w:tcPr>
            <w:tcW w:w="820" w:type="dxa"/>
            <w:vAlign w:val="bottom"/>
          </w:tcPr>
          <w:p>
            <w:pPr>
              <w:ind w:left="68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391"/>
        </w:trPr>
        <w:tc>
          <w:tcPr>
            <w:tcW w:w="224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4740" w:type="dxa"/>
            <w:vAlign w:val="bottom"/>
          </w:tcPr>
          <w:p>
            <w:pPr>
              <w:ind w:left="2280"/>
              <w:spacing w:after="0"/>
              <w:rPr>
                <w:sz w:val="20"/>
                <w:szCs w:val="20"/>
                <w:color w:val="auto"/>
              </w:rPr>
            </w:pPr>
            <w:r>
              <w:rPr>
                <w:rFonts w:ascii="Arial" w:cs="Arial" w:eastAsia="Arial" w:hAnsi="Arial"/>
                <w:sz w:val="16"/>
                <w:szCs w:val="16"/>
                <w:color w:val="auto"/>
              </w:rPr>
              <w:t>Emerging growth company</w:t>
            </w:r>
          </w:p>
        </w:tc>
        <w:tc>
          <w:tcPr>
            <w:tcW w:w="820" w:type="dxa"/>
            <w:vAlign w:val="bottom"/>
          </w:tcPr>
          <w:p>
            <w:pPr>
              <w:ind w:left="68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167" w:lineRule="exact"/>
        <w:rPr>
          <w:sz w:val="24"/>
          <w:szCs w:val="24"/>
          <w:color w:val="auto"/>
        </w:rPr>
      </w:pPr>
    </w:p>
    <w:p>
      <w:pPr>
        <w:ind w:right="580"/>
        <w:spacing w:after="0" w:line="207"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98" w:lineRule="exact"/>
        <w:rPr>
          <w:sz w:val="24"/>
          <w:szCs w:val="24"/>
          <w:color w:val="auto"/>
        </w:rPr>
      </w:pPr>
    </w:p>
    <w:p>
      <w:pPr>
        <w:ind w:right="2660"/>
        <w:spacing w:after="0" w:line="294" w:lineRule="exact"/>
        <w:rPr>
          <w:sz w:val="20"/>
          <w:szCs w:val="20"/>
          <w:color w:val="auto"/>
        </w:rPr>
      </w:pPr>
      <w:r>
        <w:rPr>
          <w:rFonts w:ascii="Arial" w:cs="Arial" w:eastAsia="Arial" w:hAnsi="Arial"/>
          <w:sz w:val="15"/>
          <w:szCs w:val="15"/>
          <w:color w:val="auto"/>
        </w:rPr>
        <w:t xml:space="preserve">Indicate by check mark whether the registrant is a shell company (as defined in Rule 12b-2 of the Exchange Act). </w:t>
      </w:r>
      <w:r>
        <w:rPr>
          <w:rFonts w:ascii="MS PGothic" w:cs="MS PGothic" w:eastAsia="MS PGothic" w:hAnsi="MS PGothic"/>
          <w:sz w:val="15"/>
          <w:szCs w:val="15"/>
          <w:color w:val="auto"/>
        </w:rPr>
        <w:t>☐</w:t>
      </w:r>
      <w:r>
        <w:rPr>
          <w:rFonts w:ascii="Arial" w:cs="Arial" w:eastAsia="Arial" w:hAnsi="Arial"/>
          <w:sz w:val="15"/>
          <w:szCs w:val="15"/>
          <w:color w:val="auto"/>
        </w:rPr>
        <w:t xml:space="preserve">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As of April 28, 2020, there were 116,557,234 shares of the registrant’s common stock, par value $0.01 per share, outstanding.</w:t>
      </w:r>
    </w:p>
    <w:p>
      <w:pPr>
        <w:sectPr>
          <w:pgSz w:w="11900" w:h="16838" w:orient="portrait"/>
          <w:cols w:equalWidth="0" w:num="1">
            <w:col w:w="11240"/>
          </w:cols>
          <w:pgMar w:left="320" w:top="274"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0"/>
        </w:trPr>
        <w:tc>
          <w:tcPr>
            <w:tcW w:w="10320" w:type="dxa"/>
            <w:vAlign w:val="bottom"/>
          </w:tcPr>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tc>
        <w:tc>
          <w:tcPr>
            <w:tcW w:w="900" w:type="dxa"/>
            <w:vAlign w:val="bottom"/>
          </w:tcPr>
          <w:p>
            <w:pPr>
              <w:spacing w:after="0"/>
              <w:rPr>
                <w:sz w:val="20"/>
                <w:szCs w:val="20"/>
                <w:color w:val="auto"/>
              </w:rPr>
            </w:pPr>
          </w:p>
        </w:tc>
      </w:tr>
      <w:tr>
        <w:trPr>
          <w:trHeight w:val="414"/>
        </w:trPr>
        <w:tc>
          <w:tcPr>
            <w:tcW w:w="10320" w:type="dxa"/>
            <w:vAlign w:val="bottom"/>
          </w:tcPr>
          <w:p>
            <w:pPr>
              <w:jc w:val="center"/>
              <w:ind w:left="830"/>
              <w:spacing w:after="0"/>
              <w:rPr>
                <w:sz w:val="20"/>
                <w:szCs w:val="20"/>
                <w:color w:val="auto"/>
              </w:rPr>
            </w:pPr>
            <w:r>
              <w:rPr>
                <w:rFonts w:ascii="Arial" w:cs="Arial" w:eastAsia="Arial" w:hAnsi="Arial"/>
                <w:sz w:val="18"/>
                <w:szCs w:val="18"/>
                <w:b w:val="1"/>
                <w:bCs w:val="1"/>
                <w:color w:val="auto"/>
                <w:w w:val="98"/>
              </w:rPr>
              <w:t>MATADOR RESOURCES COMPANY</w:t>
            </w:r>
          </w:p>
        </w:tc>
        <w:tc>
          <w:tcPr>
            <w:tcW w:w="900" w:type="dxa"/>
            <w:vAlign w:val="bottom"/>
          </w:tcPr>
          <w:p>
            <w:pPr>
              <w:spacing w:after="0"/>
              <w:rPr>
                <w:sz w:val="24"/>
                <w:szCs w:val="24"/>
                <w:color w:val="auto"/>
              </w:rPr>
            </w:pPr>
          </w:p>
        </w:tc>
      </w:tr>
      <w:tr>
        <w:trPr>
          <w:trHeight w:val="216"/>
        </w:trPr>
        <w:tc>
          <w:tcPr>
            <w:tcW w:w="10320" w:type="dxa"/>
            <w:vAlign w:val="bottom"/>
          </w:tcPr>
          <w:p>
            <w:pPr>
              <w:jc w:val="center"/>
              <w:ind w:left="850"/>
              <w:spacing w:after="0"/>
              <w:rPr>
                <w:sz w:val="20"/>
                <w:szCs w:val="20"/>
                <w:color w:val="auto"/>
              </w:rPr>
            </w:pPr>
            <w:r>
              <w:rPr>
                <w:rFonts w:ascii="Arial" w:cs="Arial" w:eastAsia="Arial" w:hAnsi="Arial"/>
                <w:sz w:val="18"/>
                <w:szCs w:val="18"/>
                <w:b w:val="1"/>
                <w:bCs w:val="1"/>
                <w:color w:val="auto"/>
                <w:w w:val="99"/>
              </w:rPr>
              <w:t>FORM 10-Q</w:t>
            </w:r>
          </w:p>
        </w:tc>
        <w:tc>
          <w:tcPr>
            <w:tcW w:w="900" w:type="dxa"/>
            <w:vAlign w:val="bottom"/>
          </w:tcPr>
          <w:p>
            <w:pPr>
              <w:spacing w:after="0"/>
              <w:rPr>
                <w:sz w:val="18"/>
                <w:szCs w:val="18"/>
                <w:color w:val="auto"/>
              </w:rPr>
            </w:pPr>
          </w:p>
        </w:tc>
      </w:tr>
      <w:tr>
        <w:trPr>
          <w:trHeight w:val="234"/>
        </w:trPr>
        <w:tc>
          <w:tcPr>
            <w:tcW w:w="10320" w:type="dxa"/>
            <w:vAlign w:val="bottom"/>
          </w:tcPr>
          <w:p>
            <w:pPr>
              <w:jc w:val="center"/>
              <w:ind w:left="830"/>
              <w:spacing w:after="0"/>
              <w:rPr>
                <w:sz w:val="20"/>
                <w:szCs w:val="20"/>
                <w:color w:val="auto"/>
              </w:rPr>
            </w:pPr>
            <w:r>
              <w:rPr>
                <w:rFonts w:ascii="Arial" w:cs="Arial" w:eastAsia="Arial" w:hAnsi="Arial"/>
                <w:sz w:val="18"/>
                <w:szCs w:val="18"/>
                <w:b w:val="1"/>
                <w:bCs w:val="1"/>
                <w:color w:val="auto"/>
                <w:w w:val="98"/>
              </w:rPr>
              <w:t>FOR THE QUARTER ENDED MARCH 31, 2020</w:t>
            </w:r>
          </w:p>
        </w:tc>
        <w:tc>
          <w:tcPr>
            <w:tcW w:w="900" w:type="dxa"/>
            <w:vAlign w:val="bottom"/>
          </w:tcPr>
          <w:p>
            <w:pPr>
              <w:spacing w:after="0"/>
              <w:rPr>
                <w:sz w:val="20"/>
                <w:szCs w:val="20"/>
                <w:color w:val="auto"/>
              </w:rPr>
            </w:pPr>
          </w:p>
        </w:tc>
      </w:tr>
      <w:tr>
        <w:trPr>
          <w:trHeight w:val="378"/>
        </w:trPr>
        <w:tc>
          <w:tcPr>
            <w:tcW w:w="10320" w:type="dxa"/>
            <w:vAlign w:val="bottom"/>
          </w:tcPr>
          <w:p>
            <w:pPr>
              <w:jc w:val="center"/>
              <w:ind w:left="830"/>
              <w:spacing w:after="0"/>
              <w:rPr>
                <w:sz w:val="20"/>
                <w:szCs w:val="20"/>
                <w:color w:val="auto"/>
              </w:rPr>
            </w:pPr>
            <w:r>
              <w:rPr>
                <w:rFonts w:ascii="Arial" w:cs="Arial" w:eastAsia="Arial" w:hAnsi="Arial"/>
                <w:sz w:val="18"/>
                <w:szCs w:val="18"/>
                <w:b w:val="1"/>
                <w:bCs w:val="1"/>
                <w:color w:val="auto"/>
                <w:w w:val="98"/>
              </w:rPr>
              <w:t>TABLE OF CONTENTS</w:t>
            </w:r>
          </w:p>
        </w:tc>
        <w:tc>
          <w:tcPr>
            <w:tcW w:w="900" w:type="dxa"/>
            <w:vAlign w:val="bottom"/>
          </w:tcPr>
          <w:p>
            <w:pPr>
              <w:spacing w:after="0"/>
              <w:rPr>
                <w:sz w:val="24"/>
                <w:szCs w:val="24"/>
                <w:color w:val="auto"/>
              </w:rPr>
            </w:pPr>
          </w:p>
        </w:tc>
      </w:tr>
      <w:tr>
        <w:trPr>
          <w:trHeight w:val="378"/>
        </w:trPr>
        <w:tc>
          <w:tcPr>
            <w:tcW w:w="10320" w:type="dxa"/>
            <w:vAlign w:val="bottom"/>
          </w:tcPr>
          <w:p>
            <w:pPr>
              <w:spacing w:after="0"/>
              <w:rPr>
                <w:sz w:val="24"/>
                <w:szCs w:val="24"/>
                <w:color w:val="auto"/>
              </w:rPr>
            </w:pPr>
          </w:p>
        </w:tc>
        <w:tc>
          <w:tcPr>
            <w:tcW w:w="900" w:type="dxa"/>
            <w:vAlign w:val="bottom"/>
          </w:tcPr>
          <w:p>
            <w:pPr>
              <w:ind w:left="280"/>
              <w:spacing w:after="0"/>
              <w:rPr>
                <w:sz w:val="20"/>
                <w:szCs w:val="20"/>
                <w:color w:val="auto"/>
              </w:rPr>
            </w:pPr>
            <w:r>
              <w:rPr>
                <w:rFonts w:ascii="Arial" w:cs="Arial" w:eastAsia="Arial" w:hAnsi="Arial"/>
                <w:sz w:val="18"/>
                <w:szCs w:val="18"/>
                <w:color w:val="auto"/>
              </w:rPr>
              <w:t>Page</w:t>
            </w:r>
          </w:p>
        </w:tc>
      </w:tr>
      <w:tr>
        <w:trPr>
          <w:trHeight w:val="27"/>
        </w:trPr>
        <w:tc>
          <w:tcPr>
            <w:tcW w:w="1032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37"/>
        </w:trPr>
        <w:tc>
          <w:tcPr>
            <w:tcW w:w="10320" w:type="dxa"/>
            <w:vAlign w:val="bottom"/>
          </w:tcPr>
          <w:p>
            <w:pPr>
              <w:ind w:left="4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PART I — FINANCIAL INFORMATION</w:t>
              </w:r>
            </w:hyperlink>
          </w:p>
        </w:tc>
        <w:tc>
          <w:tcPr>
            <w:tcW w:w="900" w:type="dxa"/>
            <w:vAlign w:val="bottom"/>
          </w:tcPr>
          <w:p>
            <w:pPr>
              <w:jc w:val="center"/>
              <w:spacing w:after="0"/>
              <w:rPr>
                <w:rFonts w:ascii="Arial" w:cs="Arial" w:eastAsia="Arial" w:hAnsi="Arial"/>
                <w:sz w:val="18"/>
                <w:szCs w:val="18"/>
                <w:u w:val="single" w:color="auto"/>
                <w:color w:val="0000EE"/>
                <w:w w:val="99"/>
              </w:rPr>
            </w:pPr>
            <w:hyperlink w:anchor="page3">
              <w:r>
                <w:rPr>
                  <w:rFonts w:ascii="Arial" w:cs="Arial" w:eastAsia="Arial" w:hAnsi="Arial"/>
                  <w:sz w:val="18"/>
                  <w:szCs w:val="18"/>
                  <w:u w:val="single" w:color="auto"/>
                  <w:color w:val="0000EE"/>
                  <w:w w:val="99"/>
                </w:rPr>
                <w:t>3</w:t>
              </w:r>
            </w:hyperlink>
          </w:p>
        </w:tc>
      </w:tr>
      <w:tr>
        <w:trPr>
          <w:trHeight w:val="270"/>
        </w:trPr>
        <w:tc>
          <w:tcPr>
            <w:tcW w:w="10320" w:type="dxa"/>
            <w:vAlign w:val="bottom"/>
          </w:tcPr>
          <w:p>
            <w:pPr>
              <w:ind w:left="28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Item 1. Financial Statements — Unaudited</w:t>
              </w:r>
            </w:hyperlink>
          </w:p>
        </w:tc>
        <w:tc>
          <w:tcPr>
            <w:tcW w:w="900" w:type="dxa"/>
            <w:vAlign w:val="bottom"/>
          </w:tcPr>
          <w:p>
            <w:pPr>
              <w:jc w:val="center"/>
              <w:spacing w:after="0"/>
              <w:rPr>
                <w:rFonts w:ascii="Arial" w:cs="Arial" w:eastAsia="Arial" w:hAnsi="Arial"/>
                <w:sz w:val="18"/>
                <w:szCs w:val="18"/>
                <w:u w:val="single" w:color="auto"/>
                <w:color w:val="0000EE"/>
                <w:w w:val="99"/>
              </w:rPr>
            </w:pPr>
            <w:hyperlink w:anchor="page3">
              <w:r>
                <w:rPr>
                  <w:rFonts w:ascii="Arial" w:cs="Arial" w:eastAsia="Arial" w:hAnsi="Arial"/>
                  <w:sz w:val="18"/>
                  <w:szCs w:val="18"/>
                  <w:u w:val="single" w:color="auto"/>
                  <w:color w:val="0000EE"/>
                  <w:w w:val="99"/>
                </w:rPr>
                <w:t>3</w:t>
              </w:r>
            </w:hyperlink>
          </w:p>
        </w:tc>
      </w:tr>
      <w:tr>
        <w:trPr>
          <w:trHeight w:val="270"/>
        </w:trPr>
        <w:tc>
          <w:tcPr>
            <w:tcW w:w="10320" w:type="dxa"/>
            <w:vAlign w:val="bottom"/>
          </w:tcPr>
          <w:p>
            <w:pPr>
              <w:ind w:left="60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Condensed Consolidated Balance Sheets at March 31, 2020 and December 31, 2019</w:t>
              </w:r>
            </w:hyperlink>
          </w:p>
        </w:tc>
        <w:tc>
          <w:tcPr>
            <w:tcW w:w="900" w:type="dxa"/>
            <w:vAlign w:val="bottom"/>
          </w:tcPr>
          <w:p>
            <w:pPr>
              <w:jc w:val="center"/>
              <w:spacing w:after="0"/>
              <w:rPr>
                <w:rFonts w:ascii="Arial" w:cs="Arial" w:eastAsia="Arial" w:hAnsi="Arial"/>
                <w:sz w:val="18"/>
                <w:szCs w:val="18"/>
                <w:u w:val="single" w:color="auto"/>
                <w:color w:val="0000EE"/>
                <w:w w:val="99"/>
              </w:rPr>
            </w:pPr>
            <w:hyperlink w:anchor="page3">
              <w:r>
                <w:rPr>
                  <w:rFonts w:ascii="Arial" w:cs="Arial" w:eastAsia="Arial" w:hAnsi="Arial"/>
                  <w:sz w:val="18"/>
                  <w:szCs w:val="18"/>
                  <w:u w:val="single" w:color="auto"/>
                  <w:color w:val="0000EE"/>
                  <w:w w:val="99"/>
                </w:rPr>
                <w:t>3</w:t>
              </w:r>
            </w:hyperlink>
          </w:p>
        </w:tc>
      </w:tr>
      <w:tr>
        <w:trPr>
          <w:trHeight w:val="270"/>
        </w:trPr>
        <w:tc>
          <w:tcPr>
            <w:tcW w:w="10320" w:type="dxa"/>
            <w:vAlign w:val="bottom"/>
          </w:tcPr>
          <w:p>
            <w:pPr>
              <w:ind w:left="60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Condensed Consolidated Statements of Operations for the Three Months Ended March 31, 2020 and 2019</w:t>
              </w:r>
            </w:hyperlink>
          </w:p>
        </w:tc>
        <w:tc>
          <w:tcPr>
            <w:tcW w:w="900" w:type="dxa"/>
            <w:vAlign w:val="bottom"/>
          </w:tcPr>
          <w:p>
            <w:pPr>
              <w:jc w:val="center"/>
              <w:spacing w:after="0"/>
              <w:rPr>
                <w:rFonts w:ascii="Arial" w:cs="Arial" w:eastAsia="Arial" w:hAnsi="Arial"/>
                <w:sz w:val="18"/>
                <w:szCs w:val="18"/>
                <w:u w:val="single" w:color="auto"/>
                <w:color w:val="0000EE"/>
                <w:w w:val="99"/>
              </w:rPr>
            </w:pPr>
            <w:hyperlink w:anchor="page5">
              <w:r>
                <w:rPr>
                  <w:rFonts w:ascii="Arial" w:cs="Arial" w:eastAsia="Arial" w:hAnsi="Arial"/>
                  <w:sz w:val="18"/>
                  <w:szCs w:val="18"/>
                  <w:u w:val="single" w:color="auto"/>
                  <w:color w:val="0000EE"/>
                  <w:w w:val="99"/>
                </w:rPr>
                <w:t>4</w:t>
              </w:r>
            </w:hyperlink>
          </w:p>
        </w:tc>
      </w:tr>
      <w:tr>
        <w:trPr>
          <w:trHeight w:val="270"/>
        </w:trPr>
        <w:tc>
          <w:tcPr>
            <w:tcW w:w="10320" w:type="dxa"/>
            <w:vAlign w:val="bottom"/>
          </w:tcPr>
          <w:p>
            <w:pPr>
              <w:ind w:left="600"/>
              <w:spacing w:after="0"/>
              <w:rPr>
                <w:rFonts w:ascii="Arial" w:cs="Arial" w:eastAsia="Arial" w:hAnsi="Arial"/>
                <w:sz w:val="18"/>
                <w:szCs w:val="18"/>
                <w:u w:val="single" w:color="auto"/>
                <w:color w:val="0000EE"/>
                <w:w w:val="94"/>
              </w:rPr>
            </w:pPr>
            <w:hyperlink w:anchor="page6">
              <w:r>
                <w:rPr>
                  <w:rFonts w:ascii="Arial" w:cs="Arial" w:eastAsia="Arial" w:hAnsi="Arial"/>
                  <w:sz w:val="18"/>
                  <w:szCs w:val="18"/>
                  <w:u w:val="single" w:color="auto"/>
                  <w:color w:val="0000EE"/>
                  <w:w w:val="94"/>
                </w:rPr>
                <w:t>Condensed Consolidated Statements of Changes in Shareholders’ Equity for the Three Months Ended March 31, 2020 and 2019</w:t>
              </w:r>
            </w:hyperlink>
          </w:p>
        </w:tc>
        <w:tc>
          <w:tcPr>
            <w:tcW w:w="900" w:type="dxa"/>
            <w:vAlign w:val="bottom"/>
          </w:tcPr>
          <w:p>
            <w:pPr>
              <w:jc w:val="center"/>
              <w:spacing w:after="0"/>
              <w:rPr>
                <w:rFonts w:ascii="Arial" w:cs="Arial" w:eastAsia="Arial" w:hAnsi="Arial"/>
                <w:sz w:val="18"/>
                <w:szCs w:val="18"/>
                <w:u w:val="single" w:color="auto"/>
                <w:color w:val="0000EE"/>
                <w:w w:val="99"/>
              </w:rPr>
            </w:pPr>
            <w:hyperlink w:anchor="page6">
              <w:r>
                <w:rPr>
                  <w:rFonts w:ascii="Arial" w:cs="Arial" w:eastAsia="Arial" w:hAnsi="Arial"/>
                  <w:sz w:val="18"/>
                  <w:szCs w:val="18"/>
                  <w:u w:val="single" w:color="auto"/>
                  <w:color w:val="0000EE"/>
                  <w:w w:val="99"/>
                </w:rPr>
                <w:t>5</w:t>
              </w:r>
            </w:hyperlink>
          </w:p>
        </w:tc>
      </w:tr>
      <w:tr>
        <w:trPr>
          <w:trHeight w:val="270"/>
        </w:trPr>
        <w:tc>
          <w:tcPr>
            <w:tcW w:w="10320" w:type="dxa"/>
            <w:vAlign w:val="bottom"/>
          </w:tcPr>
          <w:p>
            <w:pPr>
              <w:ind w:left="600"/>
              <w:spacing w:after="0"/>
              <w:rPr>
                <w:rFonts w:ascii="Arial" w:cs="Arial" w:eastAsia="Arial" w:hAnsi="Arial"/>
                <w:sz w:val="18"/>
                <w:szCs w:val="18"/>
                <w:u w:val="single" w:color="auto"/>
                <w:color w:val="0000EE"/>
              </w:rPr>
            </w:pPr>
            <w:hyperlink w:anchor="page8">
              <w:r>
                <w:rPr>
                  <w:rFonts w:ascii="Arial" w:cs="Arial" w:eastAsia="Arial" w:hAnsi="Arial"/>
                  <w:sz w:val="18"/>
                  <w:szCs w:val="18"/>
                  <w:u w:val="single" w:color="auto"/>
                  <w:color w:val="0000EE"/>
                </w:rPr>
                <w:t>Condensed Consolidated Statements of Cash Flows for the Three Months Ended March 31, 2020 and 2019</w:t>
              </w:r>
            </w:hyperlink>
          </w:p>
        </w:tc>
        <w:tc>
          <w:tcPr>
            <w:tcW w:w="900" w:type="dxa"/>
            <w:vAlign w:val="bottom"/>
          </w:tcPr>
          <w:p>
            <w:pPr>
              <w:jc w:val="center"/>
              <w:spacing w:after="0"/>
              <w:rPr>
                <w:rFonts w:ascii="Arial" w:cs="Arial" w:eastAsia="Arial" w:hAnsi="Arial"/>
                <w:sz w:val="18"/>
                <w:szCs w:val="18"/>
                <w:u w:val="single" w:color="auto"/>
                <w:color w:val="0000EE"/>
                <w:w w:val="99"/>
              </w:rPr>
            </w:pPr>
            <w:hyperlink w:anchor="page8">
              <w:r>
                <w:rPr>
                  <w:rFonts w:ascii="Arial" w:cs="Arial" w:eastAsia="Arial" w:hAnsi="Arial"/>
                  <w:sz w:val="18"/>
                  <w:szCs w:val="18"/>
                  <w:u w:val="single" w:color="auto"/>
                  <w:color w:val="0000EE"/>
                  <w:w w:val="99"/>
                </w:rPr>
                <w:t>7</w:t>
              </w:r>
            </w:hyperlink>
          </w:p>
        </w:tc>
      </w:tr>
      <w:tr>
        <w:trPr>
          <w:trHeight w:val="270"/>
        </w:trPr>
        <w:tc>
          <w:tcPr>
            <w:tcW w:w="10320" w:type="dxa"/>
            <w:vAlign w:val="bottom"/>
          </w:tcPr>
          <w:p>
            <w:pPr>
              <w:ind w:left="600"/>
              <w:spacing w:after="0"/>
              <w:rPr>
                <w:rFonts w:ascii="Arial" w:cs="Arial" w:eastAsia="Arial" w:hAnsi="Arial"/>
                <w:sz w:val="18"/>
                <w:szCs w:val="18"/>
                <w:u w:val="single" w:color="auto"/>
                <w:color w:val="0000EE"/>
              </w:rPr>
            </w:pPr>
            <w:hyperlink w:anchor="page9">
              <w:r>
                <w:rPr>
                  <w:rFonts w:ascii="Arial" w:cs="Arial" w:eastAsia="Arial" w:hAnsi="Arial"/>
                  <w:sz w:val="18"/>
                  <w:szCs w:val="18"/>
                  <w:u w:val="single" w:color="auto"/>
                  <w:color w:val="0000EE"/>
                </w:rPr>
                <w:t>Notes to Condensed Consolidated Financial Statements</w:t>
              </w:r>
            </w:hyperlink>
          </w:p>
        </w:tc>
        <w:tc>
          <w:tcPr>
            <w:tcW w:w="900" w:type="dxa"/>
            <w:vAlign w:val="bottom"/>
          </w:tcPr>
          <w:p>
            <w:pPr>
              <w:jc w:val="center"/>
              <w:spacing w:after="0"/>
              <w:rPr>
                <w:rFonts w:ascii="Arial" w:cs="Arial" w:eastAsia="Arial" w:hAnsi="Arial"/>
                <w:sz w:val="18"/>
                <w:szCs w:val="18"/>
                <w:u w:val="single" w:color="auto"/>
                <w:color w:val="0000EE"/>
                <w:w w:val="99"/>
              </w:rPr>
            </w:pPr>
            <w:hyperlink w:anchor="page9">
              <w:r>
                <w:rPr>
                  <w:rFonts w:ascii="Arial" w:cs="Arial" w:eastAsia="Arial" w:hAnsi="Arial"/>
                  <w:sz w:val="18"/>
                  <w:szCs w:val="18"/>
                  <w:u w:val="single" w:color="auto"/>
                  <w:color w:val="0000EE"/>
                  <w:w w:val="99"/>
                </w:rPr>
                <w:t>8</w:t>
              </w:r>
            </w:hyperlink>
          </w:p>
        </w:tc>
      </w:tr>
      <w:tr>
        <w:trPr>
          <w:trHeight w:val="270"/>
        </w:trPr>
        <w:tc>
          <w:tcPr>
            <w:tcW w:w="10320" w:type="dxa"/>
            <w:vAlign w:val="bottom"/>
          </w:tcPr>
          <w:p>
            <w:pPr>
              <w:ind w:left="280"/>
              <w:spacing w:after="0"/>
              <w:rPr>
                <w:rFonts w:ascii="Arial" w:cs="Arial" w:eastAsia="Arial" w:hAnsi="Arial"/>
                <w:sz w:val="18"/>
                <w:szCs w:val="18"/>
                <w:u w:val="single" w:color="auto"/>
                <w:color w:val="0000EE"/>
              </w:rPr>
            </w:pPr>
            <w:hyperlink w:anchor="page21">
              <w:r>
                <w:rPr>
                  <w:rFonts w:ascii="Arial" w:cs="Arial" w:eastAsia="Arial" w:hAnsi="Arial"/>
                  <w:sz w:val="18"/>
                  <w:szCs w:val="18"/>
                  <w:u w:val="single" w:color="auto"/>
                  <w:color w:val="0000EE"/>
                </w:rPr>
                <w:t>Item 2. Management’s Discussion and Analysis of Financial Condition and Results of Operations</w:t>
              </w:r>
            </w:hyperlink>
          </w:p>
        </w:tc>
        <w:tc>
          <w:tcPr>
            <w:tcW w:w="900" w:type="dxa"/>
            <w:vAlign w:val="bottom"/>
          </w:tcPr>
          <w:p>
            <w:pPr>
              <w:jc w:val="center"/>
              <w:spacing w:after="0"/>
              <w:rPr>
                <w:rFonts w:ascii="Arial" w:cs="Arial" w:eastAsia="Arial" w:hAnsi="Arial"/>
                <w:sz w:val="18"/>
                <w:szCs w:val="18"/>
                <w:u w:val="single" w:color="auto"/>
                <w:color w:val="0000EE"/>
                <w:w w:val="89"/>
              </w:rPr>
            </w:pPr>
            <w:hyperlink w:anchor="page21">
              <w:r>
                <w:rPr>
                  <w:rFonts w:ascii="Arial" w:cs="Arial" w:eastAsia="Arial" w:hAnsi="Arial"/>
                  <w:sz w:val="18"/>
                  <w:szCs w:val="18"/>
                  <w:u w:val="single" w:color="auto"/>
                  <w:color w:val="0000EE"/>
                  <w:w w:val="89"/>
                </w:rPr>
                <w:t>19</w:t>
              </w:r>
            </w:hyperlink>
          </w:p>
        </w:tc>
      </w:tr>
      <w:tr>
        <w:trPr>
          <w:trHeight w:val="270"/>
        </w:trPr>
        <w:tc>
          <w:tcPr>
            <w:tcW w:w="10320" w:type="dxa"/>
            <w:vAlign w:val="bottom"/>
          </w:tcPr>
          <w:p>
            <w:pPr>
              <w:ind w:left="280"/>
              <w:spacing w:after="0"/>
              <w:rPr>
                <w:rFonts w:ascii="Arial" w:cs="Arial" w:eastAsia="Arial" w:hAnsi="Arial"/>
                <w:sz w:val="18"/>
                <w:szCs w:val="18"/>
                <w:u w:val="single" w:color="auto"/>
                <w:color w:val="0000EE"/>
              </w:rPr>
            </w:pPr>
            <w:hyperlink w:anchor="page38">
              <w:r>
                <w:rPr>
                  <w:rFonts w:ascii="Arial" w:cs="Arial" w:eastAsia="Arial" w:hAnsi="Arial"/>
                  <w:sz w:val="18"/>
                  <w:szCs w:val="18"/>
                  <w:u w:val="single" w:color="auto"/>
                  <w:color w:val="0000EE"/>
                </w:rPr>
                <w:t>Item 3. Quantitative and Qualitative Disclosures About Market Risk</w:t>
              </w:r>
            </w:hyperlink>
          </w:p>
        </w:tc>
        <w:tc>
          <w:tcPr>
            <w:tcW w:w="900" w:type="dxa"/>
            <w:vAlign w:val="bottom"/>
          </w:tcPr>
          <w:p>
            <w:pPr>
              <w:jc w:val="center"/>
              <w:spacing w:after="0"/>
              <w:rPr>
                <w:rFonts w:ascii="Arial" w:cs="Arial" w:eastAsia="Arial" w:hAnsi="Arial"/>
                <w:sz w:val="18"/>
                <w:szCs w:val="18"/>
                <w:u w:val="single" w:color="auto"/>
                <w:color w:val="0000EE"/>
                <w:w w:val="89"/>
              </w:rPr>
            </w:pPr>
            <w:hyperlink w:anchor="page38">
              <w:r>
                <w:rPr>
                  <w:rFonts w:ascii="Arial" w:cs="Arial" w:eastAsia="Arial" w:hAnsi="Arial"/>
                  <w:sz w:val="18"/>
                  <w:szCs w:val="18"/>
                  <w:u w:val="single" w:color="auto"/>
                  <w:color w:val="0000EE"/>
                  <w:w w:val="89"/>
                </w:rPr>
                <w:t>36</w:t>
              </w:r>
            </w:hyperlink>
          </w:p>
        </w:tc>
      </w:tr>
      <w:tr>
        <w:trPr>
          <w:trHeight w:val="270"/>
        </w:trPr>
        <w:tc>
          <w:tcPr>
            <w:tcW w:w="10320" w:type="dxa"/>
            <w:vAlign w:val="bottom"/>
          </w:tcPr>
          <w:p>
            <w:pPr>
              <w:ind w:left="280"/>
              <w:spacing w:after="0"/>
              <w:rPr>
                <w:rFonts w:ascii="Arial" w:cs="Arial" w:eastAsia="Arial" w:hAnsi="Arial"/>
                <w:sz w:val="18"/>
                <w:szCs w:val="18"/>
                <w:u w:val="single" w:color="auto"/>
                <w:color w:val="0000EE"/>
              </w:rPr>
            </w:pPr>
            <w:hyperlink w:anchor="page39">
              <w:r>
                <w:rPr>
                  <w:rFonts w:ascii="Arial" w:cs="Arial" w:eastAsia="Arial" w:hAnsi="Arial"/>
                  <w:sz w:val="18"/>
                  <w:szCs w:val="18"/>
                  <w:u w:val="single" w:color="auto"/>
                  <w:color w:val="0000EE"/>
                </w:rPr>
                <w:t>Item 4. Controls and Procedures</w:t>
              </w:r>
            </w:hyperlink>
          </w:p>
        </w:tc>
        <w:tc>
          <w:tcPr>
            <w:tcW w:w="900" w:type="dxa"/>
            <w:vAlign w:val="bottom"/>
          </w:tcPr>
          <w:p>
            <w:pPr>
              <w:jc w:val="center"/>
              <w:spacing w:after="0"/>
              <w:rPr>
                <w:rFonts w:ascii="Arial" w:cs="Arial" w:eastAsia="Arial" w:hAnsi="Arial"/>
                <w:sz w:val="18"/>
                <w:szCs w:val="18"/>
                <w:u w:val="single" w:color="auto"/>
                <w:color w:val="0000EE"/>
                <w:w w:val="89"/>
              </w:rPr>
            </w:pPr>
            <w:hyperlink w:anchor="page39">
              <w:r>
                <w:rPr>
                  <w:rFonts w:ascii="Arial" w:cs="Arial" w:eastAsia="Arial" w:hAnsi="Arial"/>
                  <w:sz w:val="18"/>
                  <w:szCs w:val="18"/>
                  <w:u w:val="single" w:color="auto"/>
                  <w:color w:val="0000EE"/>
                  <w:w w:val="89"/>
                </w:rPr>
                <w:t>37</w:t>
              </w:r>
            </w:hyperlink>
          </w:p>
        </w:tc>
      </w:tr>
      <w:tr>
        <w:trPr>
          <w:trHeight w:val="270"/>
        </w:trPr>
        <w:tc>
          <w:tcPr>
            <w:tcW w:w="10320" w:type="dxa"/>
            <w:vAlign w:val="bottom"/>
          </w:tcPr>
          <w:p>
            <w:pPr>
              <w:ind w:left="40"/>
              <w:spacing w:after="0"/>
              <w:rPr>
                <w:rFonts w:ascii="Arial" w:cs="Arial" w:eastAsia="Arial" w:hAnsi="Arial"/>
                <w:sz w:val="18"/>
                <w:szCs w:val="18"/>
                <w:u w:val="single" w:color="auto"/>
                <w:color w:val="0000EE"/>
              </w:rPr>
            </w:pPr>
            <w:hyperlink w:anchor="page40">
              <w:r>
                <w:rPr>
                  <w:rFonts w:ascii="Arial" w:cs="Arial" w:eastAsia="Arial" w:hAnsi="Arial"/>
                  <w:sz w:val="18"/>
                  <w:szCs w:val="18"/>
                  <w:u w:val="single" w:color="auto"/>
                  <w:color w:val="0000EE"/>
                </w:rPr>
                <w:t>PART II — OTHER INFORMATION</w:t>
              </w:r>
            </w:hyperlink>
          </w:p>
        </w:tc>
        <w:tc>
          <w:tcPr>
            <w:tcW w:w="900" w:type="dxa"/>
            <w:vAlign w:val="bottom"/>
          </w:tcPr>
          <w:p>
            <w:pPr>
              <w:jc w:val="center"/>
              <w:spacing w:after="0"/>
              <w:rPr>
                <w:rFonts w:ascii="Arial" w:cs="Arial" w:eastAsia="Arial" w:hAnsi="Arial"/>
                <w:sz w:val="18"/>
                <w:szCs w:val="18"/>
                <w:u w:val="single" w:color="auto"/>
                <w:color w:val="0000EE"/>
                <w:w w:val="89"/>
              </w:rPr>
            </w:pPr>
            <w:hyperlink w:anchor="page40">
              <w:r>
                <w:rPr>
                  <w:rFonts w:ascii="Arial" w:cs="Arial" w:eastAsia="Arial" w:hAnsi="Arial"/>
                  <w:sz w:val="18"/>
                  <w:szCs w:val="18"/>
                  <w:u w:val="single" w:color="auto"/>
                  <w:color w:val="0000EE"/>
                  <w:w w:val="89"/>
                </w:rPr>
                <w:t>38</w:t>
              </w:r>
            </w:hyperlink>
          </w:p>
        </w:tc>
      </w:tr>
      <w:tr>
        <w:trPr>
          <w:trHeight w:val="270"/>
        </w:trPr>
        <w:tc>
          <w:tcPr>
            <w:tcW w:w="10320" w:type="dxa"/>
            <w:vAlign w:val="bottom"/>
          </w:tcPr>
          <w:p>
            <w:pPr>
              <w:ind w:left="280"/>
              <w:spacing w:after="0"/>
              <w:rPr>
                <w:rFonts w:ascii="Arial" w:cs="Arial" w:eastAsia="Arial" w:hAnsi="Arial"/>
                <w:sz w:val="18"/>
                <w:szCs w:val="18"/>
                <w:u w:val="single" w:color="auto"/>
                <w:color w:val="0000EE"/>
              </w:rPr>
            </w:pPr>
            <w:hyperlink w:anchor="page40">
              <w:r>
                <w:rPr>
                  <w:rFonts w:ascii="Arial" w:cs="Arial" w:eastAsia="Arial" w:hAnsi="Arial"/>
                  <w:sz w:val="18"/>
                  <w:szCs w:val="18"/>
                  <w:u w:val="single" w:color="auto"/>
                  <w:color w:val="0000EE"/>
                </w:rPr>
                <w:t>Item 1. Legal Proceedings</w:t>
              </w:r>
            </w:hyperlink>
          </w:p>
        </w:tc>
        <w:tc>
          <w:tcPr>
            <w:tcW w:w="900" w:type="dxa"/>
            <w:vAlign w:val="bottom"/>
          </w:tcPr>
          <w:p>
            <w:pPr>
              <w:jc w:val="center"/>
              <w:spacing w:after="0"/>
              <w:rPr>
                <w:rFonts w:ascii="Arial" w:cs="Arial" w:eastAsia="Arial" w:hAnsi="Arial"/>
                <w:sz w:val="18"/>
                <w:szCs w:val="18"/>
                <w:u w:val="single" w:color="auto"/>
                <w:color w:val="0000EE"/>
                <w:w w:val="89"/>
              </w:rPr>
            </w:pPr>
            <w:hyperlink w:anchor="page40">
              <w:r>
                <w:rPr>
                  <w:rFonts w:ascii="Arial" w:cs="Arial" w:eastAsia="Arial" w:hAnsi="Arial"/>
                  <w:sz w:val="18"/>
                  <w:szCs w:val="18"/>
                  <w:u w:val="single" w:color="auto"/>
                  <w:color w:val="0000EE"/>
                  <w:w w:val="89"/>
                </w:rPr>
                <w:t>38</w:t>
              </w:r>
            </w:hyperlink>
          </w:p>
        </w:tc>
      </w:tr>
      <w:tr>
        <w:trPr>
          <w:trHeight w:val="270"/>
        </w:trPr>
        <w:tc>
          <w:tcPr>
            <w:tcW w:w="10320" w:type="dxa"/>
            <w:vAlign w:val="bottom"/>
          </w:tcPr>
          <w:p>
            <w:pPr>
              <w:ind w:left="280"/>
              <w:spacing w:after="0"/>
              <w:rPr>
                <w:rFonts w:ascii="Arial" w:cs="Arial" w:eastAsia="Arial" w:hAnsi="Arial"/>
                <w:sz w:val="18"/>
                <w:szCs w:val="18"/>
                <w:u w:val="single" w:color="auto"/>
                <w:color w:val="0000EE"/>
              </w:rPr>
            </w:pPr>
            <w:hyperlink w:anchor="page40">
              <w:r>
                <w:rPr>
                  <w:rFonts w:ascii="Arial" w:cs="Arial" w:eastAsia="Arial" w:hAnsi="Arial"/>
                  <w:sz w:val="18"/>
                  <w:szCs w:val="18"/>
                  <w:u w:val="single" w:color="auto"/>
                  <w:color w:val="0000EE"/>
                </w:rPr>
                <w:t>Item 1A. Risk Factors</w:t>
              </w:r>
            </w:hyperlink>
          </w:p>
        </w:tc>
        <w:tc>
          <w:tcPr>
            <w:tcW w:w="900" w:type="dxa"/>
            <w:vAlign w:val="bottom"/>
          </w:tcPr>
          <w:p>
            <w:pPr>
              <w:jc w:val="center"/>
              <w:spacing w:after="0"/>
              <w:rPr>
                <w:rFonts w:ascii="Arial" w:cs="Arial" w:eastAsia="Arial" w:hAnsi="Arial"/>
                <w:sz w:val="18"/>
                <w:szCs w:val="18"/>
                <w:u w:val="single" w:color="auto"/>
                <w:color w:val="0000EE"/>
                <w:w w:val="89"/>
              </w:rPr>
            </w:pPr>
            <w:hyperlink w:anchor="page40">
              <w:r>
                <w:rPr>
                  <w:rFonts w:ascii="Arial" w:cs="Arial" w:eastAsia="Arial" w:hAnsi="Arial"/>
                  <w:sz w:val="18"/>
                  <w:szCs w:val="18"/>
                  <w:u w:val="single" w:color="auto"/>
                  <w:color w:val="0000EE"/>
                  <w:w w:val="89"/>
                </w:rPr>
                <w:t>38</w:t>
              </w:r>
            </w:hyperlink>
          </w:p>
        </w:tc>
      </w:tr>
      <w:tr>
        <w:trPr>
          <w:trHeight w:val="270"/>
        </w:trPr>
        <w:tc>
          <w:tcPr>
            <w:tcW w:w="10320" w:type="dxa"/>
            <w:vAlign w:val="bottom"/>
          </w:tcPr>
          <w:p>
            <w:pPr>
              <w:ind w:left="280"/>
              <w:spacing w:after="0"/>
              <w:rPr>
                <w:rFonts w:ascii="Arial" w:cs="Arial" w:eastAsia="Arial" w:hAnsi="Arial"/>
                <w:sz w:val="18"/>
                <w:szCs w:val="18"/>
                <w:u w:val="single" w:color="auto"/>
                <w:color w:val="0000EE"/>
              </w:rPr>
            </w:pPr>
            <w:hyperlink w:anchor="page41">
              <w:r>
                <w:rPr>
                  <w:rFonts w:ascii="Arial" w:cs="Arial" w:eastAsia="Arial" w:hAnsi="Arial"/>
                  <w:sz w:val="18"/>
                  <w:szCs w:val="18"/>
                  <w:u w:val="single" w:color="auto"/>
                  <w:color w:val="0000EE"/>
                </w:rPr>
                <w:t>Item 2. Unregistered Sales of Equity Securities and Use of Proceeds</w:t>
              </w:r>
            </w:hyperlink>
          </w:p>
        </w:tc>
        <w:tc>
          <w:tcPr>
            <w:tcW w:w="900" w:type="dxa"/>
            <w:vAlign w:val="bottom"/>
          </w:tcPr>
          <w:p>
            <w:pPr>
              <w:jc w:val="center"/>
              <w:spacing w:after="0"/>
              <w:rPr>
                <w:rFonts w:ascii="Arial" w:cs="Arial" w:eastAsia="Arial" w:hAnsi="Arial"/>
                <w:sz w:val="18"/>
                <w:szCs w:val="18"/>
                <w:u w:val="single" w:color="auto"/>
                <w:color w:val="0000EE"/>
                <w:w w:val="89"/>
              </w:rPr>
            </w:pPr>
            <w:hyperlink w:anchor="page41">
              <w:r>
                <w:rPr>
                  <w:rFonts w:ascii="Arial" w:cs="Arial" w:eastAsia="Arial" w:hAnsi="Arial"/>
                  <w:sz w:val="18"/>
                  <w:szCs w:val="18"/>
                  <w:u w:val="single" w:color="auto"/>
                  <w:color w:val="0000EE"/>
                  <w:w w:val="89"/>
                </w:rPr>
                <w:t>39</w:t>
              </w:r>
            </w:hyperlink>
          </w:p>
        </w:tc>
      </w:tr>
      <w:tr>
        <w:trPr>
          <w:trHeight w:val="270"/>
        </w:trPr>
        <w:tc>
          <w:tcPr>
            <w:tcW w:w="10320" w:type="dxa"/>
            <w:vAlign w:val="bottom"/>
          </w:tcPr>
          <w:p>
            <w:pPr>
              <w:ind w:left="280"/>
              <w:spacing w:after="0"/>
              <w:rPr>
                <w:rFonts w:ascii="Arial" w:cs="Arial" w:eastAsia="Arial" w:hAnsi="Arial"/>
                <w:sz w:val="18"/>
                <w:szCs w:val="18"/>
                <w:u w:val="single" w:color="auto"/>
                <w:color w:val="0000EE"/>
              </w:rPr>
            </w:pPr>
            <w:hyperlink w:anchor="page42">
              <w:r>
                <w:rPr>
                  <w:rFonts w:ascii="Arial" w:cs="Arial" w:eastAsia="Arial" w:hAnsi="Arial"/>
                  <w:sz w:val="18"/>
                  <w:szCs w:val="18"/>
                  <w:u w:val="single" w:color="auto"/>
                  <w:color w:val="0000EE"/>
                </w:rPr>
                <w:t>Item 6. Exhibits</w:t>
              </w:r>
            </w:hyperlink>
          </w:p>
        </w:tc>
        <w:tc>
          <w:tcPr>
            <w:tcW w:w="900" w:type="dxa"/>
            <w:vAlign w:val="bottom"/>
          </w:tcPr>
          <w:p>
            <w:pPr>
              <w:jc w:val="center"/>
              <w:spacing w:after="0"/>
              <w:rPr>
                <w:rFonts w:ascii="Arial" w:cs="Arial" w:eastAsia="Arial" w:hAnsi="Arial"/>
                <w:sz w:val="18"/>
                <w:szCs w:val="18"/>
                <w:u w:val="single" w:color="auto"/>
                <w:color w:val="0000EE"/>
                <w:w w:val="89"/>
              </w:rPr>
            </w:pPr>
            <w:hyperlink w:anchor="page42">
              <w:r>
                <w:rPr>
                  <w:rFonts w:ascii="Arial" w:cs="Arial" w:eastAsia="Arial" w:hAnsi="Arial"/>
                  <w:sz w:val="18"/>
                  <w:szCs w:val="18"/>
                  <w:u w:val="single" w:color="auto"/>
                  <w:color w:val="0000EE"/>
                  <w:w w:val="89"/>
                </w:rPr>
                <w:t>40</w:t>
              </w:r>
            </w:hyperlink>
          </w:p>
        </w:tc>
      </w:tr>
      <w:tr>
        <w:trPr>
          <w:trHeight w:val="270"/>
        </w:trPr>
        <w:tc>
          <w:tcPr>
            <w:tcW w:w="10320" w:type="dxa"/>
            <w:vAlign w:val="bottom"/>
          </w:tcPr>
          <w:p>
            <w:pPr>
              <w:ind w:left="40"/>
              <w:spacing w:after="0"/>
              <w:rPr>
                <w:rFonts w:ascii="Arial" w:cs="Arial" w:eastAsia="Arial" w:hAnsi="Arial"/>
                <w:sz w:val="18"/>
                <w:szCs w:val="18"/>
                <w:u w:val="single" w:color="auto"/>
                <w:color w:val="0000EE"/>
              </w:rPr>
            </w:pPr>
            <w:hyperlink w:anchor="page43">
              <w:r>
                <w:rPr>
                  <w:rFonts w:ascii="Arial" w:cs="Arial" w:eastAsia="Arial" w:hAnsi="Arial"/>
                  <w:sz w:val="18"/>
                  <w:szCs w:val="18"/>
                  <w:u w:val="single" w:color="auto"/>
                  <w:color w:val="0000EE"/>
                </w:rPr>
                <w:t>SIGNATURES</w:t>
              </w:r>
            </w:hyperlink>
          </w:p>
        </w:tc>
        <w:tc>
          <w:tcPr>
            <w:tcW w:w="900" w:type="dxa"/>
            <w:vAlign w:val="bottom"/>
          </w:tcPr>
          <w:p>
            <w:pPr>
              <w:jc w:val="center"/>
              <w:spacing w:after="0"/>
              <w:rPr>
                <w:rFonts w:ascii="Arial" w:cs="Arial" w:eastAsia="Arial" w:hAnsi="Arial"/>
                <w:sz w:val="18"/>
                <w:szCs w:val="18"/>
                <w:u w:val="single" w:color="auto"/>
                <w:color w:val="0000EE"/>
                <w:w w:val="89"/>
              </w:rPr>
            </w:pPr>
            <w:hyperlink w:anchor="page43">
              <w:r>
                <w:rPr>
                  <w:rFonts w:ascii="Arial" w:cs="Arial" w:eastAsia="Arial" w:hAnsi="Arial"/>
                  <w:sz w:val="18"/>
                  <w:szCs w:val="18"/>
                  <w:u w:val="single" w:color="auto"/>
                  <w:color w:val="0000EE"/>
                  <w:w w:val="89"/>
                </w:rPr>
                <w:t>41</w:t>
              </w:r>
            </w:hyperlink>
          </w:p>
        </w:tc>
      </w:tr>
    </w:tbl>
    <w:p>
      <w:pPr>
        <w:sectPr>
          <w:pgSz w:w="11900" w:h="16838" w:orient="portrait"/>
          <w:cols w:equalWidth="0" w:num="1">
            <w:col w:w="11220"/>
          </w:cols>
          <w:pgMar w:left="320" w:top="125" w:right="359" w:bottom="1440" w:gutter="0" w:footer="0" w:header="0"/>
        </w:sectPr>
      </w:pPr>
    </w:p>
    <w:bookmarkStart w:id="2" w:name="page3"/>
    <w:bookmarkEnd w:id="2"/>
    <w:p>
      <w:pPr>
        <w:spacing w:after="0" w:line="81"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 — FINANCIAL INFORMATION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 — Unaudited</w:t>
      </w:r>
    </w:p>
    <w:p>
      <w:pPr>
        <w:spacing w:after="0" w:line="171" w:lineRule="exact"/>
        <w:rPr>
          <w:sz w:val="20"/>
          <w:szCs w:val="20"/>
          <w:color w:val="auto"/>
        </w:rPr>
      </w:pPr>
    </w:p>
    <w:p>
      <w:pPr>
        <w:ind w:left="3820"/>
        <w:spacing w:after="0"/>
        <w:rPr>
          <w:sz w:val="20"/>
          <w:szCs w:val="20"/>
          <w:color w:val="auto"/>
        </w:rPr>
      </w:pPr>
      <w:r>
        <w:rPr>
          <w:rFonts w:ascii="Arial" w:cs="Arial" w:eastAsia="Arial" w:hAnsi="Arial"/>
          <w:sz w:val="18"/>
          <w:szCs w:val="18"/>
          <w:b w:val="1"/>
          <w:bCs w:val="1"/>
          <w:color w:val="auto"/>
        </w:rPr>
        <w:t>Matador Resources Company and Subsidiaries</w:t>
      </w:r>
    </w:p>
    <w:p>
      <w:pPr>
        <w:spacing w:after="0" w:line="171" w:lineRule="exact"/>
        <w:rPr>
          <w:sz w:val="20"/>
          <w:szCs w:val="20"/>
          <w:color w:val="auto"/>
        </w:rPr>
      </w:pPr>
    </w:p>
    <w:p>
      <w:pPr>
        <w:ind w:left="2800"/>
        <w:spacing w:after="0"/>
        <w:rPr>
          <w:sz w:val="20"/>
          <w:szCs w:val="20"/>
          <w:color w:val="auto"/>
        </w:rPr>
      </w:pPr>
      <w:r>
        <w:rPr>
          <w:rFonts w:ascii="Arial" w:cs="Arial" w:eastAsia="Arial" w:hAnsi="Arial"/>
          <w:sz w:val="18"/>
          <w:szCs w:val="18"/>
          <w:b w:val="1"/>
          <w:bCs w:val="1"/>
          <w:color w:val="auto"/>
        </w:rPr>
        <w:t>CONDENSED CONSOLIDATED BALANCE SHEETS — UNAUDITED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par value and share data)</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gridSpan w:val="2"/>
          </w:tcPr>
          <w:p>
            <w:pPr>
              <w:ind w:left="120"/>
              <w:spacing w:after="0"/>
              <w:rPr>
                <w:sz w:val="20"/>
                <w:szCs w:val="20"/>
                <w:color w:val="auto"/>
              </w:rPr>
            </w:pPr>
            <w:r>
              <w:rPr>
                <w:rFonts w:ascii="Arial" w:cs="Arial" w:eastAsia="Arial" w:hAnsi="Arial"/>
                <w:sz w:val="14"/>
                <w:szCs w:val="14"/>
                <w:b w:val="1"/>
                <w:bCs w:val="1"/>
                <w:color w:val="auto"/>
              </w:rPr>
              <w:t>March 31,</w:t>
            </w:r>
          </w:p>
        </w:tc>
        <w:tc>
          <w:tcPr>
            <w:tcW w:w="160" w:type="dxa"/>
            <w:vAlign w:val="bottom"/>
          </w:tcPr>
          <w:p>
            <w:pPr>
              <w:spacing w:after="0"/>
              <w:rPr>
                <w:sz w:val="14"/>
                <w:szCs w:val="14"/>
                <w:color w:val="auto"/>
              </w:rPr>
            </w:pPr>
          </w:p>
        </w:tc>
        <w:tc>
          <w:tcPr>
            <w:tcW w:w="1180" w:type="dxa"/>
            <w:vAlign w:val="bottom"/>
          </w:tcPr>
          <w:p>
            <w:pPr>
              <w:jc w:val="right"/>
              <w:ind w:right="188"/>
              <w:spacing w:after="0"/>
              <w:rPr>
                <w:sz w:val="20"/>
                <w:szCs w:val="20"/>
                <w:color w:val="auto"/>
              </w:rPr>
            </w:pPr>
            <w:r>
              <w:rPr>
                <w:rFonts w:ascii="Arial" w:cs="Arial" w:eastAsia="Arial" w:hAnsi="Arial"/>
                <w:sz w:val="14"/>
                <w:szCs w:val="14"/>
                <w:b w:val="1"/>
                <w:bCs w:val="1"/>
                <w:color w:val="auto"/>
                <w:w w:val="98"/>
              </w:rPr>
              <w:t>December 31,</w:t>
            </w:r>
          </w:p>
        </w:tc>
        <w:tc>
          <w:tcPr>
            <w:tcW w:w="0" w:type="dxa"/>
            <w:vAlign w:val="bottom"/>
          </w:tcPr>
          <w:p>
            <w:pPr>
              <w:spacing w:after="0"/>
              <w:rPr>
                <w:sz w:val="1"/>
                <w:szCs w:val="1"/>
                <w:color w:val="auto"/>
              </w:rPr>
            </w:pPr>
          </w:p>
        </w:tc>
      </w:tr>
      <w:tr>
        <w:trPr>
          <w:trHeight w:val="192"/>
        </w:trPr>
        <w:tc>
          <w:tcPr>
            <w:tcW w:w="844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176"/>
        </w:trPr>
        <w:tc>
          <w:tcPr>
            <w:tcW w:w="8440" w:type="dxa"/>
            <w:vAlign w:val="bottom"/>
            <w:shd w:val="clear" w:color="auto" w:fill="CCEEFF"/>
          </w:tcPr>
          <w:p>
            <w:pPr>
              <w:ind w:left="40"/>
              <w:spacing w:after="0"/>
              <w:rPr>
                <w:sz w:val="20"/>
                <w:szCs w:val="20"/>
                <w:color w:val="auto"/>
              </w:rPr>
            </w:pPr>
            <w:r>
              <w:rPr>
                <w:rFonts w:ascii="Arial" w:cs="Arial" w:eastAsia="Arial" w:hAnsi="Arial"/>
                <w:sz w:val="14"/>
                <w:szCs w:val="14"/>
                <w:color w:val="auto"/>
              </w:rPr>
              <w:t>ASSETS</w:t>
            </w:r>
          </w:p>
        </w:tc>
        <w:tc>
          <w:tcPr>
            <w:tcW w:w="22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844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11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118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90"/>
        </w:trPr>
        <w:tc>
          <w:tcPr>
            <w:tcW w:w="8440" w:type="dxa"/>
            <w:vAlign w:val="bottom"/>
          </w:tcPr>
          <w:p>
            <w:pPr>
              <w:ind w:left="40"/>
              <w:spacing w:after="0"/>
              <w:rPr>
                <w:sz w:val="20"/>
                <w:szCs w:val="20"/>
                <w:color w:val="auto"/>
              </w:rPr>
            </w:pPr>
            <w:r>
              <w:rPr>
                <w:rFonts w:ascii="Arial" w:cs="Arial" w:eastAsia="Arial" w:hAnsi="Arial"/>
                <w:sz w:val="14"/>
                <w:szCs w:val="14"/>
                <w:color w:val="auto"/>
              </w:rPr>
              <w:t>Current assets</w:t>
            </w:r>
          </w:p>
        </w:tc>
        <w:tc>
          <w:tcPr>
            <w:tcW w:w="2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8440" w:type="dxa"/>
            <w:vAlign w:val="bottom"/>
          </w:tcPr>
          <w:p>
            <w:pPr>
              <w:spacing w:after="0"/>
              <w:rPr>
                <w:sz w:val="6"/>
                <w:szCs w:val="6"/>
                <w:color w:val="auto"/>
              </w:rPr>
            </w:pPr>
          </w:p>
        </w:tc>
        <w:tc>
          <w:tcPr>
            <w:tcW w:w="2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11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0"/>
        </w:trPr>
        <w:tc>
          <w:tcPr>
            <w:tcW w:w="8440" w:type="dxa"/>
            <w:vAlign w:val="bottom"/>
            <w:shd w:val="clear" w:color="auto" w:fill="CCEEFF"/>
          </w:tcPr>
          <w:p>
            <w:pPr>
              <w:ind w:left="380"/>
              <w:spacing w:after="0"/>
              <w:rPr>
                <w:sz w:val="20"/>
                <w:szCs w:val="20"/>
                <w:color w:val="auto"/>
              </w:rPr>
            </w:pPr>
            <w:r>
              <w:rPr>
                <w:rFonts w:ascii="Arial" w:cs="Arial" w:eastAsia="Arial" w:hAnsi="Arial"/>
                <w:sz w:val="14"/>
                <w:szCs w:val="14"/>
                <w:color w:val="auto"/>
              </w:rPr>
              <w:t>Cash</w:t>
            </w:r>
          </w:p>
        </w:tc>
        <w:tc>
          <w:tcPr>
            <w:tcW w:w="2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14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27,063</w:t>
            </w:r>
          </w:p>
        </w:tc>
        <w:tc>
          <w:tcPr>
            <w:tcW w:w="100" w:type="dxa"/>
            <w:vAlign w:val="bottom"/>
            <w:shd w:val="clear" w:color="auto" w:fill="CCEEFF"/>
          </w:tcPr>
          <w:p>
            <w:pPr>
              <w:spacing w:after="0"/>
              <w:rPr>
                <w:sz w:val="16"/>
                <w:szCs w:val="16"/>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40,024</w:t>
            </w:r>
          </w:p>
        </w:tc>
        <w:tc>
          <w:tcPr>
            <w:tcW w:w="0" w:type="dxa"/>
            <w:vAlign w:val="bottom"/>
          </w:tcPr>
          <w:p>
            <w:pPr>
              <w:spacing w:after="0"/>
              <w:rPr>
                <w:sz w:val="1"/>
                <w:szCs w:val="1"/>
                <w:color w:val="auto"/>
              </w:rPr>
            </w:pPr>
          </w:p>
        </w:tc>
      </w:tr>
      <w:tr>
        <w:trPr>
          <w:trHeight w:val="80"/>
        </w:trPr>
        <w:tc>
          <w:tcPr>
            <w:tcW w:w="8440" w:type="dxa"/>
            <w:vAlign w:val="bottom"/>
            <w:shd w:val="clear" w:color="auto" w:fill="CCEEFF"/>
          </w:tcPr>
          <w:p>
            <w:pPr>
              <w:spacing w:after="0"/>
              <w:rPr>
                <w:sz w:val="6"/>
                <w:szCs w:val="6"/>
                <w:color w:val="auto"/>
              </w:rPr>
            </w:pPr>
          </w:p>
        </w:tc>
        <w:tc>
          <w:tcPr>
            <w:tcW w:w="220" w:type="dxa"/>
            <w:vAlign w:val="bottom"/>
            <w:vMerge w:val="continue"/>
            <w:shd w:val="clear" w:color="auto" w:fill="CCEEFF"/>
          </w:tcPr>
          <w:p>
            <w:pPr>
              <w:spacing w:after="0"/>
              <w:rPr>
                <w:sz w:val="6"/>
                <w:szCs w:val="6"/>
                <w:color w:val="auto"/>
              </w:rPr>
            </w:pPr>
          </w:p>
        </w:tc>
        <w:tc>
          <w:tcPr>
            <w:tcW w:w="114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60" w:type="dxa"/>
            <w:vAlign w:val="bottom"/>
            <w:vMerge w:val="continue"/>
            <w:shd w:val="clear" w:color="auto" w:fill="CCEEFF"/>
          </w:tcPr>
          <w:p>
            <w:pPr>
              <w:spacing w:after="0"/>
              <w:rPr>
                <w:sz w:val="6"/>
                <w:szCs w:val="6"/>
                <w:color w:val="auto"/>
              </w:rPr>
            </w:pPr>
          </w:p>
        </w:tc>
        <w:tc>
          <w:tcPr>
            <w:tcW w:w="11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0"/>
        </w:trPr>
        <w:tc>
          <w:tcPr>
            <w:tcW w:w="8440" w:type="dxa"/>
            <w:vAlign w:val="bottom"/>
          </w:tcPr>
          <w:p>
            <w:pPr>
              <w:ind w:left="380"/>
              <w:spacing w:after="0"/>
              <w:rPr>
                <w:sz w:val="20"/>
                <w:szCs w:val="20"/>
                <w:color w:val="auto"/>
              </w:rPr>
            </w:pPr>
            <w:r>
              <w:rPr>
                <w:rFonts w:ascii="Arial" w:cs="Arial" w:eastAsia="Arial" w:hAnsi="Arial"/>
                <w:sz w:val="14"/>
                <w:szCs w:val="14"/>
                <w:color w:val="auto"/>
              </w:rPr>
              <w:t>Restricted cash</w:t>
            </w:r>
          </w:p>
        </w:tc>
        <w:tc>
          <w:tcPr>
            <w:tcW w:w="220" w:type="dxa"/>
            <w:vAlign w:val="bottom"/>
          </w:tcPr>
          <w:p>
            <w:pPr>
              <w:spacing w:after="0"/>
              <w:rPr>
                <w:sz w:val="16"/>
                <w:szCs w:val="16"/>
                <w:color w:val="auto"/>
              </w:rPr>
            </w:pPr>
          </w:p>
        </w:tc>
        <w:tc>
          <w:tcPr>
            <w:tcW w:w="1140" w:type="dxa"/>
            <w:vAlign w:val="bottom"/>
            <w:vMerge w:val="restart"/>
          </w:tcPr>
          <w:p>
            <w:pPr>
              <w:jc w:val="right"/>
              <w:ind w:right="48"/>
              <w:spacing w:after="0"/>
              <w:rPr>
                <w:sz w:val="20"/>
                <w:szCs w:val="20"/>
                <w:color w:val="auto"/>
              </w:rPr>
            </w:pPr>
            <w:r>
              <w:rPr>
                <w:rFonts w:ascii="Arial" w:cs="Arial" w:eastAsia="Arial" w:hAnsi="Arial"/>
                <w:sz w:val="14"/>
                <w:szCs w:val="14"/>
                <w:color w:val="auto"/>
              </w:rPr>
              <w:t>29,732</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vMerge w:val="restart"/>
          </w:tcPr>
          <w:p>
            <w:pPr>
              <w:jc w:val="right"/>
              <w:ind w:right="28"/>
              <w:spacing w:after="0"/>
              <w:rPr>
                <w:sz w:val="20"/>
                <w:szCs w:val="20"/>
                <w:color w:val="auto"/>
              </w:rPr>
            </w:pPr>
            <w:r>
              <w:rPr>
                <w:rFonts w:ascii="Arial" w:cs="Arial" w:eastAsia="Arial" w:hAnsi="Arial"/>
                <w:sz w:val="14"/>
                <w:szCs w:val="14"/>
                <w:color w:val="auto"/>
              </w:rPr>
              <w:t>25,104</w:t>
            </w:r>
          </w:p>
        </w:tc>
        <w:tc>
          <w:tcPr>
            <w:tcW w:w="0" w:type="dxa"/>
            <w:vAlign w:val="bottom"/>
          </w:tcPr>
          <w:p>
            <w:pPr>
              <w:spacing w:after="0"/>
              <w:rPr>
                <w:sz w:val="1"/>
                <w:szCs w:val="1"/>
                <w:color w:val="auto"/>
              </w:rPr>
            </w:pPr>
          </w:p>
        </w:tc>
      </w:tr>
      <w:tr>
        <w:trPr>
          <w:trHeight w:val="73"/>
        </w:trPr>
        <w:tc>
          <w:tcPr>
            <w:tcW w:w="8440" w:type="dxa"/>
            <w:vAlign w:val="bottom"/>
          </w:tcPr>
          <w:p>
            <w:pPr>
              <w:spacing w:after="0"/>
              <w:rPr>
                <w:sz w:val="6"/>
                <w:szCs w:val="6"/>
                <w:color w:val="auto"/>
              </w:rPr>
            </w:pPr>
          </w:p>
        </w:tc>
        <w:tc>
          <w:tcPr>
            <w:tcW w:w="220" w:type="dxa"/>
            <w:vAlign w:val="bottom"/>
          </w:tcPr>
          <w:p>
            <w:pPr>
              <w:spacing w:after="0"/>
              <w:rPr>
                <w:sz w:val="6"/>
                <w:szCs w:val="6"/>
                <w:color w:val="auto"/>
              </w:rPr>
            </w:pPr>
          </w:p>
        </w:tc>
        <w:tc>
          <w:tcPr>
            <w:tcW w:w="114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11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8440" w:type="dxa"/>
            <w:vAlign w:val="bottom"/>
            <w:shd w:val="clear" w:color="auto" w:fill="CCEEFF"/>
          </w:tcPr>
          <w:p>
            <w:pPr>
              <w:ind w:left="380"/>
              <w:spacing w:after="0"/>
              <w:rPr>
                <w:sz w:val="20"/>
                <w:szCs w:val="20"/>
                <w:color w:val="auto"/>
              </w:rPr>
            </w:pPr>
            <w:r>
              <w:rPr>
                <w:rFonts w:ascii="Arial" w:cs="Arial" w:eastAsia="Arial" w:hAnsi="Arial"/>
                <w:sz w:val="14"/>
                <w:szCs w:val="14"/>
                <w:color w:val="auto"/>
              </w:rPr>
              <w:t>Accounts receivable</w:t>
            </w: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80"/>
        </w:trPr>
        <w:tc>
          <w:tcPr>
            <w:tcW w:w="844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11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18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0"/>
        </w:trPr>
        <w:tc>
          <w:tcPr>
            <w:tcW w:w="8440" w:type="dxa"/>
            <w:vAlign w:val="bottom"/>
          </w:tcPr>
          <w:p>
            <w:pPr>
              <w:ind w:left="720"/>
              <w:spacing w:after="0"/>
              <w:rPr>
                <w:sz w:val="20"/>
                <w:szCs w:val="20"/>
                <w:color w:val="auto"/>
              </w:rPr>
            </w:pPr>
            <w:r>
              <w:rPr>
                <w:rFonts w:ascii="Arial" w:cs="Arial" w:eastAsia="Arial" w:hAnsi="Arial"/>
                <w:sz w:val="14"/>
                <w:szCs w:val="14"/>
                <w:color w:val="auto"/>
              </w:rPr>
              <w:t>Oil and natural gas revenues</w:t>
            </w:r>
          </w:p>
        </w:tc>
        <w:tc>
          <w:tcPr>
            <w:tcW w:w="220" w:type="dxa"/>
            <w:vAlign w:val="bottom"/>
          </w:tcPr>
          <w:p>
            <w:pPr>
              <w:spacing w:after="0"/>
              <w:rPr>
                <w:sz w:val="16"/>
                <w:szCs w:val="16"/>
                <w:color w:val="auto"/>
              </w:rPr>
            </w:pPr>
          </w:p>
        </w:tc>
        <w:tc>
          <w:tcPr>
            <w:tcW w:w="1140" w:type="dxa"/>
            <w:vAlign w:val="bottom"/>
            <w:vMerge w:val="restart"/>
          </w:tcPr>
          <w:p>
            <w:pPr>
              <w:jc w:val="right"/>
              <w:ind w:right="48"/>
              <w:spacing w:after="0"/>
              <w:rPr>
                <w:sz w:val="20"/>
                <w:szCs w:val="20"/>
                <w:color w:val="auto"/>
              </w:rPr>
            </w:pPr>
            <w:r>
              <w:rPr>
                <w:rFonts w:ascii="Arial" w:cs="Arial" w:eastAsia="Arial" w:hAnsi="Arial"/>
                <w:sz w:val="14"/>
                <w:szCs w:val="14"/>
                <w:color w:val="auto"/>
              </w:rPr>
              <w:t>52,879</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vMerge w:val="restart"/>
          </w:tcPr>
          <w:p>
            <w:pPr>
              <w:jc w:val="right"/>
              <w:ind w:right="28"/>
              <w:spacing w:after="0"/>
              <w:rPr>
                <w:sz w:val="20"/>
                <w:szCs w:val="20"/>
                <w:color w:val="auto"/>
              </w:rPr>
            </w:pPr>
            <w:r>
              <w:rPr>
                <w:rFonts w:ascii="Arial" w:cs="Arial" w:eastAsia="Arial" w:hAnsi="Arial"/>
                <w:sz w:val="14"/>
                <w:szCs w:val="14"/>
                <w:color w:val="auto"/>
              </w:rPr>
              <w:t>95,228</w:t>
            </w:r>
          </w:p>
        </w:tc>
        <w:tc>
          <w:tcPr>
            <w:tcW w:w="0" w:type="dxa"/>
            <w:vAlign w:val="bottom"/>
          </w:tcPr>
          <w:p>
            <w:pPr>
              <w:spacing w:after="0"/>
              <w:rPr>
                <w:sz w:val="1"/>
                <w:szCs w:val="1"/>
                <w:color w:val="auto"/>
              </w:rPr>
            </w:pPr>
          </w:p>
        </w:tc>
      </w:tr>
      <w:tr>
        <w:trPr>
          <w:trHeight w:val="73"/>
        </w:trPr>
        <w:tc>
          <w:tcPr>
            <w:tcW w:w="8440" w:type="dxa"/>
            <w:vAlign w:val="bottom"/>
          </w:tcPr>
          <w:p>
            <w:pPr>
              <w:spacing w:after="0"/>
              <w:rPr>
                <w:sz w:val="6"/>
                <w:szCs w:val="6"/>
                <w:color w:val="auto"/>
              </w:rPr>
            </w:pPr>
          </w:p>
        </w:tc>
        <w:tc>
          <w:tcPr>
            <w:tcW w:w="220" w:type="dxa"/>
            <w:vAlign w:val="bottom"/>
          </w:tcPr>
          <w:p>
            <w:pPr>
              <w:spacing w:after="0"/>
              <w:rPr>
                <w:sz w:val="6"/>
                <w:szCs w:val="6"/>
                <w:color w:val="auto"/>
              </w:rPr>
            </w:pPr>
          </w:p>
        </w:tc>
        <w:tc>
          <w:tcPr>
            <w:tcW w:w="114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11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8440" w:type="dxa"/>
            <w:vAlign w:val="bottom"/>
            <w:shd w:val="clear" w:color="auto" w:fill="CCEEFF"/>
          </w:tcPr>
          <w:p>
            <w:pPr>
              <w:ind w:left="720"/>
              <w:spacing w:after="0"/>
              <w:rPr>
                <w:sz w:val="20"/>
                <w:szCs w:val="20"/>
                <w:color w:val="auto"/>
              </w:rPr>
            </w:pPr>
            <w:r>
              <w:rPr>
                <w:rFonts w:ascii="Arial" w:cs="Arial" w:eastAsia="Arial" w:hAnsi="Arial"/>
                <w:sz w:val="14"/>
                <w:szCs w:val="14"/>
                <w:color w:val="auto"/>
              </w:rPr>
              <w:t>Joint interest billings</w:t>
            </w:r>
          </w:p>
        </w:tc>
        <w:tc>
          <w:tcPr>
            <w:tcW w:w="220" w:type="dxa"/>
            <w:vAlign w:val="bottom"/>
            <w:shd w:val="clear" w:color="auto" w:fill="CCEEFF"/>
          </w:tcPr>
          <w:p>
            <w:pPr>
              <w:spacing w:after="0"/>
              <w:rPr>
                <w:sz w:val="17"/>
                <w:szCs w:val="17"/>
                <w:color w:val="auto"/>
              </w:rPr>
            </w:pPr>
          </w:p>
        </w:tc>
        <w:tc>
          <w:tcPr>
            <w:tcW w:w="114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70,318</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67,546</w:t>
            </w:r>
          </w:p>
        </w:tc>
        <w:tc>
          <w:tcPr>
            <w:tcW w:w="0" w:type="dxa"/>
            <w:vAlign w:val="bottom"/>
          </w:tcPr>
          <w:p>
            <w:pPr>
              <w:spacing w:after="0"/>
              <w:rPr>
                <w:sz w:val="1"/>
                <w:szCs w:val="1"/>
                <w:color w:val="auto"/>
              </w:rPr>
            </w:pPr>
          </w:p>
        </w:tc>
      </w:tr>
      <w:tr>
        <w:trPr>
          <w:trHeight w:val="80"/>
        </w:trPr>
        <w:tc>
          <w:tcPr>
            <w:tcW w:w="844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114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1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0"/>
        </w:trPr>
        <w:tc>
          <w:tcPr>
            <w:tcW w:w="8440" w:type="dxa"/>
            <w:vAlign w:val="bottom"/>
          </w:tcPr>
          <w:p>
            <w:pPr>
              <w:ind w:left="720"/>
              <w:spacing w:after="0"/>
              <w:rPr>
                <w:sz w:val="20"/>
                <w:szCs w:val="20"/>
                <w:color w:val="auto"/>
              </w:rPr>
            </w:pPr>
            <w:r>
              <w:rPr>
                <w:rFonts w:ascii="Arial" w:cs="Arial" w:eastAsia="Arial" w:hAnsi="Arial"/>
                <w:sz w:val="14"/>
                <w:szCs w:val="14"/>
                <w:color w:val="auto"/>
              </w:rPr>
              <w:t>Other</w:t>
            </w:r>
          </w:p>
        </w:tc>
        <w:tc>
          <w:tcPr>
            <w:tcW w:w="220" w:type="dxa"/>
            <w:vAlign w:val="bottom"/>
          </w:tcPr>
          <w:p>
            <w:pPr>
              <w:spacing w:after="0"/>
              <w:rPr>
                <w:sz w:val="16"/>
                <w:szCs w:val="16"/>
                <w:color w:val="auto"/>
              </w:rPr>
            </w:pPr>
          </w:p>
        </w:tc>
        <w:tc>
          <w:tcPr>
            <w:tcW w:w="1140" w:type="dxa"/>
            <w:vAlign w:val="bottom"/>
            <w:vMerge w:val="restart"/>
          </w:tcPr>
          <w:p>
            <w:pPr>
              <w:jc w:val="right"/>
              <w:ind w:right="48"/>
              <w:spacing w:after="0"/>
              <w:rPr>
                <w:sz w:val="20"/>
                <w:szCs w:val="20"/>
                <w:color w:val="auto"/>
              </w:rPr>
            </w:pPr>
            <w:r>
              <w:rPr>
                <w:rFonts w:ascii="Arial" w:cs="Arial" w:eastAsia="Arial" w:hAnsi="Arial"/>
                <w:sz w:val="14"/>
                <w:szCs w:val="14"/>
                <w:color w:val="auto"/>
              </w:rPr>
              <w:t>30,592</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vMerge w:val="restart"/>
          </w:tcPr>
          <w:p>
            <w:pPr>
              <w:jc w:val="right"/>
              <w:ind w:right="28"/>
              <w:spacing w:after="0"/>
              <w:rPr>
                <w:sz w:val="20"/>
                <w:szCs w:val="20"/>
                <w:color w:val="auto"/>
              </w:rPr>
            </w:pPr>
            <w:r>
              <w:rPr>
                <w:rFonts w:ascii="Arial" w:cs="Arial" w:eastAsia="Arial" w:hAnsi="Arial"/>
                <w:sz w:val="14"/>
                <w:szCs w:val="14"/>
                <w:color w:val="auto"/>
              </w:rPr>
              <w:t>26,639</w:t>
            </w:r>
          </w:p>
        </w:tc>
        <w:tc>
          <w:tcPr>
            <w:tcW w:w="0" w:type="dxa"/>
            <w:vAlign w:val="bottom"/>
          </w:tcPr>
          <w:p>
            <w:pPr>
              <w:spacing w:after="0"/>
              <w:rPr>
                <w:sz w:val="1"/>
                <w:szCs w:val="1"/>
                <w:color w:val="auto"/>
              </w:rPr>
            </w:pPr>
          </w:p>
        </w:tc>
      </w:tr>
      <w:tr>
        <w:trPr>
          <w:trHeight w:val="73"/>
        </w:trPr>
        <w:tc>
          <w:tcPr>
            <w:tcW w:w="8440" w:type="dxa"/>
            <w:vAlign w:val="bottom"/>
          </w:tcPr>
          <w:p>
            <w:pPr>
              <w:spacing w:after="0"/>
              <w:rPr>
                <w:sz w:val="6"/>
                <w:szCs w:val="6"/>
                <w:color w:val="auto"/>
              </w:rPr>
            </w:pPr>
          </w:p>
        </w:tc>
        <w:tc>
          <w:tcPr>
            <w:tcW w:w="220" w:type="dxa"/>
            <w:vAlign w:val="bottom"/>
          </w:tcPr>
          <w:p>
            <w:pPr>
              <w:spacing w:after="0"/>
              <w:rPr>
                <w:sz w:val="6"/>
                <w:szCs w:val="6"/>
                <w:color w:val="auto"/>
              </w:rPr>
            </w:pPr>
          </w:p>
        </w:tc>
        <w:tc>
          <w:tcPr>
            <w:tcW w:w="114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11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8440" w:type="dxa"/>
            <w:vAlign w:val="bottom"/>
            <w:shd w:val="clear" w:color="auto" w:fill="CCEEFF"/>
          </w:tcPr>
          <w:p>
            <w:pPr>
              <w:ind w:left="380"/>
              <w:spacing w:after="0"/>
              <w:rPr>
                <w:sz w:val="20"/>
                <w:szCs w:val="20"/>
                <w:color w:val="auto"/>
              </w:rPr>
            </w:pPr>
            <w:r>
              <w:rPr>
                <w:rFonts w:ascii="Arial" w:cs="Arial" w:eastAsia="Arial" w:hAnsi="Arial"/>
                <w:sz w:val="14"/>
                <w:szCs w:val="14"/>
                <w:color w:val="auto"/>
              </w:rPr>
              <w:t>Derivative instruments</w:t>
            </w:r>
          </w:p>
        </w:tc>
        <w:tc>
          <w:tcPr>
            <w:tcW w:w="220" w:type="dxa"/>
            <w:vAlign w:val="bottom"/>
            <w:shd w:val="clear" w:color="auto" w:fill="CCEEFF"/>
          </w:tcPr>
          <w:p>
            <w:pPr>
              <w:spacing w:after="0"/>
              <w:rPr>
                <w:sz w:val="17"/>
                <w:szCs w:val="17"/>
                <w:color w:val="auto"/>
              </w:rPr>
            </w:pPr>
          </w:p>
        </w:tc>
        <w:tc>
          <w:tcPr>
            <w:tcW w:w="114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121,179</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80"/>
        </w:trPr>
        <w:tc>
          <w:tcPr>
            <w:tcW w:w="844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114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1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0"/>
        </w:trPr>
        <w:tc>
          <w:tcPr>
            <w:tcW w:w="8440" w:type="dxa"/>
            <w:vAlign w:val="bottom"/>
          </w:tcPr>
          <w:p>
            <w:pPr>
              <w:ind w:left="380"/>
              <w:spacing w:after="0"/>
              <w:rPr>
                <w:sz w:val="20"/>
                <w:szCs w:val="20"/>
                <w:color w:val="auto"/>
              </w:rPr>
            </w:pPr>
            <w:r>
              <w:rPr>
                <w:rFonts w:ascii="Arial" w:cs="Arial" w:eastAsia="Arial" w:hAnsi="Arial"/>
                <w:sz w:val="14"/>
                <w:szCs w:val="14"/>
                <w:color w:val="auto"/>
              </w:rPr>
              <w:t>Lease and well equipment inventory</w:t>
            </w:r>
          </w:p>
        </w:tc>
        <w:tc>
          <w:tcPr>
            <w:tcW w:w="220" w:type="dxa"/>
            <w:vAlign w:val="bottom"/>
          </w:tcPr>
          <w:p>
            <w:pPr>
              <w:spacing w:after="0"/>
              <w:rPr>
                <w:sz w:val="16"/>
                <w:szCs w:val="16"/>
                <w:color w:val="auto"/>
              </w:rPr>
            </w:pPr>
          </w:p>
        </w:tc>
        <w:tc>
          <w:tcPr>
            <w:tcW w:w="1140" w:type="dxa"/>
            <w:vAlign w:val="bottom"/>
            <w:vMerge w:val="restart"/>
          </w:tcPr>
          <w:p>
            <w:pPr>
              <w:jc w:val="right"/>
              <w:ind w:right="48"/>
              <w:spacing w:after="0"/>
              <w:rPr>
                <w:sz w:val="20"/>
                <w:szCs w:val="20"/>
                <w:color w:val="auto"/>
              </w:rPr>
            </w:pPr>
            <w:r>
              <w:rPr>
                <w:rFonts w:ascii="Arial" w:cs="Arial" w:eastAsia="Arial" w:hAnsi="Arial"/>
                <w:sz w:val="14"/>
                <w:szCs w:val="14"/>
                <w:color w:val="auto"/>
              </w:rPr>
              <w:t>11,638</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vMerge w:val="restart"/>
          </w:tcPr>
          <w:p>
            <w:pPr>
              <w:jc w:val="right"/>
              <w:ind w:right="28"/>
              <w:spacing w:after="0"/>
              <w:rPr>
                <w:sz w:val="20"/>
                <w:szCs w:val="20"/>
                <w:color w:val="auto"/>
              </w:rPr>
            </w:pPr>
            <w:r>
              <w:rPr>
                <w:rFonts w:ascii="Arial" w:cs="Arial" w:eastAsia="Arial" w:hAnsi="Arial"/>
                <w:sz w:val="14"/>
                <w:szCs w:val="14"/>
                <w:color w:val="auto"/>
              </w:rPr>
              <w:t>10,744</w:t>
            </w:r>
          </w:p>
        </w:tc>
        <w:tc>
          <w:tcPr>
            <w:tcW w:w="0" w:type="dxa"/>
            <w:vAlign w:val="bottom"/>
          </w:tcPr>
          <w:p>
            <w:pPr>
              <w:spacing w:after="0"/>
              <w:rPr>
                <w:sz w:val="1"/>
                <w:szCs w:val="1"/>
                <w:color w:val="auto"/>
              </w:rPr>
            </w:pPr>
          </w:p>
        </w:tc>
      </w:tr>
      <w:tr>
        <w:trPr>
          <w:trHeight w:val="73"/>
        </w:trPr>
        <w:tc>
          <w:tcPr>
            <w:tcW w:w="8440" w:type="dxa"/>
            <w:vAlign w:val="bottom"/>
          </w:tcPr>
          <w:p>
            <w:pPr>
              <w:spacing w:after="0"/>
              <w:rPr>
                <w:sz w:val="6"/>
                <w:szCs w:val="6"/>
                <w:color w:val="auto"/>
              </w:rPr>
            </w:pPr>
          </w:p>
        </w:tc>
        <w:tc>
          <w:tcPr>
            <w:tcW w:w="220" w:type="dxa"/>
            <w:vAlign w:val="bottom"/>
          </w:tcPr>
          <w:p>
            <w:pPr>
              <w:spacing w:after="0"/>
              <w:rPr>
                <w:sz w:val="6"/>
                <w:szCs w:val="6"/>
                <w:color w:val="auto"/>
              </w:rPr>
            </w:pPr>
          </w:p>
        </w:tc>
        <w:tc>
          <w:tcPr>
            <w:tcW w:w="114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11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8440" w:type="dxa"/>
            <w:vAlign w:val="bottom"/>
            <w:shd w:val="clear" w:color="auto" w:fill="CCEEFF"/>
          </w:tcPr>
          <w:p>
            <w:pPr>
              <w:ind w:left="380"/>
              <w:spacing w:after="0"/>
              <w:rPr>
                <w:sz w:val="20"/>
                <w:szCs w:val="20"/>
                <w:color w:val="auto"/>
              </w:rPr>
            </w:pPr>
            <w:r>
              <w:rPr>
                <w:rFonts w:ascii="Arial" w:cs="Arial" w:eastAsia="Arial" w:hAnsi="Arial"/>
                <w:sz w:val="14"/>
                <w:szCs w:val="14"/>
                <w:color w:val="auto"/>
              </w:rPr>
              <w:t>Prepaid expenses and other current assets</w:t>
            </w:r>
          </w:p>
        </w:tc>
        <w:tc>
          <w:tcPr>
            <w:tcW w:w="220" w:type="dxa"/>
            <w:vAlign w:val="bottom"/>
            <w:shd w:val="clear" w:color="auto" w:fill="CCEEFF"/>
          </w:tcPr>
          <w:p>
            <w:pPr>
              <w:spacing w:after="0"/>
              <w:rPr>
                <w:sz w:val="17"/>
                <w:szCs w:val="17"/>
                <w:color w:val="auto"/>
              </w:rPr>
            </w:pPr>
          </w:p>
        </w:tc>
        <w:tc>
          <w:tcPr>
            <w:tcW w:w="114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13,234</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13,207</w:t>
            </w:r>
          </w:p>
        </w:tc>
        <w:tc>
          <w:tcPr>
            <w:tcW w:w="0" w:type="dxa"/>
            <w:vAlign w:val="bottom"/>
          </w:tcPr>
          <w:p>
            <w:pPr>
              <w:spacing w:after="0"/>
              <w:rPr>
                <w:sz w:val="1"/>
                <w:szCs w:val="1"/>
                <w:color w:val="auto"/>
              </w:rPr>
            </w:pPr>
          </w:p>
        </w:tc>
      </w:tr>
      <w:tr>
        <w:trPr>
          <w:trHeight w:val="80"/>
        </w:trPr>
        <w:tc>
          <w:tcPr>
            <w:tcW w:w="8440" w:type="dxa"/>
            <w:vAlign w:val="bottom"/>
            <w:shd w:val="clear" w:color="auto" w:fill="CCEEFF"/>
          </w:tcPr>
          <w:p>
            <w:pPr>
              <w:spacing w:after="0"/>
              <w:rPr>
                <w:sz w:val="6"/>
                <w:szCs w:val="6"/>
                <w:color w:val="auto"/>
              </w:rPr>
            </w:pPr>
          </w:p>
        </w:tc>
        <w:tc>
          <w:tcPr>
            <w:tcW w:w="220" w:type="dxa"/>
            <w:vAlign w:val="bottom"/>
            <w:tcBorders>
              <w:bottom w:val="single" w:sz="8" w:color="auto"/>
            </w:tcBorders>
            <w:shd w:val="clear" w:color="auto" w:fill="CCEEFF"/>
          </w:tcPr>
          <w:p>
            <w:pPr>
              <w:spacing w:after="0"/>
              <w:rPr>
                <w:sz w:val="6"/>
                <w:szCs w:val="6"/>
                <w:color w:val="auto"/>
              </w:rPr>
            </w:pPr>
          </w:p>
        </w:tc>
        <w:tc>
          <w:tcPr>
            <w:tcW w:w="114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60" w:type="dxa"/>
            <w:vAlign w:val="bottom"/>
            <w:tcBorders>
              <w:bottom w:val="single" w:sz="8" w:color="auto"/>
            </w:tcBorders>
            <w:shd w:val="clear" w:color="auto" w:fill="CCEEFF"/>
          </w:tcPr>
          <w:p>
            <w:pPr>
              <w:spacing w:after="0"/>
              <w:rPr>
                <w:sz w:val="6"/>
                <w:szCs w:val="6"/>
                <w:color w:val="auto"/>
              </w:rPr>
            </w:pPr>
          </w:p>
        </w:tc>
        <w:tc>
          <w:tcPr>
            <w:tcW w:w="118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0"/>
        </w:trPr>
        <w:tc>
          <w:tcPr>
            <w:tcW w:w="8440" w:type="dxa"/>
            <w:vAlign w:val="bottom"/>
          </w:tcPr>
          <w:p>
            <w:pPr>
              <w:ind w:left="1140"/>
              <w:spacing w:after="0"/>
              <w:rPr>
                <w:sz w:val="20"/>
                <w:szCs w:val="20"/>
                <w:color w:val="auto"/>
              </w:rPr>
            </w:pPr>
            <w:r>
              <w:rPr>
                <w:rFonts w:ascii="Arial" w:cs="Arial" w:eastAsia="Arial" w:hAnsi="Arial"/>
                <w:sz w:val="14"/>
                <w:szCs w:val="14"/>
                <w:color w:val="auto"/>
              </w:rPr>
              <w:t>Total current assets</w:t>
            </w:r>
          </w:p>
        </w:tc>
        <w:tc>
          <w:tcPr>
            <w:tcW w:w="220" w:type="dxa"/>
            <w:vAlign w:val="bottom"/>
          </w:tcPr>
          <w:p>
            <w:pPr>
              <w:spacing w:after="0"/>
              <w:rPr>
                <w:sz w:val="14"/>
                <w:szCs w:val="14"/>
                <w:color w:val="auto"/>
              </w:rPr>
            </w:pPr>
          </w:p>
        </w:tc>
        <w:tc>
          <w:tcPr>
            <w:tcW w:w="1140" w:type="dxa"/>
            <w:vAlign w:val="bottom"/>
            <w:vMerge w:val="restart"/>
          </w:tcPr>
          <w:p>
            <w:pPr>
              <w:jc w:val="right"/>
              <w:ind w:right="48"/>
              <w:spacing w:after="0"/>
              <w:rPr>
                <w:sz w:val="20"/>
                <w:szCs w:val="20"/>
                <w:color w:val="auto"/>
              </w:rPr>
            </w:pPr>
            <w:r>
              <w:rPr>
                <w:rFonts w:ascii="Arial" w:cs="Arial" w:eastAsia="Arial" w:hAnsi="Arial"/>
                <w:sz w:val="14"/>
                <w:szCs w:val="14"/>
                <w:color w:val="auto"/>
              </w:rPr>
              <w:t>356,635</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vMerge w:val="restart"/>
          </w:tcPr>
          <w:p>
            <w:pPr>
              <w:jc w:val="right"/>
              <w:ind w:right="28"/>
              <w:spacing w:after="0"/>
              <w:rPr>
                <w:sz w:val="20"/>
                <w:szCs w:val="20"/>
                <w:color w:val="auto"/>
              </w:rPr>
            </w:pPr>
            <w:r>
              <w:rPr>
                <w:rFonts w:ascii="Arial" w:cs="Arial" w:eastAsia="Arial" w:hAnsi="Arial"/>
                <w:sz w:val="14"/>
                <w:szCs w:val="14"/>
                <w:color w:val="auto"/>
              </w:rPr>
              <w:t>278,492</w:t>
            </w:r>
          </w:p>
        </w:tc>
        <w:tc>
          <w:tcPr>
            <w:tcW w:w="0" w:type="dxa"/>
            <w:vAlign w:val="bottom"/>
          </w:tcPr>
          <w:p>
            <w:pPr>
              <w:spacing w:after="0"/>
              <w:rPr>
                <w:sz w:val="1"/>
                <w:szCs w:val="1"/>
                <w:color w:val="auto"/>
              </w:rPr>
            </w:pPr>
          </w:p>
        </w:tc>
      </w:tr>
      <w:tr>
        <w:trPr>
          <w:trHeight w:val="73"/>
        </w:trPr>
        <w:tc>
          <w:tcPr>
            <w:tcW w:w="8440" w:type="dxa"/>
            <w:vAlign w:val="bottom"/>
          </w:tcPr>
          <w:p>
            <w:pPr>
              <w:spacing w:after="0"/>
              <w:rPr>
                <w:sz w:val="6"/>
                <w:szCs w:val="6"/>
                <w:color w:val="auto"/>
              </w:rPr>
            </w:pPr>
          </w:p>
        </w:tc>
        <w:tc>
          <w:tcPr>
            <w:tcW w:w="220" w:type="dxa"/>
            <w:vAlign w:val="bottom"/>
          </w:tcPr>
          <w:p>
            <w:pPr>
              <w:spacing w:after="0"/>
              <w:rPr>
                <w:sz w:val="6"/>
                <w:szCs w:val="6"/>
                <w:color w:val="auto"/>
              </w:rPr>
            </w:pPr>
          </w:p>
        </w:tc>
        <w:tc>
          <w:tcPr>
            <w:tcW w:w="114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11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8440" w:type="dxa"/>
            <w:vAlign w:val="bottom"/>
            <w:shd w:val="clear" w:color="auto" w:fill="CCEEFF"/>
          </w:tcPr>
          <w:p>
            <w:pPr>
              <w:ind w:left="40"/>
              <w:spacing w:after="0"/>
              <w:rPr>
                <w:sz w:val="20"/>
                <w:szCs w:val="20"/>
                <w:color w:val="auto"/>
              </w:rPr>
            </w:pPr>
            <w:r>
              <w:rPr>
                <w:rFonts w:ascii="Arial" w:cs="Arial" w:eastAsia="Arial" w:hAnsi="Arial"/>
                <w:sz w:val="14"/>
                <w:szCs w:val="14"/>
                <w:color w:val="auto"/>
              </w:rPr>
              <w:t>Property and equipment, at cost</w:t>
            </w: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80"/>
        </w:trPr>
        <w:tc>
          <w:tcPr>
            <w:tcW w:w="844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11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18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0"/>
        </w:trPr>
        <w:tc>
          <w:tcPr>
            <w:tcW w:w="8440" w:type="dxa"/>
            <w:vAlign w:val="bottom"/>
          </w:tcPr>
          <w:p>
            <w:pPr>
              <w:ind w:left="380"/>
              <w:spacing w:after="0"/>
              <w:rPr>
                <w:sz w:val="20"/>
                <w:szCs w:val="20"/>
                <w:color w:val="auto"/>
              </w:rPr>
            </w:pPr>
            <w:r>
              <w:rPr>
                <w:rFonts w:ascii="Arial" w:cs="Arial" w:eastAsia="Arial" w:hAnsi="Arial"/>
                <w:sz w:val="14"/>
                <w:szCs w:val="14"/>
                <w:color w:val="auto"/>
              </w:rPr>
              <w:t>Oil and natural gas properties, full-cost method</w:t>
            </w:r>
          </w:p>
        </w:tc>
        <w:tc>
          <w:tcPr>
            <w:tcW w:w="2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8440" w:type="dxa"/>
            <w:vAlign w:val="bottom"/>
          </w:tcPr>
          <w:p>
            <w:pPr>
              <w:spacing w:after="0"/>
              <w:rPr>
                <w:sz w:val="6"/>
                <w:szCs w:val="6"/>
                <w:color w:val="auto"/>
              </w:rPr>
            </w:pPr>
          </w:p>
        </w:tc>
        <w:tc>
          <w:tcPr>
            <w:tcW w:w="2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11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0"/>
        </w:trPr>
        <w:tc>
          <w:tcPr>
            <w:tcW w:w="8440" w:type="dxa"/>
            <w:vAlign w:val="bottom"/>
            <w:shd w:val="clear" w:color="auto" w:fill="CCEEFF"/>
          </w:tcPr>
          <w:p>
            <w:pPr>
              <w:ind w:left="720"/>
              <w:spacing w:after="0"/>
              <w:rPr>
                <w:sz w:val="20"/>
                <w:szCs w:val="20"/>
                <w:color w:val="auto"/>
              </w:rPr>
            </w:pPr>
            <w:r>
              <w:rPr>
                <w:rFonts w:ascii="Arial" w:cs="Arial" w:eastAsia="Arial" w:hAnsi="Arial"/>
                <w:sz w:val="14"/>
                <w:szCs w:val="14"/>
                <w:color w:val="auto"/>
              </w:rPr>
              <w:t>Evaluated</w:t>
            </w:r>
          </w:p>
        </w:tc>
        <w:tc>
          <w:tcPr>
            <w:tcW w:w="220" w:type="dxa"/>
            <w:vAlign w:val="bottom"/>
            <w:shd w:val="clear" w:color="auto" w:fill="CCEEFF"/>
          </w:tcPr>
          <w:p>
            <w:pPr>
              <w:spacing w:after="0"/>
              <w:rPr>
                <w:sz w:val="16"/>
                <w:szCs w:val="16"/>
                <w:color w:val="auto"/>
              </w:rPr>
            </w:pPr>
          </w:p>
        </w:tc>
        <w:tc>
          <w:tcPr>
            <w:tcW w:w="114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4,724,293</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4,557,265</w:t>
            </w:r>
          </w:p>
        </w:tc>
        <w:tc>
          <w:tcPr>
            <w:tcW w:w="0" w:type="dxa"/>
            <w:vAlign w:val="bottom"/>
          </w:tcPr>
          <w:p>
            <w:pPr>
              <w:spacing w:after="0"/>
              <w:rPr>
                <w:sz w:val="1"/>
                <w:szCs w:val="1"/>
                <w:color w:val="auto"/>
              </w:rPr>
            </w:pPr>
          </w:p>
        </w:tc>
      </w:tr>
      <w:tr>
        <w:trPr>
          <w:trHeight w:val="80"/>
        </w:trPr>
        <w:tc>
          <w:tcPr>
            <w:tcW w:w="844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114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1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0"/>
        </w:trPr>
        <w:tc>
          <w:tcPr>
            <w:tcW w:w="8440" w:type="dxa"/>
            <w:vAlign w:val="bottom"/>
          </w:tcPr>
          <w:p>
            <w:pPr>
              <w:ind w:left="720"/>
              <w:spacing w:after="0"/>
              <w:rPr>
                <w:sz w:val="20"/>
                <w:szCs w:val="20"/>
                <w:color w:val="auto"/>
              </w:rPr>
            </w:pPr>
            <w:r>
              <w:rPr>
                <w:rFonts w:ascii="Arial" w:cs="Arial" w:eastAsia="Arial" w:hAnsi="Arial"/>
                <w:sz w:val="14"/>
                <w:szCs w:val="14"/>
                <w:color w:val="auto"/>
              </w:rPr>
              <w:t>Unproved and unevaluated</w:t>
            </w:r>
          </w:p>
        </w:tc>
        <w:tc>
          <w:tcPr>
            <w:tcW w:w="220" w:type="dxa"/>
            <w:vAlign w:val="bottom"/>
          </w:tcPr>
          <w:p>
            <w:pPr>
              <w:spacing w:after="0"/>
              <w:rPr>
                <w:sz w:val="16"/>
                <w:szCs w:val="16"/>
                <w:color w:val="auto"/>
              </w:rPr>
            </w:pPr>
          </w:p>
        </w:tc>
        <w:tc>
          <w:tcPr>
            <w:tcW w:w="1140" w:type="dxa"/>
            <w:vAlign w:val="bottom"/>
            <w:vMerge w:val="restart"/>
          </w:tcPr>
          <w:p>
            <w:pPr>
              <w:jc w:val="right"/>
              <w:ind w:right="48"/>
              <w:spacing w:after="0"/>
              <w:rPr>
                <w:sz w:val="20"/>
                <w:szCs w:val="20"/>
                <w:color w:val="auto"/>
              </w:rPr>
            </w:pPr>
            <w:r>
              <w:rPr>
                <w:rFonts w:ascii="Arial" w:cs="Arial" w:eastAsia="Arial" w:hAnsi="Arial"/>
                <w:sz w:val="14"/>
                <w:szCs w:val="14"/>
                <w:color w:val="auto"/>
              </w:rPr>
              <w:t>1,169,751</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vMerge w:val="restart"/>
          </w:tcPr>
          <w:p>
            <w:pPr>
              <w:jc w:val="right"/>
              <w:ind w:right="28"/>
              <w:spacing w:after="0"/>
              <w:rPr>
                <w:sz w:val="20"/>
                <w:szCs w:val="20"/>
                <w:color w:val="auto"/>
              </w:rPr>
            </w:pPr>
            <w:r>
              <w:rPr>
                <w:rFonts w:ascii="Arial" w:cs="Arial" w:eastAsia="Arial" w:hAnsi="Arial"/>
                <w:sz w:val="14"/>
                <w:szCs w:val="14"/>
                <w:color w:val="auto"/>
              </w:rPr>
              <w:t>1,126,992</w:t>
            </w:r>
          </w:p>
        </w:tc>
        <w:tc>
          <w:tcPr>
            <w:tcW w:w="0" w:type="dxa"/>
            <w:vAlign w:val="bottom"/>
          </w:tcPr>
          <w:p>
            <w:pPr>
              <w:spacing w:after="0"/>
              <w:rPr>
                <w:sz w:val="1"/>
                <w:szCs w:val="1"/>
                <w:color w:val="auto"/>
              </w:rPr>
            </w:pPr>
          </w:p>
        </w:tc>
      </w:tr>
      <w:tr>
        <w:trPr>
          <w:trHeight w:val="74"/>
        </w:trPr>
        <w:tc>
          <w:tcPr>
            <w:tcW w:w="8440" w:type="dxa"/>
            <w:vAlign w:val="bottom"/>
          </w:tcPr>
          <w:p>
            <w:pPr>
              <w:spacing w:after="0"/>
              <w:rPr>
                <w:sz w:val="6"/>
                <w:szCs w:val="6"/>
                <w:color w:val="auto"/>
              </w:rPr>
            </w:pPr>
          </w:p>
        </w:tc>
        <w:tc>
          <w:tcPr>
            <w:tcW w:w="220" w:type="dxa"/>
            <w:vAlign w:val="bottom"/>
          </w:tcPr>
          <w:p>
            <w:pPr>
              <w:spacing w:after="0"/>
              <w:rPr>
                <w:sz w:val="6"/>
                <w:szCs w:val="6"/>
                <w:color w:val="auto"/>
              </w:rPr>
            </w:pPr>
          </w:p>
        </w:tc>
        <w:tc>
          <w:tcPr>
            <w:tcW w:w="114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11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6"/>
        </w:trPr>
        <w:tc>
          <w:tcPr>
            <w:tcW w:w="8440" w:type="dxa"/>
            <w:vAlign w:val="bottom"/>
            <w:shd w:val="clear" w:color="auto" w:fill="CCEEFF"/>
          </w:tcPr>
          <w:p>
            <w:pPr>
              <w:ind w:left="380"/>
              <w:spacing w:after="0"/>
              <w:rPr>
                <w:sz w:val="20"/>
                <w:szCs w:val="20"/>
                <w:color w:val="auto"/>
              </w:rPr>
            </w:pPr>
            <w:r>
              <w:rPr>
                <w:rFonts w:ascii="Arial" w:cs="Arial" w:eastAsia="Arial" w:hAnsi="Arial"/>
                <w:sz w:val="14"/>
                <w:szCs w:val="14"/>
                <w:color w:val="auto"/>
              </w:rPr>
              <w:t>Midstream properties</w:t>
            </w:r>
          </w:p>
        </w:tc>
        <w:tc>
          <w:tcPr>
            <w:tcW w:w="220" w:type="dxa"/>
            <w:vAlign w:val="bottom"/>
            <w:shd w:val="clear" w:color="auto" w:fill="CCEEFF"/>
          </w:tcPr>
          <w:p>
            <w:pPr>
              <w:spacing w:after="0"/>
              <w:rPr>
                <w:sz w:val="17"/>
                <w:szCs w:val="17"/>
                <w:color w:val="auto"/>
              </w:rPr>
            </w:pPr>
          </w:p>
        </w:tc>
        <w:tc>
          <w:tcPr>
            <w:tcW w:w="114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711,863</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643,903</w:t>
            </w:r>
          </w:p>
        </w:tc>
        <w:tc>
          <w:tcPr>
            <w:tcW w:w="0" w:type="dxa"/>
            <w:vAlign w:val="bottom"/>
          </w:tcPr>
          <w:p>
            <w:pPr>
              <w:spacing w:after="0"/>
              <w:rPr>
                <w:sz w:val="1"/>
                <w:szCs w:val="1"/>
                <w:color w:val="auto"/>
              </w:rPr>
            </w:pPr>
          </w:p>
        </w:tc>
      </w:tr>
      <w:tr>
        <w:trPr>
          <w:trHeight w:val="80"/>
        </w:trPr>
        <w:tc>
          <w:tcPr>
            <w:tcW w:w="844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114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1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0"/>
        </w:trPr>
        <w:tc>
          <w:tcPr>
            <w:tcW w:w="8440" w:type="dxa"/>
            <w:vAlign w:val="bottom"/>
          </w:tcPr>
          <w:p>
            <w:pPr>
              <w:ind w:left="380"/>
              <w:spacing w:after="0"/>
              <w:rPr>
                <w:sz w:val="20"/>
                <w:szCs w:val="20"/>
                <w:color w:val="auto"/>
              </w:rPr>
            </w:pPr>
            <w:r>
              <w:rPr>
                <w:rFonts w:ascii="Arial" w:cs="Arial" w:eastAsia="Arial" w:hAnsi="Arial"/>
                <w:sz w:val="14"/>
                <w:szCs w:val="14"/>
                <w:color w:val="auto"/>
              </w:rPr>
              <w:t>Other property and equipment</w:t>
            </w:r>
          </w:p>
        </w:tc>
        <w:tc>
          <w:tcPr>
            <w:tcW w:w="220" w:type="dxa"/>
            <w:vAlign w:val="bottom"/>
          </w:tcPr>
          <w:p>
            <w:pPr>
              <w:spacing w:after="0"/>
              <w:rPr>
                <w:sz w:val="16"/>
                <w:szCs w:val="16"/>
                <w:color w:val="auto"/>
              </w:rPr>
            </w:pPr>
          </w:p>
        </w:tc>
        <w:tc>
          <w:tcPr>
            <w:tcW w:w="1140" w:type="dxa"/>
            <w:vAlign w:val="bottom"/>
            <w:vMerge w:val="restart"/>
          </w:tcPr>
          <w:p>
            <w:pPr>
              <w:jc w:val="right"/>
              <w:ind w:right="48"/>
              <w:spacing w:after="0"/>
              <w:rPr>
                <w:sz w:val="20"/>
                <w:szCs w:val="20"/>
                <w:color w:val="auto"/>
              </w:rPr>
            </w:pPr>
            <w:r>
              <w:rPr>
                <w:rFonts w:ascii="Arial" w:cs="Arial" w:eastAsia="Arial" w:hAnsi="Arial"/>
                <w:sz w:val="14"/>
                <w:szCs w:val="14"/>
                <w:color w:val="auto"/>
              </w:rPr>
              <w:t>27,640</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vMerge w:val="restart"/>
          </w:tcPr>
          <w:p>
            <w:pPr>
              <w:jc w:val="right"/>
              <w:ind w:right="28"/>
              <w:spacing w:after="0"/>
              <w:rPr>
                <w:sz w:val="20"/>
                <w:szCs w:val="20"/>
                <w:color w:val="auto"/>
              </w:rPr>
            </w:pPr>
            <w:r>
              <w:rPr>
                <w:rFonts w:ascii="Arial" w:cs="Arial" w:eastAsia="Arial" w:hAnsi="Arial"/>
                <w:sz w:val="14"/>
                <w:szCs w:val="14"/>
                <w:color w:val="auto"/>
              </w:rPr>
              <w:t>27,021</w:t>
            </w:r>
          </w:p>
        </w:tc>
        <w:tc>
          <w:tcPr>
            <w:tcW w:w="0" w:type="dxa"/>
            <w:vAlign w:val="bottom"/>
          </w:tcPr>
          <w:p>
            <w:pPr>
              <w:spacing w:after="0"/>
              <w:rPr>
                <w:sz w:val="1"/>
                <w:szCs w:val="1"/>
                <w:color w:val="auto"/>
              </w:rPr>
            </w:pPr>
          </w:p>
        </w:tc>
      </w:tr>
      <w:tr>
        <w:trPr>
          <w:trHeight w:val="73"/>
        </w:trPr>
        <w:tc>
          <w:tcPr>
            <w:tcW w:w="8440" w:type="dxa"/>
            <w:vAlign w:val="bottom"/>
          </w:tcPr>
          <w:p>
            <w:pPr>
              <w:spacing w:after="0"/>
              <w:rPr>
                <w:sz w:val="6"/>
                <w:szCs w:val="6"/>
                <w:color w:val="auto"/>
              </w:rPr>
            </w:pPr>
          </w:p>
        </w:tc>
        <w:tc>
          <w:tcPr>
            <w:tcW w:w="220" w:type="dxa"/>
            <w:vAlign w:val="bottom"/>
          </w:tcPr>
          <w:p>
            <w:pPr>
              <w:spacing w:after="0"/>
              <w:rPr>
                <w:sz w:val="6"/>
                <w:szCs w:val="6"/>
                <w:color w:val="auto"/>
              </w:rPr>
            </w:pPr>
          </w:p>
        </w:tc>
        <w:tc>
          <w:tcPr>
            <w:tcW w:w="114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11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8440" w:type="dxa"/>
            <w:vAlign w:val="bottom"/>
            <w:shd w:val="clear" w:color="auto" w:fill="CCEEFF"/>
          </w:tcPr>
          <w:p>
            <w:pPr>
              <w:ind w:left="380"/>
              <w:spacing w:after="0"/>
              <w:rPr>
                <w:sz w:val="20"/>
                <w:szCs w:val="20"/>
                <w:color w:val="auto"/>
              </w:rPr>
            </w:pPr>
            <w:r>
              <w:rPr>
                <w:rFonts w:ascii="Arial" w:cs="Arial" w:eastAsia="Arial" w:hAnsi="Arial"/>
                <w:sz w:val="14"/>
                <w:szCs w:val="14"/>
                <w:color w:val="auto"/>
              </w:rPr>
              <w:t>Less accumulated depletion, depreciation and amortization</w:t>
            </w:r>
          </w:p>
        </w:tc>
        <w:tc>
          <w:tcPr>
            <w:tcW w:w="220" w:type="dxa"/>
            <w:vAlign w:val="bottom"/>
            <w:shd w:val="clear" w:color="auto" w:fill="CCEEFF"/>
          </w:tcPr>
          <w:p>
            <w:pPr>
              <w:spacing w:after="0"/>
              <w:rPr>
                <w:sz w:val="17"/>
                <w:szCs w:val="17"/>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(2,746,314)</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(2,655,586)</w:t>
            </w:r>
          </w:p>
        </w:tc>
        <w:tc>
          <w:tcPr>
            <w:tcW w:w="0" w:type="dxa"/>
            <w:vAlign w:val="bottom"/>
          </w:tcPr>
          <w:p>
            <w:pPr>
              <w:spacing w:after="0"/>
              <w:rPr>
                <w:sz w:val="1"/>
                <w:szCs w:val="1"/>
                <w:color w:val="auto"/>
              </w:rPr>
            </w:pPr>
          </w:p>
        </w:tc>
      </w:tr>
      <w:tr>
        <w:trPr>
          <w:trHeight w:val="79"/>
        </w:trPr>
        <w:tc>
          <w:tcPr>
            <w:tcW w:w="8440" w:type="dxa"/>
            <w:vAlign w:val="bottom"/>
            <w:shd w:val="clear" w:color="auto" w:fill="CCEEFF"/>
          </w:tcPr>
          <w:p>
            <w:pPr>
              <w:spacing w:after="0"/>
              <w:rPr>
                <w:sz w:val="6"/>
                <w:szCs w:val="6"/>
                <w:color w:val="auto"/>
              </w:rPr>
            </w:pPr>
          </w:p>
        </w:tc>
        <w:tc>
          <w:tcPr>
            <w:tcW w:w="220" w:type="dxa"/>
            <w:vAlign w:val="bottom"/>
            <w:tcBorders>
              <w:bottom w:val="single" w:sz="8" w:color="auto"/>
            </w:tcBorders>
            <w:shd w:val="clear" w:color="auto" w:fill="CCEEFF"/>
          </w:tcPr>
          <w:p>
            <w:pPr>
              <w:spacing w:after="0"/>
              <w:rPr>
                <w:sz w:val="6"/>
                <w:szCs w:val="6"/>
                <w:color w:val="auto"/>
              </w:rPr>
            </w:pPr>
          </w:p>
        </w:tc>
        <w:tc>
          <w:tcPr>
            <w:tcW w:w="114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60" w:type="dxa"/>
            <w:vAlign w:val="bottom"/>
            <w:tcBorders>
              <w:bottom w:val="single" w:sz="8" w:color="auto"/>
            </w:tcBorders>
            <w:shd w:val="clear" w:color="auto" w:fill="CCEEFF"/>
          </w:tcPr>
          <w:p>
            <w:pPr>
              <w:spacing w:after="0"/>
              <w:rPr>
                <w:sz w:val="6"/>
                <w:szCs w:val="6"/>
                <w:color w:val="auto"/>
              </w:rPr>
            </w:pPr>
          </w:p>
        </w:tc>
        <w:tc>
          <w:tcPr>
            <w:tcW w:w="118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1"/>
        </w:trPr>
        <w:tc>
          <w:tcPr>
            <w:tcW w:w="8440" w:type="dxa"/>
            <w:vAlign w:val="bottom"/>
          </w:tcPr>
          <w:p>
            <w:pPr>
              <w:ind w:left="1140"/>
              <w:spacing w:after="0"/>
              <w:rPr>
                <w:sz w:val="20"/>
                <w:szCs w:val="20"/>
                <w:color w:val="auto"/>
              </w:rPr>
            </w:pPr>
            <w:r>
              <w:rPr>
                <w:rFonts w:ascii="Arial" w:cs="Arial" w:eastAsia="Arial" w:hAnsi="Arial"/>
                <w:sz w:val="14"/>
                <w:szCs w:val="14"/>
                <w:color w:val="auto"/>
              </w:rPr>
              <w:t>Net property and equipment</w:t>
            </w:r>
          </w:p>
        </w:tc>
        <w:tc>
          <w:tcPr>
            <w:tcW w:w="220" w:type="dxa"/>
            <w:vAlign w:val="bottom"/>
          </w:tcPr>
          <w:p>
            <w:pPr>
              <w:spacing w:after="0"/>
              <w:rPr>
                <w:sz w:val="14"/>
                <w:szCs w:val="14"/>
                <w:color w:val="auto"/>
              </w:rPr>
            </w:pPr>
          </w:p>
        </w:tc>
        <w:tc>
          <w:tcPr>
            <w:tcW w:w="1140" w:type="dxa"/>
            <w:vAlign w:val="bottom"/>
            <w:vMerge w:val="restart"/>
          </w:tcPr>
          <w:p>
            <w:pPr>
              <w:jc w:val="right"/>
              <w:ind w:right="48"/>
              <w:spacing w:after="0"/>
              <w:rPr>
                <w:sz w:val="20"/>
                <w:szCs w:val="20"/>
                <w:color w:val="auto"/>
              </w:rPr>
            </w:pPr>
            <w:r>
              <w:rPr>
                <w:rFonts w:ascii="Arial" w:cs="Arial" w:eastAsia="Arial" w:hAnsi="Arial"/>
                <w:sz w:val="14"/>
                <w:szCs w:val="14"/>
                <w:color w:val="auto"/>
              </w:rPr>
              <w:t>3,887,233</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vMerge w:val="restart"/>
          </w:tcPr>
          <w:p>
            <w:pPr>
              <w:jc w:val="right"/>
              <w:ind w:right="28"/>
              <w:spacing w:after="0"/>
              <w:rPr>
                <w:sz w:val="20"/>
                <w:szCs w:val="20"/>
                <w:color w:val="auto"/>
              </w:rPr>
            </w:pPr>
            <w:r>
              <w:rPr>
                <w:rFonts w:ascii="Arial" w:cs="Arial" w:eastAsia="Arial" w:hAnsi="Arial"/>
                <w:sz w:val="14"/>
                <w:szCs w:val="14"/>
                <w:color w:val="auto"/>
              </w:rPr>
              <w:t>3,699,595</w:t>
            </w:r>
          </w:p>
        </w:tc>
        <w:tc>
          <w:tcPr>
            <w:tcW w:w="0" w:type="dxa"/>
            <w:vAlign w:val="bottom"/>
          </w:tcPr>
          <w:p>
            <w:pPr>
              <w:spacing w:after="0"/>
              <w:rPr>
                <w:sz w:val="1"/>
                <w:szCs w:val="1"/>
                <w:color w:val="auto"/>
              </w:rPr>
            </w:pPr>
          </w:p>
        </w:tc>
      </w:tr>
      <w:tr>
        <w:trPr>
          <w:trHeight w:val="73"/>
        </w:trPr>
        <w:tc>
          <w:tcPr>
            <w:tcW w:w="8440" w:type="dxa"/>
            <w:vAlign w:val="bottom"/>
          </w:tcPr>
          <w:p>
            <w:pPr>
              <w:spacing w:after="0"/>
              <w:rPr>
                <w:sz w:val="6"/>
                <w:szCs w:val="6"/>
                <w:color w:val="auto"/>
              </w:rPr>
            </w:pPr>
          </w:p>
        </w:tc>
        <w:tc>
          <w:tcPr>
            <w:tcW w:w="220" w:type="dxa"/>
            <w:vAlign w:val="bottom"/>
          </w:tcPr>
          <w:p>
            <w:pPr>
              <w:spacing w:after="0"/>
              <w:rPr>
                <w:sz w:val="6"/>
                <w:szCs w:val="6"/>
                <w:color w:val="auto"/>
              </w:rPr>
            </w:pPr>
          </w:p>
        </w:tc>
        <w:tc>
          <w:tcPr>
            <w:tcW w:w="114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11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8440" w:type="dxa"/>
            <w:vAlign w:val="bottom"/>
            <w:shd w:val="clear" w:color="auto" w:fill="CCEEFF"/>
          </w:tcPr>
          <w:p>
            <w:pPr>
              <w:ind w:left="40"/>
              <w:spacing w:after="0"/>
              <w:rPr>
                <w:sz w:val="20"/>
                <w:szCs w:val="20"/>
                <w:color w:val="auto"/>
              </w:rPr>
            </w:pPr>
            <w:r>
              <w:rPr>
                <w:rFonts w:ascii="Arial" w:cs="Arial" w:eastAsia="Arial" w:hAnsi="Arial"/>
                <w:sz w:val="14"/>
                <w:szCs w:val="14"/>
                <w:color w:val="auto"/>
              </w:rPr>
              <w:t>Other assets</w:t>
            </w: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79"/>
        </w:trPr>
        <w:tc>
          <w:tcPr>
            <w:tcW w:w="844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11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18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8440" w:type="dxa"/>
            <w:vAlign w:val="bottom"/>
          </w:tcPr>
          <w:p>
            <w:pPr>
              <w:ind w:left="380"/>
              <w:spacing w:after="0"/>
              <w:rPr>
                <w:sz w:val="20"/>
                <w:szCs w:val="20"/>
                <w:color w:val="auto"/>
              </w:rPr>
            </w:pPr>
            <w:r>
              <w:rPr>
                <w:rFonts w:ascii="Arial" w:cs="Arial" w:eastAsia="Arial" w:hAnsi="Arial"/>
                <w:sz w:val="14"/>
                <w:szCs w:val="14"/>
                <w:color w:val="auto"/>
              </w:rPr>
              <w:t>Derivative instruments</w:t>
            </w:r>
          </w:p>
        </w:tc>
        <w:tc>
          <w:tcPr>
            <w:tcW w:w="220" w:type="dxa"/>
            <w:vAlign w:val="bottom"/>
          </w:tcPr>
          <w:p>
            <w:pPr>
              <w:spacing w:after="0"/>
              <w:rPr>
                <w:sz w:val="16"/>
                <w:szCs w:val="16"/>
                <w:color w:val="auto"/>
              </w:rPr>
            </w:pPr>
          </w:p>
        </w:tc>
        <w:tc>
          <w:tcPr>
            <w:tcW w:w="1140" w:type="dxa"/>
            <w:vAlign w:val="bottom"/>
            <w:vMerge w:val="restart"/>
          </w:tcPr>
          <w:p>
            <w:pPr>
              <w:jc w:val="right"/>
              <w:ind w:right="48"/>
              <w:spacing w:after="0"/>
              <w:rPr>
                <w:sz w:val="20"/>
                <w:szCs w:val="20"/>
                <w:color w:val="auto"/>
              </w:rPr>
            </w:pPr>
            <w:r>
              <w:rPr>
                <w:rFonts w:ascii="Arial" w:cs="Arial" w:eastAsia="Arial" w:hAnsi="Arial"/>
                <w:sz w:val="14"/>
                <w:szCs w:val="14"/>
                <w:color w:val="auto"/>
              </w:rPr>
              <w:t>11,371</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73"/>
        </w:trPr>
        <w:tc>
          <w:tcPr>
            <w:tcW w:w="8440" w:type="dxa"/>
            <w:vAlign w:val="bottom"/>
          </w:tcPr>
          <w:p>
            <w:pPr>
              <w:spacing w:after="0"/>
              <w:rPr>
                <w:sz w:val="6"/>
                <w:szCs w:val="6"/>
                <w:color w:val="auto"/>
              </w:rPr>
            </w:pPr>
          </w:p>
        </w:tc>
        <w:tc>
          <w:tcPr>
            <w:tcW w:w="220" w:type="dxa"/>
            <w:vAlign w:val="bottom"/>
          </w:tcPr>
          <w:p>
            <w:pPr>
              <w:spacing w:after="0"/>
              <w:rPr>
                <w:sz w:val="6"/>
                <w:szCs w:val="6"/>
                <w:color w:val="auto"/>
              </w:rPr>
            </w:pPr>
          </w:p>
        </w:tc>
        <w:tc>
          <w:tcPr>
            <w:tcW w:w="114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11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8440" w:type="dxa"/>
            <w:vAlign w:val="bottom"/>
            <w:shd w:val="clear" w:color="auto" w:fill="CCEEFF"/>
          </w:tcPr>
          <w:p>
            <w:pPr>
              <w:ind w:left="380"/>
              <w:spacing w:after="0"/>
              <w:rPr>
                <w:sz w:val="20"/>
                <w:szCs w:val="20"/>
                <w:color w:val="auto"/>
              </w:rPr>
            </w:pPr>
            <w:r>
              <w:rPr>
                <w:rFonts w:ascii="Arial" w:cs="Arial" w:eastAsia="Arial" w:hAnsi="Arial"/>
                <w:sz w:val="14"/>
                <w:szCs w:val="14"/>
                <w:color w:val="auto"/>
              </w:rPr>
              <w:t>Other long-term assets</w:t>
            </w:r>
          </w:p>
        </w:tc>
        <w:tc>
          <w:tcPr>
            <w:tcW w:w="220" w:type="dxa"/>
            <w:vAlign w:val="bottom"/>
            <w:shd w:val="clear" w:color="auto" w:fill="CCEEFF"/>
          </w:tcPr>
          <w:p>
            <w:pPr>
              <w:spacing w:after="0"/>
              <w:rPr>
                <w:sz w:val="17"/>
                <w:szCs w:val="17"/>
                <w:color w:val="auto"/>
              </w:rPr>
            </w:pPr>
          </w:p>
        </w:tc>
        <w:tc>
          <w:tcPr>
            <w:tcW w:w="114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78,432</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91,589</w:t>
            </w:r>
          </w:p>
        </w:tc>
        <w:tc>
          <w:tcPr>
            <w:tcW w:w="0" w:type="dxa"/>
            <w:vAlign w:val="bottom"/>
          </w:tcPr>
          <w:p>
            <w:pPr>
              <w:spacing w:after="0"/>
              <w:rPr>
                <w:sz w:val="1"/>
                <w:szCs w:val="1"/>
                <w:color w:val="auto"/>
              </w:rPr>
            </w:pPr>
          </w:p>
        </w:tc>
      </w:tr>
      <w:tr>
        <w:trPr>
          <w:trHeight w:val="79"/>
        </w:trPr>
        <w:tc>
          <w:tcPr>
            <w:tcW w:w="8440" w:type="dxa"/>
            <w:vAlign w:val="bottom"/>
            <w:shd w:val="clear" w:color="auto" w:fill="CCEEFF"/>
          </w:tcPr>
          <w:p>
            <w:pPr>
              <w:spacing w:after="0"/>
              <w:rPr>
                <w:sz w:val="6"/>
                <w:szCs w:val="6"/>
                <w:color w:val="auto"/>
              </w:rPr>
            </w:pPr>
          </w:p>
        </w:tc>
        <w:tc>
          <w:tcPr>
            <w:tcW w:w="220" w:type="dxa"/>
            <w:vAlign w:val="bottom"/>
            <w:tcBorders>
              <w:bottom w:val="single" w:sz="8" w:color="auto"/>
            </w:tcBorders>
            <w:shd w:val="clear" w:color="auto" w:fill="CCEEFF"/>
          </w:tcPr>
          <w:p>
            <w:pPr>
              <w:spacing w:after="0"/>
              <w:rPr>
                <w:sz w:val="6"/>
                <w:szCs w:val="6"/>
                <w:color w:val="auto"/>
              </w:rPr>
            </w:pPr>
          </w:p>
        </w:tc>
        <w:tc>
          <w:tcPr>
            <w:tcW w:w="114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60" w:type="dxa"/>
            <w:vAlign w:val="bottom"/>
            <w:tcBorders>
              <w:bottom w:val="single" w:sz="8" w:color="auto"/>
            </w:tcBorders>
            <w:shd w:val="clear" w:color="auto" w:fill="CCEEFF"/>
          </w:tcPr>
          <w:p>
            <w:pPr>
              <w:spacing w:after="0"/>
              <w:rPr>
                <w:sz w:val="6"/>
                <w:szCs w:val="6"/>
                <w:color w:val="auto"/>
              </w:rPr>
            </w:pPr>
          </w:p>
        </w:tc>
        <w:tc>
          <w:tcPr>
            <w:tcW w:w="118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1"/>
        </w:trPr>
        <w:tc>
          <w:tcPr>
            <w:tcW w:w="8440" w:type="dxa"/>
            <w:vAlign w:val="bottom"/>
          </w:tcPr>
          <w:p>
            <w:pPr>
              <w:ind w:left="1140"/>
              <w:spacing w:after="0"/>
              <w:rPr>
                <w:sz w:val="20"/>
                <w:szCs w:val="20"/>
                <w:color w:val="auto"/>
              </w:rPr>
            </w:pPr>
            <w:r>
              <w:rPr>
                <w:rFonts w:ascii="Arial" w:cs="Arial" w:eastAsia="Arial" w:hAnsi="Arial"/>
                <w:sz w:val="14"/>
                <w:szCs w:val="14"/>
                <w:color w:val="auto"/>
              </w:rPr>
              <w:t>Total other assets</w:t>
            </w:r>
          </w:p>
        </w:tc>
        <w:tc>
          <w:tcPr>
            <w:tcW w:w="220" w:type="dxa"/>
            <w:vAlign w:val="bottom"/>
          </w:tcPr>
          <w:p>
            <w:pPr>
              <w:spacing w:after="0"/>
              <w:rPr>
                <w:sz w:val="14"/>
                <w:szCs w:val="14"/>
                <w:color w:val="auto"/>
              </w:rPr>
            </w:pPr>
          </w:p>
        </w:tc>
        <w:tc>
          <w:tcPr>
            <w:tcW w:w="1140" w:type="dxa"/>
            <w:vAlign w:val="bottom"/>
            <w:vMerge w:val="restart"/>
          </w:tcPr>
          <w:p>
            <w:pPr>
              <w:jc w:val="right"/>
              <w:ind w:right="48"/>
              <w:spacing w:after="0"/>
              <w:rPr>
                <w:sz w:val="20"/>
                <w:szCs w:val="20"/>
                <w:color w:val="auto"/>
              </w:rPr>
            </w:pPr>
            <w:r>
              <w:rPr>
                <w:rFonts w:ascii="Arial" w:cs="Arial" w:eastAsia="Arial" w:hAnsi="Arial"/>
                <w:sz w:val="14"/>
                <w:szCs w:val="14"/>
                <w:color w:val="auto"/>
              </w:rPr>
              <w:t>89,803</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vMerge w:val="restart"/>
          </w:tcPr>
          <w:p>
            <w:pPr>
              <w:jc w:val="right"/>
              <w:ind w:right="28"/>
              <w:spacing w:after="0"/>
              <w:rPr>
                <w:sz w:val="20"/>
                <w:szCs w:val="20"/>
                <w:color w:val="auto"/>
              </w:rPr>
            </w:pPr>
            <w:r>
              <w:rPr>
                <w:rFonts w:ascii="Arial" w:cs="Arial" w:eastAsia="Arial" w:hAnsi="Arial"/>
                <w:sz w:val="14"/>
                <w:szCs w:val="14"/>
                <w:color w:val="auto"/>
              </w:rPr>
              <w:t>91,589</w:t>
            </w:r>
          </w:p>
        </w:tc>
        <w:tc>
          <w:tcPr>
            <w:tcW w:w="0" w:type="dxa"/>
            <w:vAlign w:val="bottom"/>
          </w:tcPr>
          <w:p>
            <w:pPr>
              <w:spacing w:after="0"/>
              <w:rPr>
                <w:sz w:val="1"/>
                <w:szCs w:val="1"/>
                <w:color w:val="auto"/>
              </w:rPr>
            </w:pPr>
          </w:p>
        </w:tc>
      </w:tr>
      <w:tr>
        <w:trPr>
          <w:trHeight w:val="73"/>
        </w:trPr>
        <w:tc>
          <w:tcPr>
            <w:tcW w:w="8440" w:type="dxa"/>
            <w:vAlign w:val="bottom"/>
            <w:tcBorders>
              <w:bottom w:val="single" w:sz="8" w:color="CCEEFF"/>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114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118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8440" w:type="dxa"/>
            <w:vAlign w:val="bottom"/>
            <w:shd w:val="clear" w:color="auto" w:fill="CCEEFF"/>
          </w:tcPr>
          <w:p>
            <w:pPr>
              <w:ind w:left="1140"/>
              <w:spacing w:after="0"/>
              <w:rPr>
                <w:sz w:val="20"/>
                <w:szCs w:val="20"/>
                <w:color w:val="auto"/>
              </w:rPr>
            </w:pPr>
            <w:r>
              <w:rPr>
                <w:rFonts w:ascii="Arial" w:cs="Arial" w:eastAsia="Arial" w:hAnsi="Arial"/>
                <w:sz w:val="14"/>
                <w:szCs w:val="14"/>
                <w:color w:val="auto"/>
              </w:rPr>
              <w:t>Total assets</w:t>
            </w:r>
          </w:p>
        </w:tc>
        <w:tc>
          <w:tcPr>
            <w:tcW w:w="2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14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4,333,671</w:t>
            </w:r>
          </w:p>
        </w:tc>
        <w:tc>
          <w:tcPr>
            <w:tcW w:w="100" w:type="dxa"/>
            <w:vAlign w:val="bottom"/>
            <w:shd w:val="clear" w:color="auto" w:fill="CCEEFF"/>
          </w:tcPr>
          <w:p>
            <w:pPr>
              <w:spacing w:after="0"/>
              <w:rPr>
                <w:sz w:val="15"/>
                <w:szCs w:val="15"/>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4,069,676</w:t>
            </w:r>
          </w:p>
        </w:tc>
        <w:tc>
          <w:tcPr>
            <w:tcW w:w="0" w:type="dxa"/>
            <w:vAlign w:val="bottom"/>
          </w:tcPr>
          <w:p>
            <w:pPr>
              <w:spacing w:after="0"/>
              <w:rPr>
                <w:sz w:val="1"/>
                <w:szCs w:val="1"/>
                <w:color w:val="auto"/>
              </w:rPr>
            </w:pPr>
          </w:p>
        </w:tc>
      </w:tr>
      <w:tr>
        <w:trPr>
          <w:trHeight w:val="60"/>
        </w:trPr>
        <w:tc>
          <w:tcPr>
            <w:tcW w:w="8440" w:type="dxa"/>
            <w:vAlign w:val="bottom"/>
            <w:tcBorders>
              <w:bottom w:val="single" w:sz="8" w:color="CCEEFF"/>
            </w:tcBorders>
            <w:shd w:val="clear" w:color="auto" w:fill="CCEEFF"/>
          </w:tcPr>
          <w:p>
            <w:pPr>
              <w:spacing w:after="0"/>
              <w:rPr>
                <w:sz w:val="5"/>
                <w:szCs w:val="5"/>
                <w:color w:val="auto"/>
              </w:rPr>
            </w:pPr>
          </w:p>
        </w:tc>
        <w:tc>
          <w:tcPr>
            <w:tcW w:w="220" w:type="dxa"/>
            <w:vAlign w:val="bottom"/>
            <w:tcBorders>
              <w:bottom w:val="single" w:sz="8" w:color="auto"/>
            </w:tcBorders>
            <w:vMerge w:val="continue"/>
            <w:shd w:val="clear" w:color="auto" w:fill="CCEEFF"/>
          </w:tcPr>
          <w:p>
            <w:pPr>
              <w:spacing w:after="0"/>
              <w:rPr>
                <w:sz w:val="5"/>
                <w:szCs w:val="5"/>
                <w:color w:val="auto"/>
              </w:rPr>
            </w:pPr>
          </w:p>
        </w:tc>
        <w:tc>
          <w:tcPr>
            <w:tcW w:w="1140" w:type="dxa"/>
            <w:vAlign w:val="bottom"/>
            <w:tcBorders>
              <w:bottom w:val="single" w:sz="8" w:color="auto"/>
            </w:tcBorders>
            <w:vMerge w:val="continue"/>
            <w:shd w:val="clear" w:color="auto" w:fill="CCEEFF"/>
          </w:tcPr>
          <w:p>
            <w:pPr>
              <w:spacing w:after="0"/>
              <w:rPr>
                <w:sz w:val="5"/>
                <w:szCs w:val="5"/>
                <w:color w:val="auto"/>
              </w:rPr>
            </w:pPr>
          </w:p>
        </w:tc>
        <w:tc>
          <w:tcPr>
            <w:tcW w:w="100" w:type="dxa"/>
            <w:vAlign w:val="bottom"/>
            <w:tcBorders>
              <w:bottom w:val="single" w:sz="8" w:color="CCEEFF"/>
            </w:tcBorders>
            <w:shd w:val="clear" w:color="auto" w:fill="CCEEFF"/>
          </w:tcPr>
          <w:p>
            <w:pPr>
              <w:spacing w:after="0"/>
              <w:rPr>
                <w:sz w:val="5"/>
                <w:szCs w:val="5"/>
                <w:color w:val="auto"/>
              </w:rPr>
            </w:pPr>
          </w:p>
        </w:tc>
        <w:tc>
          <w:tcPr>
            <w:tcW w:w="160" w:type="dxa"/>
            <w:vAlign w:val="bottom"/>
            <w:tcBorders>
              <w:bottom w:val="single" w:sz="8" w:color="auto"/>
            </w:tcBorders>
            <w:vMerge w:val="continue"/>
            <w:shd w:val="clear" w:color="auto" w:fill="CCEEFF"/>
          </w:tcPr>
          <w:p>
            <w:pPr>
              <w:spacing w:after="0"/>
              <w:rPr>
                <w:sz w:val="5"/>
                <w:szCs w:val="5"/>
                <w:color w:val="auto"/>
              </w:rPr>
            </w:pPr>
          </w:p>
        </w:tc>
        <w:tc>
          <w:tcPr>
            <w:tcW w:w="1180" w:type="dxa"/>
            <w:vAlign w:val="bottom"/>
            <w:tcBorders>
              <w:bottom w:val="single" w:sz="8" w:color="auto"/>
            </w:tcBorders>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8440" w:type="dxa"/>
            <w:vAlign w:val="bottom"/>
            <w:vMerge w:val="restart"/>
          </w:tcPr>
          <w:p>
            <w:pPr>
              <w:ind w:left="40"/>
              <w:spacing w:after="0"/>
              <w:rPr>
                <w:sz w:val="20"/>
                <w:szCs w:val="20"/>
                <w:color w:val="auto"/>
              </w:rPr>
            </w:pPr>
            <w:r>
              <w:rPr>
                <w:rFonts w:ascii="Arial" w:cs="Arial" w:eastAsia="Arial" w:hAnsi="Arial"/>
                <w:sz w:val="14"/>
                <w:szCs w:val="14"/>
                <w:color w:val="auto"/>
              </w:rPr>
              <w:t>LIABILITIES AND SHAREHOLDERS’ EQUITY</w:t>
            </w: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8440" w:type="dxa"/>
            <w:vAlign w:val="bottom"/>
            <w:vMerge w:val="continue"/>
          </w:tcPr>
          <w:p>
            <w:pPr>
              <w:spacing w:after="0"/>
              <w:rPr>
                <w:sz w:val="13"/>
                <w:szCs w:val="13"/>
                <w:color w:val="auto"/>
              </w:rPr>
            </w:pPr>
          </w:p>
        </w:tc>
        <w:tc>
          <w:tcPr>
            <w:tcW w:w="2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6"/>
        </w:trPr>
        <w:tc>
          <w:tcPr>
            <w:tcW w:w="84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90"/>
        </w:trPr>
        <w:tc>
          <w:tcPr>
            <w:tcW w:w="8440" w:type="dxa"/>
            <w:vAlign w:val="bottom"/>
            <w:shd w:val="clear" w:color="auto" w:fill="CCEEFF"/>
          </w:tcPr>
          <w:p>
            <w:pPr>
              <w:ind w:left="40"/>
              <w:spacing w:after="0"/>
              <w:rPr>
                <w:sz w:val="20"/>
                <w:szCs w:val="20"/>
                <w:color w:val="auto"/>
              </w:rPr>
            </w:pPr>
            <w:r>
              <w:rPr>
                <w:rFonts w:ascii="Arial" w:cs="Arial" w:eastAsia="Arial" w:hAnsi="Arial"/>
                <w:sz w:val="14"/>
                <w:szCs w:val="14"/>
                <w:color w:val="auto"/>
              </w:rPr>
              <w:t>Current liabilities</w:t>
            </w:r>
          </w:p>
        </w:tc>
        <w:tc>
          <w:tcPr>
            <w:tcW w:w="22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844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11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18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0"/>
        </w:trPr>
        <w:tc>
          <w:tcPr>
            <w:tcW w:w="8440" w:type="dxa"/>
            <w:vAlign w:val="bottom"/>
          </w:tcPr>
          <w:p>
            <w:pPr>
              <w:ind w:left="380"/>
              <w:spacing w:after="0"/>
              <w:rPr>
                <w:sz w:val="20"/>
                <w:szCs w:val="20"/>
                <w:color w:val="auto"/>
              </w:rPr>
            </w:pPr>
            <w:r>
              <w:rPr>
                <w:rFonts w:ascii="Arial" w:cs="Arial" w:eastAsia="Arial" w:hAnsi="Arial"/>
                <w:sz w:val="14"/>
                <w:szCs w:val="14"/>
                <w:color w:val="auto"/>
              </w:rPr>
              <w:t>Accounts payable</w:t>
            </w:r>
          </w:p>
        </w:tc>
        <w:tc>
          <w:tcPr>
            <w:tcW w:w="220" w:type="dxa"/>
            <w:vAlign w:val="bottom"/>
            <w:vMerge w:val="restart"/>
          </w:tcPr>
          <w:p>
            <w:pPr>
              <w:jc w:val="right"/>
              <w:ind w:right="48"/>
              <w:spacing w:after="0"/>
              <w:rPr>
                <w:sz w:val="20"/>
                <w:szCs w:val="20"/>
                <w:color w:val="auto"/>
              </w:rPr>
            </w:pPr>
            <w:r>
              <w:rPr>
                <w:rFonts w:ascii="Arial" w:cs="Arial" w:eastAsia="Arial" w:hAnsi="Arial"/>
                <w:sz w:val="14"/>
                <w:szCs w:val="14"/>
                <w:color w:val="auto"/>
              </w:rPr>
              <w:t>$</w:t>
            </w:r>
          </w:p>
        </w:tc>
        <w:tc>
          <w:tcPr>
            <w:tcW w:w="1140" w:type="dxa"/>
            <w:vAlign w:val="bottom"/>
            <w:vMerge w:val="restart"/>
          </w:tcPr>
          <w:p>
            <w:pPr>
              <w:jc w:val="right"/>
              <w:ind w:right="48"/>
              <w:spacing w:after="0"/>
              <w:rPr>
                <w:sz w:val="20"/>
                <w:szCs w:val="20"/>
                <w:color w:val="auto"/>
              </w:rPr>
            </w:pPr>
            <w:r>
              <w:rPr>
                <w:rFonts w:ascii="Arial" w:cs="Arial" w:eastAsia="Arial" w:hAnsi="Arial"/>
                <w:sz w:val="14"/>
                <w:szCs w:val="14"/>
                <w:color w:val="auto"/>
              </w:rPr>
              <w:t>17,659</w:t>
            </w:r>
          </w:p>
        </w:tc>
        <w:tc>
          <w:tcPr>
            <w:tcW w:w="100" w:type="dxa"/>
            <w:vAlign w:val="bottom"/>
          </w:tcPr>
          <w:p>
            <w:pPr>
              <w:spacing w:after="0"/>
              <w:rPr>
                <w:sz w:val="16"/>
                <w:szCs w:val="16"/>
                <w:color w:val="auto"/>
              </w:rPr>
            </w:pPr>
          </w:p>
        </w:tc>
        <w:tc>
          <w:tcPr>
            <w:tcW w:w="1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180" w:type="dxa"/>
            <w:vAlign w:val="bottom"/>
            <w:vMerge w:val="restart"/>
          </w:tcPr>
          <w:p>
            <w:pPr>
              <w:jc w:val="right"/>
              <w:ind w:right="28"/>
              <w:spacing w:after="0"/>
              <w:rPr>
                <w:sz w:val="20"/>
                <w:szCs w:val="20"/>
                <w:color w:val="auto"/>
              </w:rPr>
            </w:pPr>
            <w:r>
              <w:rPr>
                <w:rFonts w:ascii="Arial" w:cs="Arial" w:eastAsia="Arial" w:hAnsi="Arial"/>
                <w:sz w:val="14"/>
                <w:szCs w:val="14"/>
                <w:color w:val="auto"/>
              </w:rPr>
              <w:t>25,230</w:t>
            </w:r>
          </w:p>
        </w:tc>
        <w:tc>
          <w:tcPr>
            <w:tcW w:w="0" w:type="dxa"/>
            <w:vAlign w:val="bottom"/>
          </w:tcPr>
          <w:p>
            <w:pPr>
              <w:spacing w:after="0"/>
              <w:rPr>
                <w:sz w:val="1"/>
                <w:szCs w:val="1"/>
                <w:color w:val="auto"/>
              </w:rPr>
            </w:pPr>
          </w:p>
        </w:tc>
      </w:tr>
      <w:tr>
        <w:trPr>
          <w:trHeight w:val="74"/>
        </w:trPr>
        <w:tc>
          <w:tcPr>
            <w:tcW w:w="8440" w:type="dxa"/>
            <w:vAlign w:val="bottom"/>
          </w:tcPr>
          <w:p>
            <w:pPr>
              <w:spacing w:after="0"/>
              <w:rPr>
                <w:sz w:val="6"/>
                <w:szCs w:val="6"/>
                <w:color w:val="auto"/>
              </w:rPr>
            </w:pPr>
          </w:p>
        </w:tc>
        <w:tc>
          <w:tcPr>
            <w:tcW w:w="220" w:type="dxa"/>
            <w:vAlign w:val="bottom"/>
            <w:vMerge w:val="continue"/>
          </w:tcPr>
          <w:p>
            <w:pPr>
              <w:spacing w:after="0"/>
              <w:rPr>
                <w:sz w:val="6"/>
                <w:szCs w:val="6"/>
                <w:color w:val="auto"/>
              </w:rPr>
            </w:pPr>
          </w:p>
        </w:tc>
        <w:tc>
          <w:tcPr>
            <w:tcW w:w="114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vMerge w:val="continue"/>
          </w:tcPr>
          <w:p>
            <w:pPr>
              <w:spacing w:after="0"/>
              <w:rPr>
                <w:sz w:val="6"/>
                <w:szCs w:val="6"/>
                <w:color w:val="auto"/>
              </w:rPr>
            </w:pPr>
          </w:p>
        </w:tc>
        <w:tc>
          <w:tcPr>
            <w:tcW w:w="11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6"/>
        </w:trPr>
        <w:tc>
          <w:tcPr>
            <w:tcW w:w="8440" w:type="dxa"/>
            <w:vAlign w:val="bottom"/>
            <w:shd w:val="clear" w:color="auto" w:fill="CCEEFF"/>
          </w:tcPr>
          <w:p>
            <w:pPr>
              <w:ind w:left="380"/>
              <w:spacing w:after="0"/>
              <w:rPr>
                <w:sz w:val="20"/>
                <w:szCs w:val="20"/>
                <w:color w:val="auto"/>
              </w:rPr>
            </w:pPr>
            <w:r>
              <w:rPr>
                <w:rFonts w:ascii="Arial" w:cs="Arial" w:eastAsia="Arial" w:hAnsi="Arial"/>
                <w:sz w:val="14"/>
                <w:szCs w:val="14"/>
                <w:color w:val="auto"/>
              </w:rPr>
              <w:t>Accrued liabilities</w:t>
            </w:r>
          </w:p>
        </w:tc>
        <w:tc>
          <w:tcPr>
            <w:tcW w:w="220" w:type="dxa"/>
            <w:vAlign w:val="bottom"/>
            <w:shd w:val="clear" w:color="auto" w:fill="CCEEFF"/>
          </w:tcPr>
          <w:p>
            <w:pPr>
              <w:spacing w:after="0"/>
              <w:rPr>
                <w:sz w:val="17"/>
                <w:szCs w:val="17"/>
                <w:color w:val="auto"/>
              </w:rPr>
            </w:pPr>
          </w:p>
        </w:tc>
        <w:tc>
          <w:tcPr>
            <w:tcW w:w="114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197,305</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200,695</w:t>
            </w:r>
          </w:p>
        </w:tc>
        <w:tc>
          <w:tcPr>
            <w:tcW w:w="0" w:type="dxa"/>
            <w:vAlign w:val="bottom"/>
          </w:tcPr>
          <w:p>
            <w:pPr>
              <w:spacing w:after="0"/>
              <w:rPr>
                <w:sz w:val="1"/>
                <w:szCs w:val="1"/>
                <w:color w:val="auto"/>
              </w:rPr>
            </w:pPr>
          </w:p>
        </w:tc>
      </w:tr>
      <w:tr>
        <w:trPr>
          <w:trHeight w:val="80"/>
        </w:trPr>
        <w:tc>
          <w:tcPr>
            <w:tcW w:w="844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114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1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0"/>
        </w:trPr>
        <w:tc>
          <w:tcPr>
            <w:tcW w:w="8440" w:type="dxa"/>
            <w:vAlign w:val="bottom"/>
          </w:tcPr>
          <w:p>
            <w:pPr>
              <w:ind w:left="380"/>
              <w:spacing w:after="0"/>
              <w:rPr>
                <w:sz w:val="20"/>
                <w:szCs w:val="20"/>
                <w:color w:val="auto"/>
              </w:rPr>
            </w:pPr>
            <w:r>
              <w:rPr>
                <w:rFonts w:ascii="Arial" w:cs="Arial" w:eastAsia="Arial" w:hAnsi="Arial"/>
                <w:sz w:val="14"/>
                <w:szCs w:val="14"/>
                <w:color w:val="auto"/>
              </w:rPr>
              <w:t>Royalties payable</w:t>
            </w:r>
          </w:p>
        </w:tc>
        <w:tc>
          <w:tcPr>
            <w:tcW w:w="220" w:type="dxa"/>
            <w:vAlign w:val="bottom"/>
          </w:tcPr>
          <w:p>
            <w:pPr>
              <w:spacing w:after="0"/>
              <w:rPr>
                <w:sz w:val="16"/>
                <w:szCs w:val="16"/>
                <w:color w:val="auto"/>
              </w:rPr>
            </w:pPr>
          </w:p>
        </w:tc>
        <w:tc>
          <w:tcPr>
            <w:tcW w:w="1140" w:type="dxa"/>
            <w:vAlign w:val="bottom"/>
            <w:vMerge w:val="restart"/>
          </w:tcPr>
          <w:p>
            <w:pPr>
              <w:jc w:val="right"/>
              <w:ind w:right="48"/>
              <w:spacing w:after="0"/>
              <w:rPr>
                <w:sz w:val="20"/>
                <w:szCs w:val="20"/>
                <w:color w:val="auto"/>
              </w:rPr>
            </w:pPr>
            <w:r>
              <w:rPr>
                <w:rFonts w:ascii="Arial" w:cs="Arial" w:eastAsia="Arial" w:hAnsi="Arial"/>
                <w:sz w:val="14"/>
                <w:szCs w:val="14"/>
                <w:color w:val="auto"/>
              </w:rPr>
              <w:t>85,577</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vMerge w:val="restart"/>
          </w:tcPr>
          <w:p>
            <w:pPr>
              <w:jc w:val="right"/>
              <w:ind w:right="28"/>
              <w:spacing w:after="0"/>
              <w:rPr>
                <w:sz w:val="20"/>
                <w:szCs w:val="20"/>
                <w:color w:val="auto"/>
              </w:rPr>
            </w:pPr>
            <w:r>
              <w:rPr>
                <w:rFonts w:ascii="Arial" w:cs="Arial" w:eastAsia="Arial" w:hAnsi="Arial"/>
                <w:sz w:val="14"/>
                <w:szCs w:val="14"/>
                <w:color w:val="auto"/>
              </w:rPr>
              <w:t>85,193</w:t>
            </w:r>
          </w:p>
        </w:tc>
        <w:tc>
          <w:tcPr>
            <w:tcW w:w="0" w:type="dxa"/>
            <w:vAlign w:val="bottom"/>
          </w:tcPr>
          <w:p>
            <w:pPr>
              <w:spacing w:after="0"/>
              <w:rPr>
                <w:sz w:val="1"/>
                <w:szCs w:val="1"/>
                <w:color w:val="auto"/>
              </w:rPr>
            </w:pPr>
          </w:p>
        </w:tc>
      </w:tr>
      <w:tr>
        <w:trPr>
          <w:trHeight w:val="74"/>
        </w:trPr>
        <w:tc>
          <w:tcPr>
            <w:tcW w:w="8440" w:type="dxa"/>
            <w:vAlign w:val="bottom"/>
          </w:tcPr>
          <w:p>
            <w:pPr>
              <w:spacing w:after="0"/>
              <w:rPr>
                <w:sz w:val="6"/>
                <w:szCs w:val="6"/>
                <w:color w:val="auto"/>
              </w:rPr>
            </w:pPr>
          </w:p>
        </w:tc>
        <w:tc>
          <w:tcPr>
            <w:tcW w:w="220" w:type="dxa"/>
            <w:vAlign w:val="bottom"/>
          </w:tcPr>
          <w:p>
            <w:pPr>
              <w:spacing w:after="0"/>
              <w:rPr>
                <w:sz w:val="6"/>
                <w:szCs w:val="6"/>
                <w:color w:val="auto"/>
              </w:rPr>
            </w:pPr>
          </w:p>
        </w:tc>
        <w:tc>
          <w:tcPr>
            <w:tcW w:w="114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11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6"/>
        </w:trPr>
        <w:tc>
          <w:tcPr>
            <w:tcW w:w="8440" w:type="dxa"/>
            <w:vAlign w:val="bottom"/>
            <w:shd w:val="clear" w:color="auto" w:fill="CCEEFF"/>
          </w:tcPr>
          <w:p>
            <w:pPr>
              <w:ind w:left="380"/>
              <w:spacing w:after="0"/>
              <w:rPr>
                <w:sz w:val="20"/>
                <w:szCs w:val="20"/>
                <w:color w:val="auto"/>
              </w:rPr>
            </w:pPr>
            <w:r>
              <w:rPr>
                <w:rFonts w:ascii="Arial" w:cs="Arial" w:eastAsia="Arial" w:hAnsi="Arial"/>
                <w:sz w:val="14"/>
                <w:szCs w:val="14"/>
                <w:color w:val="auto"/>
              </w:rPr>
              <w:t>Amounts due to affiliates</w:t>
            </w:r>
          </w:p>
        </w:tc>
        <w:tc>
          <w:tcPr>
            <w:tcW w:w="220" w:type="dxa"/>
            <w:vAlign w:val="bottom"/>
            <w:shd w:val="clear" w:color="auto" w:fill="CCEEFF"/>
          </w:tcPr>
          <w:p>
            <w:pPr>
              <w:spacing w:after="0"/>
              <w:rPr>
                <w:sz w:val="17"/>
                <w:szCs w:val="17"/>
                <w:color w:val="auto"/>
              </w:rPr>
            </w:pPr>
          </w:p>
        </w:tc>
        <w:tc>
          <w:tcPr>
            <w:tcW w:w="114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234</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19,606</w:t>
            </w:r>
          </w:p>
        </w:tc>
        <w:tc>
          <w:tcPr>
            <w:tcW w:w="0" w:type="dxa"/>
            <w:vAlign w:val="bottom"/>
          </w:tcPr>
          <w:p>
            <w:pPr>
              <w:spacing w:after="0"/>
              <w:rPr>
                <w:sz w:val="1"/>
                <w:szCs w:val="1"/>
                <w:color w:val="auto"/>
              </w:rPr>
            </w:pPr>
          </w:p>
        </w:tc>
      </w:tr>
      <w:tr>
        <w:trPr>
          <w:trHeight w:val="80"/>
        </w:trPr>
        <w:tc>
          <w:tcPr>
            <w:tcW w:w="844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114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1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0"/>
        </w:trPr>
        <w:tc>
          <w:tcPr>
            <w:tcW w:w="8440" w:type="dxa"/>
            <w:vAlign w:val="bottom"/>
          </w:tcPr>
          <w:p>
            <w:pPr>
              <w:ind w:left="380"/>
              <w:spacing w:after="0"/>
              <w:rPr>
                <w:sz w:val="20"/>
                <w:szCs w:val="20"/>
                <w:color w:val="auto"/>
              </w:rPr>
            </w:pPr>
            <w:r>
              <w:rPr>
                <w:rFonts w:ascii="Arial" w:cs="Arial" w:eastAsia="Arial" w:hAnsi="Arial"/>
                <w:sz w:val="14"/>
                <w:szCs w:val="14"/>
                <w:color w:val="auto"/>
              </w:rPr>
              <w:t>Derivative instruments</w:t>
            </w:r>
          </w:p>
        </w:tc>
        <w:tc>
          <w:tcPr>
            <w:tcW w:w="220" w:type="dxa"/>
            <w:vAlign w:val="bottom"/>
          </w:tcPr>
          <w:p>
            <w:pPr>
              <w:spacing w:after="0"/>
              <w:rPr>
                <w:sz w:val="16"/>
                <w:szCs w:val="16"/>
                <w:color w:val="auto"/>
              </w:rPr>
            </w:pPr>
          </w:p>
        </w:tc>
        <w:tc>
          <w:tcPr>
            <w:tcW w:w="124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1180" w:type="dxa"/>
            <w:vAlign w:val="bottom"/>
            <w:vMerge w:val="restart"/>
          </w:tcPr>
          <w:p>
            <w:pPr>
              <w:jc w:val="right"/>
              <w:ind w:right="28"/>
              <w:spacing w:after="0"/>
              <w:rPr>
                <w:sz w:val="20"/>
                <w:szCs w:val="20"/>
                <w:color w:val="auto"/>
              </w:rPr>
            </w:pPr>
            <w:r>
              <w:rPr>
                <w:rFonts w:ascii="Arial" w:cs="Arial" w:eastAsia="Arial" w:hAnsi="Arial"/>
                <w:sz w:val="14"/>
                <w:szCs w:val="14"/>
                <w:color w:val="auto"/>
              </w:rPr>
              <w:t>1,897</w:t>
            </w:r>
          </w:p>
        </w:tc>
        <w:tc>
          <w:tcPr>
            <w:tcW w:w="0" w:type="dxa"/>
            <w:vAlign w:val="bottom"/>
          </w:tcPr>
          <w:p>
            <w:pPr>
              <w:spacing w:after="0"/>
              <w:rPr>
                <w:sz w:val="1"/>
                <w:szCs w:val="1"/>
                <w:color w:val="auto"/>
              </w:rPr>
            </w:pPr>
          </w:p>
        </w:tc>
      </w:tr>
      <w:tr>
        <w:trPr>
          <w:trHeight w:val="74"/>
        </w:trPr>
        <w:tc>
          <w:tcPr>
            <w:tcW w:w="8440" w:type="dxa"/>
            <w:vAlign w:val="bottom"/>
          </w:tcPr>
          <w:p>
            <w:pPr>
              <w:spacing w:after="0"/>
              <w:rPr>
                <w:sz w:val="6"/>
                <w:szCs w:val="6"/>
                <w:color w:val="auto"/>
              </w:rPr>
            </w:pPr>
          </w:p>
        </w:tc>
        <w:tc>
          <w:tcPr>
            <w:tcW w:w="220" w:type="dxa"/>
            <w:vAlign w:val="bottom"/>
          </w:tcPr>
          <w:p>
            <w:pPr>
              <w:spacing w:after="0"/>
              <w:rPr>
                <w:sz w:val="6"/>
                <w:szCs w:val="6"/>
                <w:color w:val="auto"/>
              </w:rPr>
            </w:pPr>
          </w:p>
        </w:tc>
        <w:tc>
          <w:tcPr>
            <w:tcW w:w="124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11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6"/>
        </w:trPr>
        <w:tc>
          <w:tcPr>
            <w:tcW w:w="8440" w:type="dxa"/>
            <w:vAlign w:val="bottom"/>
            <w:shd w:val="clear" w:color="auto" w:fill="CCEEFF"/>
          </w:tcPr>
          <w:p>
            <w:pPr>
              <w:ind w:left="380"/>
              <w:spacing w:after="0"/>
              <w:rPr>
                <w:sz w:val="20"/>
                <w:szCs w:val="20"/>
                <w:color w:val="auto"/>
              </w:rPr>
            </w:pPr>
            <w:r>
              <w:rPr>
                <w:rFonts w:ascii="Arial" w:cs="Arial" w:eastAsia="Arial" w:hAnsi="Arial"/>
                <w:sz w:val="14"/>
                <w:szCs w:val="14"/>
                <w:color w:val="auto"/>
              </w:rPr>
              <w:t>Advances from joint interest owners</w:t>
            </w:r>
          </w:p>
        </w:tc>
        <w:tc>
          <w:tcPr>
            <w:tcW w:w="220" w:type="dxa"/>
            <w:vAlign w:val="bottom"/>
            <w:shd w:val="clear" w:color="auto" w:fill="CCEEFF"/>
          </w:tcPr>
          <w:p>
            <w:pPr>
              <w:spacing w:after="0"/>
              <w:rPr>
                <w:sz w:val="17"/>
                <w:szCs w:val="17"/>
                <w:color w:val="auto"/>
              </w:rPr>
            </w:pPr>
          </w:p>
        </w:tc>
        <w:tc>
          <w:tcPr>
            <w:tcW w:w="114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11,240</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14,837</w:t>
            </w:r>
          </w:p>
        </w:tc>
        <w:tc>
          <w:tcPr>
            <w:tcW w:w="0" w:type="dxa"/>
            <w:vAlign w:val="bottom"/>
          </w:tcPr>
          <w:p>
            <w:pPr>
              <w:spacing w:after="0"/>
              <w:rPr>
                <w:sz w:val="1"/>
                <w:szCs w:val="1"/>
                <w:color w:val="auto"/>
              </w:rPr>
            </w:pPr>
          </w:p>
        </w:tc>
      </w:tr>
      <w:tr>
        <w:trPr>
          <w:trHeight w:val="80"/>
        </w:trPr>
        <w:tc>
          <w:tcPr>
            <w:tcW w:w="844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114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1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0"/>
        </w:trPr>
        <w:tc>
          <w:tcPr>
            <w:tcW w:w="8440" w:type="dxa"/>
            <w:vAlign w:val="bottom"/>
          </w:tcPr>
          <w:p>
            <w:pPr>
              <w:ind w:left="380"/>
              <w:spacing w:after="0"/>
              <w:rPr>
                <w:sz w:val="20"/>
                <w:szCs w:val="20"/>
                <w:color w:val="auto"/>
              </w:rPr>
            </w:pPr>
            <w:r>
              <w:rPr>
                <w:rFonts w:ascii="Arial" w:cs="Arial" w:eastAsia="Arial" w:hAnsi="Arial"/>
                <w:sz w:val="14"/>
                <w:szCs w:val="14"/>
                <w:color w:val="auto"/>
              </w:rPr>
              <w:t>Amounts due to joint ventures</w:t>
            </w:r>
          </w:p>
        </w:tc>
        <w:tc>
          <w:tcPr>
            <w:tcW w:w="220" w:type="dxa"/>
            <w:vAlign w:val="bottom"/>
          </w:tcPr>
          <w:p>
            <w:pPr>
              <w:spacing w:after="0"/>
              <w:rPr>
                <w:sz w:val="16"/>
                <w:szCs w:val="16"/>
                <w:color w:val="auto"/>
              </w:rPr>
            </w:pPr>
          </w:p>
        </w:tc>
        <w:tc>
          <w:tcPr>
            <w:tcW w:w="124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1180" w:type="dxa"/>
            <w:vAlign w:val="bottom"/>
            <w:vMerge w:val="restart"/>
          </w:tcPr>
          <w:p>
            <w:pPr>
              <w:jc w:val="right"/>
              <w:ind w:right="28"/>
              <w:spacing w:after="0"/>
              <w:rPr>
                <w:sz w:val="20"/>
                <w:szCs w:val="20"/>
                <w:color w:val="auto"/>
              </w:rPr>
            </w:pPr>
            <w:r>
              <w:rPr>
                <w:rFonts w:ascii="Arial" w:cs="Arial" w:eastAsia="Arial" w:hAnsi="Arial"/>
                <w:sz w:val="14"/>
                <w:szCs w:val="14"/>
                <w:color w:val="auto"/>
              </w:rPr>
              <w:t>486</w:t>
            </w:r>
          </w:p>
        </w:tc>
        <w:tc>
          <w:tcPr>
            <w:tcW w:w="0" w:type="dxa"/>
            <w:vAlign w:val="bottom"/>
          </w:tcPr>
          <w:p>
            <w:pPr>
              <w:spacing w:after="0"/>
              <w:rPr>
                <w:sz w:val="1"/>
                <w:szCs w:val="1"/>
                <w:color w:val="auto"/>
              </w:rPr>
            </w:pPr>
          </w:p>
        </w:tc>
      </w:tr>
      <w:tr>
        <w:trPr>
          <w:trHeight w:val="73"/>
        </w:trPr>
        <w:tc>
          <w:tcPr>
            <w:tcW w:w="8440" w:type="dxa"/>
            <w:vAlign w:val="bottom"/>
          </w:tcPr>
          <w:p>
            <w:pPr>
              <w:spacing w:after="0"/>
              <w:rPr>
                <w:sz w:val="6"/>
                <w:szCs w:val="6"/>
                <w:color w:val="auto"/>
              </w:rPr>
            </w:pPr>
          </w:p>
        </w:tc>
        <w:tc>
          <w:tcPr>
            <w:tcW w:w="220" w:type="dxa"/>
            <w:vAlign w:val="bottom"/>
          </w:tcPr>
          <w:p>
            <w:pPr>
              <w:spacing w:after="0"/>
              <w:rPr>
                <w:sz w:val="6"/>
                <w:szCs w:val="6"/>
                <w:color w:val="auto"/>
              </w:rPr>
            </w:pPr>
          </w:p>
        </w:tc>
        <w:tc>
          <w:tcPr>
            <w:tcW w:w="124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11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8440" w:type="dxa"/>
            <w:vAlign w:val="bottom"/>
            <w:shd w:val="clear" w:color="auto" w:fill="CCEEFF"/>
          </w:tcPr>
          <w:p>
            <w:pPr>
              <w:ind w:left="380"/>
              <w:spacing w:after="0"/>
              <w:rPr>
                <w:sz w:val="20"/>
                <w:szCs w:val="20"/>
                <w:color w:val="auto"/>
              </w:rPr>
            </w:pPr>
            <w:r>
              <w:rPr>
                <w:rFonts w:ascii="Arial" w:cs="Arial" w:eastAsia="Arial" w:hAnsi="Arial"/>
                <w:sz w:val="14"/>
                <w:szCs w:val="14"/>
                <w:color w:val="auto"/>
              </w:rPr>
              <w:t>Other current liabilities</w:t>
            </w:r>
          </w:p>
        </w:tc>
        <w:tc>
          <w:tcPr>
            <w:tcW w:w="220" w:type="dxa"/>
            <w:vAlign w:val="bottom"/>
            <w:shd w:val="clear" w:color="auto" w:fill="CCEEFF"/>
          </w:tcPr>
          <w:p>
            <w:pPr>
              <w:spacing w:after="0"/>
              <w:rPr>
                <w:sz w:val="17"/>
                <w:szCs w:val="17"/>
                <w:color w:val="auto"/>
              </w:rPr>
            </w:pPr>
          </w:p>
        </w:tc>
        <w:tc>
          <w:tcPr>
            <w:tcW w:w="114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47,883</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51,828</w:t>
            </w:r>
          </w:p>
        </w:tc>
        <w:tc>
          <w:tcPr>
            <w:tcW w:w="0" w:type="dxa"/>
            <w:vAlign w:val="bottom"/>
          </w:tcPr>
          <w:p>
            <w:pPr>
              <w:spacing w:after="0"/>
              <w:rPr>
                <w:sz w:val="1"/>
                <w:szCs w:val="1"/>
                <w:color w:val="auto"/>
              </w:rPr>
            </w:pPr>
          </w:p>
        </w:tc>
      </w:tr>
      <w:tr>
        <w:trPr>
          <w:trHeight w:val="79"/>
        </w:trPr>
        <w:tc>
          <w:tcPr>
            <w:tcW w:w="8440" w:type="dxa"/>
            <w:vAlign w:val="bottom"/>
            <w:shd w:val="clear" w:color="auto" w:fill="CCEEFF"/>
          </w:tcPr>
          <w:p>
            <w:pPr>
              <w:spacing w:after="0"/>
              <w:rPr>
                <w:sz w:val="6"/>
                <w:szCs w:val="6"/>
                <w:color w:val="auto"/>
              </w:rPr>
            </w:pPr>
          </w:p>
        </w:tc>
        <w:tc>
          <w:tcPr>
            <w:tcW w:w="220" w:type="dxa"/>
            <w:vAlign w:val="bottom"/>
            <w:tcBorders>
              <w:bottom w:val="single" w:sz="8" w:color="auto"/>
            </w:tcBorders>
            <w:shd w:val="clear" w:color="auto" w:fill="CCEEFF"/>
          </w:tcPr>
          <w:p>
            <w:pPr>
              <w:spacing w:after="0"/>
              <w:rPr>
                <w:sz w:val="6"/>
                <w:szCs w:val="6"/>
                <w:color w:val="auto"/>
              </w:rPr>
            </w:pPr>
          </w:p>
        </w:tc>
        <w:tc>
          <w:tcPr>
            <w:tcW w:w="114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60" w:type="dxa"/>
            <w:vAlign w:val="bottom"/>
            <w:tcBorders>
              <w:bottom w:val="single" w:sz="8" w:color="auto"/>
            </w:tcBorders>
            <w:shd w:val="clear" w:color="auto" w:fill="CCEEFF"/>
          </w:tcPr>
          <w:p>
            <w:pPr>
              <w:spacing w:after="0"/>
              <w:rPr>
                <w:sz w:val="6"/>
                <w:szCs w:val="6"/>
                <w:color w:val="auto"/>
              </w:rPr>
            </w:pPr>
          </w:p>
        </w:tc>
        <w:tc>
          <w:tcPr>
            <w:tcW w:w="118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1"/>
        </w:trPr>
        <w:tc>
          <w:tcPr>
            <w:tcW w:w="8440" w:type="dxa"/>
            <w:vAlign w:val="bottom"/>
          </w:tcPr>
          <w:p>
            <w:pPr>
              <w:ind w:left="1140"/>
              <w:spacing w:after="0"/>
              <w:rPr>
                <w:sz w:val="20"/>
                <w:szCs w:val="20"/>
                <w:color w:val="auto"/>
              </w:rPr>
            </w:pPr>
            <w:r>
              <w:rPr>
                <w:rFonts w:ascii="Arial" w:cs="Arial" w:eastAsia="Arial" w:hAnsi="Arial"/>
                <w:sz w:val="14"/>
                <w:szCs w:val="14"/>
                <w:color w:val="auto"/>
              </w:rPr>
              <w:t>Total current liabilities</w:t>
            </w:r>
          </w:p>
        </w:tc>
        <w:tc>
          <w:tcPr>
            <w:tcW w:w="220" w:type="dxa"/>
            <w:vAlign w:val="bottom"/>
          </w:tcPr>
          <w:p>
            <w:pPr>
              <w:spacing w:after="0"/>
              <w:rPr>
                <w:sz w:val="14"/>
                <w:szCs w:val="14"/>
                <w:color w:val="auto"/>
              </w:rPr>
            </w:pPr>
          </w:p>
        </w:tc>
        <w:tc>
          <w:tcPr>
            <w:tcW w:w="1140" w:type="dxa"/>
            <w:vAlign w:val="bottom"/>
            <w:vMerge w:val="restart"/>
          </w:tcPr>
          <w:p>
            <w:pPr>
              <w:jc w:val="right"/>
              <w:ind w:right="48"/>
              <w:spacing w:after="0"/>
              <w:rPr>
                <w:sz w:val="20"/>
                <w:szCs w:val="20"/>
                <w:color w:val="auto"/>
              </w:rPr>
            </w:pPr>
            <w:r>
              <w:rPr>
                <w:rFonts w:ascii="Arial" w:cs="Arial" w:eastAsia="Arial" w:hAnsi="Arial"/>
                <w:sz w:val="14"/>
                <w:szCs w:val="14"/>
                <w:color w:val="auto"/>
              </w:rPr>
              <w:t>359,898</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vMerge w:val="restart"/>
          </w:tcPr>
          <w:p>
            <w:pPr>
              <w:jc w:val="right"/>
              <w:ind w:right="28"/>
              <w:spacing w:after="0"/>
              <w:rPr>
                <w:sz w:val="20"/>
                <w:szCs w:val="20"/>
                <w:color w:val="auto"/>
              </w:rPr>
            </w:pPr>
            <w:r>
              <w:rPr>
                <w:rFonts w:ascii="Arial" w:cs="Arial" w:eastAsia="Arial" w:hAnsi="Arial"/>
                <w:sz w:val="14"/>
                <w:szCs w:val="14"/>
                <w:color w:val="auto"/>
              </w:rPr>
              <w:t>399,772</w:t>
            </w:r>
          </w:p>
        </w:tc>
        <w:tc>
          <w:tcPr>
            <w:tcW w:w="0" w:type="dxa"/>
            <w:vAlign w:val="bottom"/>
          </w:tcPr>
          <w:p>
            <w:pPr>
              <w:spacing w:after="0"/>
              <w:rPr>
                <w:sz w:val="1"/>
                <w:szCs w:val="1"/>
                <w:color w:val="auto"/>
              </w:rPr>
            </w:pPr>
          </w:p>
        </w:tc>
      </w:tr>
      <w:tr>
        <w:trPr>
          <w:trHeight w:val="73"/>
        </w:trPr>
        <w:tc>
          <w:tcPr>
            <w:tcW w:w="8440" w:type="dxa"/>
            <w:vAlign w:val="bottom"/>
          </w:tcPr>
          <w:p>
            <w:pPr>
              <w:spacing w:after="0"/>
              <w:rPr>
                <w:sz w:val="6"/>
                <w:szCs w:val="6"/>
                <w:color w:val="auto"/>
              </w:rPr>
            </w:pPr>
          </w:p>
        </w:tc>
        <w:tc>
          <w:tcPr>
            <w:tcW w:w="220" w:type="dxa"/>
            <w:vAlign w:val="bottom"/>
          </w:tcPr>
          <w:p>
            <w:pPr>
              <w:spacing w:after="0"/>
              <w:rPr>
                <w:sz w:val="6"/>
                <w:szCs w:val="6"/>
                <w:color w:val="auto"/>
              </w:rPr>
            </w:pPr>
          </w:p>
        </w:tc>
        <w:tc>
          <w:tcPr>
            <w:tcW w:w="114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11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8440" w:type="dxa"/>
            <w:vAlign w:val="bottom"/>
            <w:shd w:val="clear" w:color="auto" w:fill="CCEEFF"/>
          </w:tcPr>
          <w:p>
            <w:pPr>
              <w:ind w:left="40"/>
              <w:spacing w:after="0"/>
              <w:rPr>
                <w:sz w:val="20"/>
                <w:szCs w:val="20"/>
                <w:color w:val="auto"/>
              </w:rPr>
            </w:pPr>
            <w:r>
              <w:rPr>
                <w:rFonts w:ascii="Arial" w:cs="Arial" w:eastAsia="Arial" w:hAnsi="Arial"/>
                <w:sz w:val="14"/>
                <w:szCs w:val="14"/>
                <w:color w:val="auto"/>
              </w:rPr>
              <w:t>Long-term liabilities</w:t>
            </w: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79"/>
        </w:trPr>
        <w:tc>
          <w:tcPr>
            <w:tcW w:w="844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11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18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0"/>
        </w:trPr>
        <w:tc>
          <w:tcPr>
            <w:tcW w:w="8440" w:type="dxa"/>
            <w:vAlign w:val="bottom"/>
          </w:tcPr>
          <w:p>
            <w:pPr>
              <w:ind w:left="380"/>
              <w:spacing w:after="0"/>
              <w:rPr>
                <w:sz w:val="20"/>
                <w:szCs w:val="20"/>
                <w:color w:val="auto"/>
              </w:rPr>
            </w:pPr>
            <w:r>
              <w:rPr>
                <w:rFonts w:ascii="Arial" w:cs="Arial" w:eastAsia="Arial" w:hAnsi="Arial"/>
                <w:sz w:val="14"/>
                <w:szCs w:val="14"/>
                <w:color w:val="auto"/>
              </w:rPr>
              <w:t>Borrowings under Credit Agreement</w:t>
            </w:r>
          </w:p>
        </w:tc>
        <w:tc>
          <w:tcPr>
            <w:tcW w:w="220" w:type="dxa"/>
            <w:vAlign w:val="bottom"/>
          </w:tcPr>
          <w:p>
            <w:pPr>
              <w:spacing w:after="0"/>
              <w:rPr>
                <w:sz w:val="16"/>
                <w:szCs w:val="16"/>
                <w:color w:val="auto"/>
              </w:rPr>
            </w:pPr>
          </w:p>
        </w:tc>
        <w:tc>
          <w:tcPr>
            <w:tcW w:w="1140" w:type="dxa"/>
            <w:vAlign w:val="bottom"/>
            <w:vMerge w:val="restart"/>
          </w:tcPr>
          <w:p>
            <w:pPr>
              <w:jc w:val="right"/>
              <w:ind w:right="48"/>
              <w:spacing w:after="0"/>
              <w:rPr>
                <w:sz w:val="20"/>
                <w:szCs w:val="20"/>
                <w:color w:val="auto"/>
              </w:rPr>
            </w:pPr>
            <w:r>
              <w:rPr>
                <w:rFonts w:ascii="Arial" w:cs="Arial" w:eastAsia="Arial" w:hAnsi="Arial"/>
                <w:sz w:val="14"/>
                <w:szCs w:val="14"/>
                <w:color w:val="auto"/>
              </w:rPr>
              <w:t>315,000</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vMerge w:val="restart"/>
          </w:tcPr>
          <w:p>
            <w:pPr>
              <w:jc w:val="right"/>
              <w:ind w:right="28"/>
              <w:spacing w:after="0"/>
              <w:rPr>
                <w:sz w:val="20"/>
                <w:szCs w:val="20"/>
                <w:color w:val="auto"/>
              </w:rPr>
            </w:pPr>
            <w:r>
              <w:rPr>
                <w:rFonts w:ascii="Arial" w:cs="Arial" w:eastAsia="Arial" w:hAnsi="Arial"/>
                <w:sz w:val="14"/>
                <w:szCs w:val="14"/>
                <w:color w:val="auto"/>
              </w:rPr>
              <w:t>255,000</w:t>
            </w:r>
          </w:p>
        </w:tc>
        <w:tc>
          <w:tcPr>
            <w:tcW w:w="0" w:type="dxa"/>
            <w:vAlign w:val="bottom"/>
          </w:tcPr>
          <w:p>
            <w:pPr>
              <w:spacing w:after="0"/>
              <w:rPr>
                <w:sz w:val="1"/>
                <w:szCs w:val="1"/>
                <w:color w:val="auto"/>
              </w:rPr>
            </w:pPr>
          </w:p>
        </w:tc>
      </w:tr>
      <w:tr>
        <w:trPr>
          <w:trHeight w:val="74"/>
        </w:trPr>
        <w:tc>
          <w:tcPr>
            <w:tcW w:w="8440" w:type="dxa"/>
            <w:vAlign w:val="bottom"/>
          </w:tcPr>
          <w:p>
            <w:pPr>
              <w:spacing w:after="0"/>
              <w:rPr>
                <w:sz w:val="6"/>
                <w:szCs w:val="6"/>
                <w:color w:val="auto"/>
              </w:rPr>
            </w:pPr>
          </w:p>
        </w:tc>
        <w:tc>
          <w:tcPr>
            <w:tcW w:w="220" w:type="dxa"/>
            <w:vAlign w:val="bottom"/>
          </w:tcPr>
          <w:p>
            <w:pPr>
              <w:spacing w:after="0"/>
              <w:rPr>
                <w:sz w:val="6"/>
                <w:szCs w:val="6"/>
                <w:color w:val="auto"/>
              </w:rPr>
            </w:pPr>
          </w:p>
        </w:tc>
        <w:tc>
          <w:tcPr>
            <w:tcW w:w="114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11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6"/>
        </w:trPr>
        <w:tc>
          <w:tcPr>
            <w:tcW w:w="8440" w:type="dxa"/>
            <w:vAlign w:val="bottom"/>
            <w:shd w:val="clear" w:color="auto" w:fill="CCEEFF"/>
          </w:tcPr>
          <w:p>
            <w:pPr>
              <w:ind w:left="380"/>
              <w:spacing w:after="0"/>
              <w:rPr>
                <w:sz w:val="20"/>
                <w:szCs w:val="20"/>
                <w:color w:val="auto"/>
              </w:rPr>
            </w:pPr>
            <w:r>
              <w:rPr>
                <w:rFonts w:ascii="Arial" w:cs="Arial" w:eastAsia="Arial" w:hAnsi="Arial"/>
                <w:sz w:val="14"/>
                <w:szCs w:val="14"/>
                <w:color w:val="auto"/>
              </w:rPr>
              <w:t>Borrowings under San Mateo Credit Facility</w:t>
            </w:r>
          </w:p>
        </w:tc>
        <w:tc>
          <w:tcPr>
            <w:tcW w:w="220" w:type="dxa"/>
            <w:vAlign w:val="bottom"/>
            <w:shd w:val="clear" w:color="auto" w:fill="CCEEFF"/>
          </w:tcPr>
          <w:p>
            <w:pPr>
              <w:spacing w:after="0"/>
              <w:rPr>
                <w:sz w:val="17"/>
                <w:szCs w:val="17"/>
                <w:color w:val="auto"/>
              </w:rPr>
            </w:pPr>
          </w:p>
        </w:tc>
        <w:tc>
          <w:tcPr>
            <w:tcW w:w="114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307,500</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288,000</w:t>
            </w:r>
          </w:p>
        </w:tc>
        <w:tc>
          <w:tcPr>
            <w:tcW w:w="0" w:type="dxa"/>
            <w:vAlign w:val="bottom"/>
          </w:tcPr>
          <w:p>
            <w:pPr>
              <w:spacing w:after="0"/>
              <w:rPr>
                <w:sz w:val="1"/>
                <w:szCs w:val="1"/>
                <w:color w:val="auto"/>
              </w:rPr>
            </w:pPr>
          </w:p>
        </w:tc>
      </w:tr>
      <w:tr>
        <w:trPr>
          <w:trHeight w:val="79"/>
        </w:trPr>
        <w:tc>
          <w:tcPr>
            <w:tcW w:w="844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114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1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8440" w:type="dxa"/>
            <w:vAlign w:val="bottom"/>
          </w:tcPr>
          <w:p>
            <w:pPr>
              <w:ind w:left="380"/>
              <w:spacing w:after="0"/>
              <w:rPr>
                <w:sz w:val="20"/>
                <w:szCs w:val="20"/>
                <w:color w:val="auto"/>
              </w:rPr>
            </w:pPr>
            <w:r>
              <w:rPr>
                <w:rFonts w:ascii="Arial" w:cs="Arial" w:eastAsia="Arial" w:hAnsi="Arial"/>
                <w:sz w:val="14"/>
                <w:szCs w:val="14"/>
                <w:color w:val="auto"/>
              </w:rPr>
              <w:t>Senior unsecured notes payable</w:t>
            </w:r>
          </w:p>
        </w:tc>
        <w:tc>
          <w:tcPr>
            <w:tcW w:w="220" w:type="dxa"/>
            <w:vAlign w:val="bottom"/>
          </w:tcPr>
          <w:p>
            <w:pPr>
              <w:spacing w:after="0"/>
              <w:rPr>
                <w:sz w:val="16"/>
                <w:szCs w:val="16"/>
                <w:color w:val="auto"/>
              </w:rPr>
            </w:pPr>
          </w:p>
        </w:tc>
        <w:tc>
          <w:tcPr>
            <w:tcW w:w="1140" w:type="dxa"/>
            <w:vAlign w:val="bottom"/>
            <w:vMerge w:val="restart"/>
          </w:tcPr>
          <w:p>
            <w:pPr>
              <w:jc w:val="right"/>
              <w:ind w:right="48"/>
              <w:spacing w:after="0"/>
              <w:rPr>
                <w:sz w:val="20"/>
                <w:szCs w:val="20"/>
                <w:color w:val="auto"/>
              </w:rPr>
            </w:pPr>
            <w:r>
              <w:rPr>
                <w:rFonts w:ascii="Arial" w:cs="Arial" w:eastAsia="Arial" w:hAnsi="Arial"/>
                <w:sz w:val="14"/>
                <w:szCs w:val="14"/>
                <w:color w:val="auto"/>
              </w:rPr>
              <w:t>1,039,811</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vMerge w:val="restart"/>
          </w:tcPr>
          <w:p>
            <w:pPr>
              <w:jc w:val="right"/>
              <w:ind w:right="28"/>
              <w:spacing w:after="0"/>
              <w:rPr>
                <w:sz w:val="20"/>
                <w:szCs w:val="20"/>
                <w:color w:val="auto"/>
              </w:rPr>
            </w:pPr>
            <w:r>
              <w:rPr>
                <w:rFonts w:ascii="Arial" w:cs="Arial" w:eastAsia="Arial" w:hAnsi="Arial"/>
                <w:sz w:val="14"/>
                <w:szCs w:val="14"/>
                <w:color w:val="auto"/>
              </w:rPr>
              <w:t>1,039,416</w:t>
            </w:r>
          </w:p>
        </w:tc>
        <w:tc>
          <w:tcPr>
            <w:tcW w:w="0" w:type="dxa"/>
            <w:vAlign w:val="bottom"/>
          </w:tcPr>
          <w:p>
            <w:pPr>
              <w:spacing w:after="0"/>
              <w:rPr>
                <w:sz w:val="1"/>
                <w:szCs w:val="1"/>
                <w:color w:val="auto"/>
              </w:rPr>
            </w:pPr>
          </w:p>
        </w:tc>
      </w:tr>
      <w:tr>
        <w:trPr>
          <w:trHeight w:val="74"/>
        </w:trPr>
        <w:tc>
          <w:tcPr>
            <w:tcW w:w="8440" w:type="dxa"/>
            <w:vAlign w:val="bottom"/>
          </w:tcPr>
          <w:p>
            <w:pPr>
              <w:spacing w:after="0"/>
              <w:rPr>
                <w:sz w:val="6"/>
                <w:szCs w:val="6"/>
                <w:color w:val="auto"/>
              </w:rPr>
            </w:pPr>
          </w:p>
        </w:tc>
        <w:tc>
          <w:tcPr>
            <w:tcW w:w="220" w:type="dxa"/>
            <w:vAlign w:val="bottom"/>
          </w:tcPr>
          <w:p>
            <w:pPr>
              <w:spacing w:after="0"/>
              <w:rPr>
                <w:sz w:val="6"/>
                <w:szCs w:val="6"/>
                <w:color w:val="auto"/>
              </w:rPr>
            </w:pPr>
          </w:p>
        </w:tc>
        <w:tc>
          <w:tcPr>
            <w:tcW w:w="114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11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6"/>
        </w:trPr>
        <w:tc>
          <w:tcPr>
            <w:tcW w:w="8440" w:type="dxa"/>
            <w:vAlign w:val="bottom"/>
            <w:shd w:val="clear" w:color="auto" w:fill="CCEEFF"/>
          </w:tcPr>
          <w:p>
            <w:pPr>
              <w:ind w:left="380"/>
              <w:spacing w:after="0"/>
              <w:rPr>
                <w:sz w:val="20"/>
                <w:szCs w:val="20"/>
                <w:color w:val="auto"/>
              </w:rPr>
            </w:pPr>
            <w:r>
              <w:rPr>
                <w:rFonts w:ascii="Arial" w:cs="Arial" w:eastAsia="Arial" w:hAnsi="Arial"/>
                <w:sz w:val="14"/>
                <w:szCs w:val="14"/>
                <w:color w:val="auto"/>
              </w:rPr>
              <w:t>Asset retirement obligations</w:t>
            </w:r>
          </w:p>
        </w:tc>
        <w:tc>
          <w:tcPr>
            <w:tcW w:w="220" w:type="dxa"/>
            <w:vAlign w:val="bottom"/>
            <w:shd w:val="clear" w:color="auto" w:fill="CCEEFF"/>
          </w:tcPr>
          <w:p>
            <w:pPr>
              <w:spacing w:after="0"/>
              <w:rPr>
                <w:sz w:val="17"/>
                <w:szCs w:val="17"/>
                <w:color w:val="auto"/>
              </w:rPr>
            </w:pPr>
          </w:p>
        </w:tc>
        <w:tc>
          <w:tcPr>
            <w:tcW w:w="114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37,118</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35,592</w:t>
            </w:r>
          </w:p>
        </w:tc>
        <w:tc>
          <w:tcPr>
            <w:tcW w:w="0" w:type="dxa"/>
            <w:vAlign w:val="bottom"/>
          </w:tcPr>
          <w:p>
            <w:pPr>
              <w:spacing w:after="0"/>
              <w:rPr>
                <w:sz w:val="1"/>
                <w:szCs w:val="1"/>
                <w:color w:val="auto"/>
              </w:rPr>
            </w:pPr>
          </w:p>
        </w:tc>
      </w:tr>
      <w:tr>
        <w:trPr>
          <w:trHeight w:val="79"/>
        </w:trPr>
        <w:tc>
          <w:tcPr>
            <w:tcW w:w="844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114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1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8440" w:type="dxa"/>
            <w:vAlign w:val="bottom"/>
          </w:tcPr>
          <w:p>
            <w:pPr>
              <w:ind w:left="380"/>
              <w:spacing w:after="0"/>
              <w:rPr>
                <w:sz w:val="20"/>
                <w:szCs w:val="20"/>
                <w:color w:val="auto"/>
              </w:rPr>
            </w:pPr>
            <w:r>
              <w:rPr>
                <w:rFonts w:ascii="Arial" w:cs="Arial" w:eastAsia="Arial" w:hAnsi="Arial"/>
                <w:sz w:val="14"/>
                <w:szCs w:val="14"/>
                <w:color w:val="auto"/>
              </w:rPr>
              <w:t>Derivative instruments</w:t>
            </w:r>
          </w:p>
        </w:tc>
        <w:tc>
          <w:tcPr>
            <w:tcW w:w="220" w:type="dxa"/>
            <w:vAlign w:val="bottom"/>
          </w:tcPr>
          <w:p>
            <w:pPr>
              <w:spacing w:after="0"/>
              <w:rPr>
                <w:sz w:val="16"/>
                <w:szCs w:val="16"/>
                <w:color w:val="auto"/>
              </w:rPr>
            </w:pPr>
          </w:p>
        </w:tc>
        <w:tc>
          <w:tcPr>
            <w:tcW w:w="124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1180" w:type="dxa"/>
            <w:vAlign w:val="bottom"/>
            <w:vMerge w:val="restart"/>
          </w:tcPr>
          <w:p>
            <w:pPr>
              <w:jc w:val="right"/>
              <w:ind w:right="28"/>
              <w:spacing w:after="0"/>
              <w:rPr>
                <w:sz w:val="20"/>
                <w:szCs w:val="20"/>
                <w:color w:val="auto"/>
              </w:rPr>
            </w:pPr>
            <w:r>
              <w:rPr>
                <w:rFonts w:ascii="Arial" w:cs="Arial" w:eastAsia="Arial" w:hAnsi="Arial"/>
                <w:sz w:val="14"/>
                <w:szCs w:val="14"/>
                <w:color w:val="auto"/>
              </w:rPr>
              <w:t>1,984</w:t>
            </w:r>
          </w:p>
        </w:tc>
        <w:tc>
          <w:tcPr>
            <w:tcW w:w="0" w:type="dxa"/>
            <w:vAlign w:val="bottom"/>
          </w:tcPr>
          <w:p>
            <w:pPr>
              <w:spacing w:after="0"/>
              <w:rPr>
                <w:sz w:val="1"/>
                <w:szCs w:val="1"/>
                <w:color w:val="auto"/>
              </w:rPr>
            </w:pPr>
          </w:p>
        </w:tc>
      </w:tr>
      <w:tr>
        <w:trPr>
          <w:trHeight w:val="74"/>
        </w:trPr>
        <w:tc>
          <w:tcPr>
            <w:tcW w:w="8440" w:type="dxa"/>
            <w:vAlign w:val="bottom"/>
          </w:tcPr>
          <w:p>
            <w:pPr>
              <w:spacing w:after="0"/>
              <w:rPr>
                <w:sz w:val="6"/>
                <w:szCs w:val="6"/>
                <w:color w:val="auto"/>
              </w:rPr>
            </w:pPr>
          </w:p>
        </w:tc>
        <w:tc>
          <w:tcPr>
            <w:tcW w:w="220" w:type="dxa"/>
            <w:vAlign w:val="bottom"/>
          </w:tcPr>
          <w:p>
            <w:pPr>
              <w:spacing w:after="0"/>
              <w:rPr>
                <w:sz w:val="6"/>
                <w:szCs w:val="6"/>
                <w:color w:val="auto"/>
              </w:rPr>
            </w:pPr>
          </w:p>
        </w:tc>
        <w:tc>
          <w:tcPr>
            <w:tcW w:w="124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11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6"/>
        </w:trPr>
        <w:tc>
          <w:tcPr>
            <w:tcW w:w="8440" w:type="dxa"/>
            <w:vAlign w:val="bottom"/>
            <w:shd w:val="clear" w:color="auto" w:fill="CCEEFF"/>
          </w:tcPr>
          <w:p>
            <w:pPr>
              <w:ind w:left="380"/>
              <w:spacing w:after="0"/>
              <w:rPr>
                <w:sz w:val="20"/>
                <w:szCs w:val="20"/>
                <w:color w:val="auto"/>
              </w:rPr>
            </w:pPr>
            <w:r>
              <w:rPr>
                <w:rFonts w:ascii="Arial" w:cs="Arial" w:eastAsia="Arial" w:hAnsi="Arial"/>
                <w:sz w:val="14"/>
                <w:szCs w:val="14"/>
                <w:color w:val="auto"/>
              </w:rPr>
              <w:t>Deferred income taxes</w:t>
            </w:r>
          </w:p>
        </w:tc>
        <w:tc>
          <w:tcPr>
            <w:tcW w:w="220" w:type="dxa"/>
            <w:vAlign w:val="bottom"/>
            <w:shd w:val="clear" w:color="auto" w:fill="CCEEFF"/>
          </w:tcPr>
          <w:p>
            <w:pPr>
              <w:spacing w:after="0"/>
              <w:rPr>
                <w:sz w:val="17"/>
                <w:szCs w:val="17"/>
                <w:color w:val="auto"/>
              </w:rPr>
            </w:pPr>
          </w:p>
        </w:tc>
        <w:tc>
          <w:tcPr>
            <w:tcW w:w="114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84,700</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37,329</w:t>
            </w:r>
          </w:p>
        </w:tc>
        <w:tc>
          <w:tcPr>
            <w:tcW w:w="0" w:type="dxa"/>
            <w:vAlign w:val="bottom"/>
          </w:tcPr>
          <w:p>
            <w:pPr>
              <w:spacing w:after="0"/>
              <w:rPr>
                <w:sz w:val="1"/>
                <w:szCs w:val="1"/>
                <w:color w:val="auto"/>
              </w:rPr>
            </w:pPr>
          </w:p>
        </w:tc>
      </w:tr>
      <w:tr>
        <w:trPr>
          <w:trHeight w:val="79"/>
        </w:trPr>
        <w:tc>
          <w:tcPr>
            <w:tcW w:w="844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114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1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8440" w:type="dxa"/>
            <w:vAlign w:val="bottom"/>
          </w:tcPr>
          <w:p>
            <w:pPr>
              <w:ind w:left="380"/>
              <w:spacing w:after="0"/>
              <w:rPr>
                <w:sz w:val="20"/>
                <w:szCs w:val="20"/>
                <w:color w:val="auto"/>
              </w:rPr>
            </w:pPr>
            <w:r>
              <w:rPr>
                <w:rFonts w:ascii="Arial" w:cs="Arial" w:eastAsia="Arial" w:hAnsi="Arial"/>
                <w:sz w:val="14"/>
                <w:szCs w:val="14"/>
                <w:color w:val="auto"/>
              </w:rPr>
              <w:t>Other long-term liabilities</w:t>
            </w:r>
          </w:p>
        </w:tc>
        <w:tc>
          <w:tcPr>
            <w:tcW w:w="220" w:type="dxa"/>
            <w:vAlign w:val="bottom"/>
          </w:tcPr>
          <w:p>
            <w:pPr>
              <w:spacing w:after="0"/>
              <w:rPr>
                <w:sz w:val="16"/>
                <w:szCs w:val="16"/>
                <w:color w:val="auto"/>
              </w:rPr>
            </w:pPr>
          </w:p>
        </w:tc>
        <w:tc>
          <w:tcPr>
            <w:tcW w:w="1140" w:type="dxa"/>
            <w:vAlign w:val="bottom"/>
            <w:vMerge w:val="restart"/>
          </w:tcPr>
          <w:p>
            <w:pPr>
              <w:jc w:val="right"/>
              <w:ind w:right="48"/>
              <w:spacing w:after="0"/>
              <w:rPr>
                <w:sz w:val="20"/>
                <w:szCs w:val="20"/>
                <w:color w:val="auto"/>
              </w:rPr>
            </w:pPr>
            <w:r>
              <w:rPr>
                <w:rFonts w:ascii="Arial" w:cs="Arial" w:eastAsia="Arial" w:hAnsi="Arial"/>
                <w:sz w:val="14"/>
                <w:szCs w:val="14"/>
                <w:color w:val="auto"/>
              </w:rPr>
              <w:t>35,264</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vMerge w:val="restart"/>
          </w:tcPr>
          <w:p>
            <w:pPr>
              <w:jc w:val="right"/>
              <w:ind w:right="28"/>
              <w:spacing w:after="0"/>
              <w:rPr>
                <w:sz w:val="20"/>
                <w:szCs w:val="20"/>
                <w:color w:val="auto"/>
              </w:rPr>
            </w:pPr>
            <w:r>
              <w:rPr>
                <w:rFonts w:ascii="Arial" w:cs="Arial" w:eastAsia="Arial" w:hAnsi="Arial"/>
                <w:sz w:val="14"/>
                <w:szCs w:val="14"/>
                <w:color w:val="auto"/>
              </w:rPr>
              <w:t>43,131</w:t>
            </w:r>
          </w:p>
        </w:tc>
        <w:tc>
          <w:tcPr>
            <w:tcW w:w="0" w:type="dxa"/>
            <w:vAlign w:val="bottom"/>
          </w:tcPr>
          <w:p>
            <w:pPr>
              <w:spacing w:after="0"/>
              <w:rPr>
                <w:sz w:val="1"/>
                <w:szCs w:val="1"/>
                <w:color w:val="auto"/>
              </w:rPr>
            </w:pPr>
          </w:p>
        </w:tc>
      </w:tr>
      <w:tr>
        <w:trPr>
          <w:trHeight w:val="73"/>
        </w:trPr>
        <w:tc>
          <w:tcPr>
            <w:tcW w:w="8440" w:type="dxa"/>
            <w:vAlign w:val="bottom"/>
            <w:tcBorders>
              <w:bottom w:val="single" w:sz="8" w:color="CCEEFF"/>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114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118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6"/>
        </w:trPr>
        <w:tc>
          <w:tcPr>
            <w:tcW w:w="8440" w:type="dxa"/>
            <w:vAlign w:val="bottom"/>
            <w:shd w:val="clear" w:color="auto" w:fill="CCEEFF"/>
          </w:tcPr>
          <w:p>
            <w:pPr>
              <w:ind w:left="1140"/>
              <w:spacing w:after="0"/>
              <w:rPr>
                <w:sz w:val="20"/>
                <w:szCs w:val="20"/>
                <w:color w:val="auto"/>
              </w:rPr>
            </w:pPr>
            <w:r>
              <w:rPr>
                <w:rFonts w:ascii="Arial" w:cs="Arial" w:eastAsia="Arial" w:hAnsi="Arial"/>
                <w:sz w:val="14"/>
                <w:szCs w:val="14"/>
                <w:color w:val="auto"/>
              </w:rPr>
              <w:t>Total long-term liabilities</w:t>
            </w:r>
          </w:p>
        </w:tc>
        <w:tc>
          <w:tcPr>
            <w:tcW w:w="220" w:type="dxa"/>
            <w:vAlign w:val="bottom"/>
            <w:shd w:val="clear" w:color="auto" w:fill="CCEEFF"/>
          </w:tcPr>
          <w:p>
            <w:pPr>
              <w:spacing w:after="0"/>
              <w:rPr>
                <w:sz w:val="15"/>
                <w:szCs w:val="15"/>
                <w:color w:val="auto"/>
              </w:rPr>
            </w:pPr>
          </w:p>
        </w:tc>
        <w:tc>
          <w:tcPr>
            <w:tcW w:w="114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1,819,393</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1,700,452</w:t>
            </w:r>
          </w:p>
        </w:tc>
        <w:tc>
          <w:tcPr>
            <w:tcW w:w="0" w:type="dxa"/>
            <w:vAlign w:val="bottom"/>
          </w:tcPr>
          <w:p>
            <w:pPr>
              <w:spacing w:after="0"/>
              <w:rPr>
                <w:sz w:val="1"/>
                <w:szCs w:val="1"/>
                <w:color w:val="auto"/>
              </w:rPr>
            </w:pPr>
          </w:p>
        </w:tc>
      </w:tr>
      <w:tr>
        <w:trPr>
          <w:trHeight w:val="80"/>
        </w:trPr>
        <w:tc>
          <w:tcPr>
            <w:tcW w:w="844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114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1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0"/>
        </w:trPr>
        <w:tc>
          <w:tcPr>
            <w:tcW w:w="8440" w:type="dxa"/>
            <w:vAlign w:val="bottom"/>
          </w:tcPr>
          <w:p>
            <w:pPr>
              <w:ind w:left="40"/>
              <w:spacing w:after="0"/>
              <w:rPr>
                <w:sz w:val="20"/>
                <w:szCs w:val="20"/>
                <w:color w:val="auto"/>
              </w:rPr>
            </w:pPr>
            <w:r>
              <w:rPr>
                <w:rFonts w:ascii="Arial" w:cs="Arial" w:eastAsia="Arial" w:hAnsi="Arial"/>
                <w:sz w:val="14"/>
                <w:szCs w:val="14"/>
                <w:color w:val="auto"/>
              </w:rPr>
              <w:t>Commitments and contingencies (Note 9)</w:t>
            </w:r>
          </w:p>
        </w:tc>
        <w:tc>
          <w:tcPr>
            <w:tcW w:w="2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8440" w:type="dxa"/>
            <w:vAlign w:val="bottom"/>
          </w:tcPr>
          <w:p>
            <w:pPr>
              <w:spacing w:after="0"/>
              <w:rPr>
                <w:sz w:val="6"/>
                <w:szCs w:val="6"/>
                <w:color w:val="auto"/>
              </w:rPr>
            </w:pPr>
          </w:p>
        </w:tc>
        <w:tc>
          <w:tcPr>
            <w:tcW w:w="2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11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0"/>
        </w:trPr>
        <w:tc>
          <w:tcPr>
            <w:tcW w:w="8440" w:type="dxa"/>
            <w:vAlign w:val="bottom"/>
            <w:shd w:val="clear" w:color="auto" w:fill="CCEEFF"/>
          </w:tcPr>
          <w:p>
            <w:pPr>
              <w:ind w:left="40"/>
              <w:spacing w:after="0"/>
              <w:rPr>
                <w:sz w:val="20"/>
                <w:szCs w:val="20"/>
                <w:color w:val="auto"/>
              </w:rPr>
            </w:pPr>
            <w:r>
              <w:rPr>
                <w:rFonts w:ascii="Arial" w:cs="Arial" w:eastAsia="Arial" w:hAnsi="Arial"/>
                <w:sz w:val="14"/>
                <w:szCs w:val="14"/>
                <w:color w:val="auto"/>
              </w:rPr>
              <w:t>Shareholders’ equity</w:t>
            </w:r>
          </w:p>
        </w:tc>
        <w:tc>
          <w:tcPr>
            <w:tcW w:w="22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79"/>
        </w:trPr>
        <w:tc>
          <w:tcPr>
            <w:tcW w:w="844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11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18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57"/>
        </w:trPr>
        <w:tc>
          <w:tcPr>
            <w:tcW w:w="8440" w:type="dxa"/>
            <w:vAlign w:val="bottom"/>
          </w:tcPr>
          <w:p>
            <w:pPr>
              <w:ind w:left="380"/>
              <w:spacing w:after="0" w:line="157" w:lineRule="exact"/>
              <w:rPr>
                <w:sz w:val="20"/>
                <w:szCs w:val="20"/>
                <w:color w:val="auto"/>
              </w:rPr>
            </w:pPr>
            <w:r>
              <w:rPr>
                <w:rFonts w:ascii="Arial" w:cs="Arial" w:eastAsia="Arial" w:hAnsi="Arial"/>
                <w:sz w:val="14"/>
                <w:szCs w:val="14"/>
                <w:color w:val="auto"/>
                <w:w w:val="97"/>
              </w:rPr>
              <w:t>Common stock - $0.01 par value, 160,000,000 shares authorized; 116,671,325 and 116,644,246 shares issued; and 116,564,598 and</w:t>
            </w:r>
          </w:p>
        </w:tc>
        <w:tc>
          <w:tcPr>
            <w:tcW w:w="2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8440" w:type="dxa"/>
            <w:vAlign w:val="bottom"/>
          </w:tcPr>
          <w:p>
            <w:pPr>
              <w:ind w:left="540"/>
              <w:spacing w:after="0"/>
              <w:rPr>
                <w:sz w:val="20"/>
                <w:szCs w:val="20"/>
                <w:color w:val="auto"/>
              </w:rPr>
            </w:pPr>
            <w:r>
              <w:rPr>
                <w:rFonts w:ascii="Arial" w:cs="Arial" w:eastAsia="Arial" w:hAnsi="Arial"/>
                <w:sz w:val="14"/>
                <w:szCs w:val="14"/>
                <w:color w:val="auto"/>
              </w:rPr>
              <w:t>116,642,899 shares outstanding, respectively</w:t>
            </w:r>
          </w:p>
        </w:tc>
        <w:tc>
          <w:tcPr>
            <w:tcW w:w="220" w:type="dxa"/>
            <w:vAlign w:val="bottom"/>
          </w:tcPr>
          <w:p>
            <w:pPr>
              <w:spacing w:after="0"/>
              <w:rPr>
                <w:sz w:val="16"/>
                <w:szCs w:val="16"/>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1,167</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tcPr>
          <w:p>
            <w:pPr>
              <w:jc w:val="right"/>
              <w:ind w:right="28"/>
              <w:spacing w:after="0"/>
              <w:rPr>
                <w:sz w:val="20"/>
                <w:szCs w:val="20"/>
                <w:color w:val="auto"/>
              </w:rPr>
            </w:pPr>
            <w:r>
              <w:rPr>
                <w:rFonts w:ascii="Arial" w:cs="Arial" w:eastAsia="Arial" w:hAnsi="Arial"/>
                <w:sz w:val="14"/>
                <w:szCs w:val="14"/>
                <w:color w:val="auto"/>
              </w:rPr>
              <w:t>1,166</w:t>
            </w:r>
          </w:p>
        </w:tc>
        <w:tc>
          <w:tcPr>
            <w:tcW w:w="0" w:type="dxa"/>
            <w:vAlign w:val="bottom"/>
          </w:tcPr>
          <w:p>
            <w:pPr>
              <w:spacing w:after="0"/>
              <w:rPr>
                <w:sz w:val="1"/>
                <w:szCs w:val="1"/>
                <w:color w:val="auto"/>
              </w:rPr>
            </w:pPr>
          </w:p>
        </w:tc>
      </w:tr>
      <w:tr>
        <w:trPr>
          <w:trHeight w:val="196"/>
        </w:trPr>
        <w:tc>
          <w:tcPr>
            <w:tcW w:w="8440" w:type="dxa"/>
            <w:vAlign w:val="bottom"/>
            <w:shd w:val="clear" w:color="auto" w:fill="CCEEFF"/>
          </w:tcPr>
          <w:p>
            <w:pPr>
              <w:ind w:left="380"/>
              <w:spacing w:after="0"/>
              <w:rPr>
                <w:sz w:val="20"/>
                <w:szCs w:val="20"/>
                <w:color w:val="auto"/>
              </w:rPr>
            </w:pPr>
            <w:r>
              <w:rPr>
                <w:rFonts w:ascii="Arial" w:cs="Arial" w:eastAsia="Arial" w:hAnsi="Arial"/>
                <w:sz w:val="14"/>
                <w:szCs w:val="14"/>
                <w:color w:val="auto"/>
              </w:rPr>
              <w:t>Additional paid-in capital</w:t>
            </w:r>
          </w:p>
        </w:tc>
        <w:tc>
          <w:tcPr>
            <w:tcW w:w="220" w:type="dxa"/>
            <w:vAlign w:val="bottom"/>
            <w:shd w:val="clear" w:color="auto" w:fill="CCEEFF"/>
          </w:tcPr>
          <w:p>
            <w:pPr>
              <w:spacing w:after="0"/>
              <w:rPr>
                <w:sz w:val="17"/>
                <w:szCs w:val="17"/>
                <w:color w:val="auto"/>
              </w:rPr>
            </w:pPr>
          </w:p>
        </w:tc>
        <w:tc>
          <w:tcPr>
            <w:tcW w:w="114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2,014,246</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1,981,014</w:t>
            </w:r>
          </w:p>
        </w:tc>
        <w:tc>
          <w:tcPr>
            <w:tcW w:w="0" w:type="dxa"/>
            <w:vAlign w:val="bottom"/>
          </w:tcPr>
          <w:p>
            <w:pPr>
              <w:spacing w:after="0"/>
              <w:rPr>
                <w:sz w:val="1"/>
                <w:szCs w:val="1"/>
                <w:color w:val="auto"/>
              </w:rPr>
            </w:pPr>
          </w:p>
        </w:tc>
      </w:tr>
      <w:tr>
        <w:trPr>
          <w:trHeight w:val="80"/>
        </w:trPr>
        <w:tc>
          <w:tcPr>
            <w:tcW w:w="844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114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1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0"/>
        </w:trPr>
        <w:tc>
          <w:tcPr>
            <w:tcW w:w="8440" w:type="dxa"/>
            <w:vAlign w:val="bottom"/>
          </w:tcPr>
          <w:p>
            <w:pPr>
              <w:ind w:left="380"/>
              <w:spacing w:after="0"/>
              <w:rPr>
                <w:sz w:val="20"/>
                <w:szCs w:val="20"/>
                <w:color w:val="auto"/>
              </w:rPr>
            </w:pPr>
            <w:r>
              <w:rPr>
                <w:rFonts w:ascii="Arial" w:cs="Arial" w:eastAsia="Arial" w:hAnsi="Arial"/>
                <w:sz w:val="14"/>
                <w:szCs w:val="14"/>
                <w:color w:val="auto"/>
              </w:rPr>
              <w:t>Accumulated deficit</w:t>
            </w:r>
          </w:p>
        </w:tc>
        <w:tc>
          <w:tcPr>
            <w:tcW w:w="220" w:type="dxa"/>
            <w:vAlign w:val="bottom"/>
          </w:tcPr>
          <w:p>
            <w:pPr>
              <w:spacing w:after="0"/>
              <w:rPr>
                <w:sz w:val="16"/>
                <w:szCs w:val="16"/>
                <w:color w:val="auto"/>
              </w:rPr>
            </w:pPr>
          </w:p>
        </w:tc>
        <w:tc>
          <w:tcPr>
            <w:tcW w:w="1140" w:type="dxa"/>
            <w:vAlign w:val="bottom"/>
            <w:vMerge w:val="restart"/>
          </w:tcPr>
          <w:p>
            <w:pPr>
              <w:jc w:val="right"/>
              <w:spacing w:after="0"/>
              <w:rPr>
                <w:sz w:val="20"/>
                <w:szCs w:val="20"/>
                <w:color w:val="auto"/>
              </w:rPr>
            </w:pPr>
            <w:r>
              <w:rPr>
                <w:rFonts w:ascii="Arial" w:cs="Arial" w:eastAsia="Arial" w:hAnsi="Arial"/>
                <w:sz w:val="14"/>
                <w:szCs w:val="14"/>
                <w:color w:val="auto"/>
              </w:rPr>
              <w:t>(22,771)</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vMerge w:val="restart"/>
          </w:tcPr>
          <w:p>
            <w:pPr>
              <w:jc w:val="right"/>
              <w:spacing w:after="0"/>
              <w:rPr>
                <w:sz w:val="20"/>
                <w:szCs w:val="20"/>
                <w:color w:val="auto"/>
              </w:rPr>
            </w:pPr>
            <w:r>
              <w:rPr>
                <w:rFonts w:ascii="Arial" w:cs="Arial" w:eastAsia="Arial" w:hAnsi="Arial"/>
                <w:sz w:val="14"/>
                <w:szCs w:val="14"/>
                <w:color w:val="auto"/>
              </w:rPr>
              <w:t>(148,500)</w:t>
            </w:r>
          </w:p>
        </w:tc>
        <w:tc>
          <w:tcPr>
            <w:tcW w:w="0" w:type="dxa"/>
            <w:vAlign w:val="bottom"/>
          </w:tcPr>
          <w:p>
            <w:pPr>
              <w:spacing w:after="0"/>
              <w:rPr>
                <w:sz w:val="1"/>
                <w:szCs w:val="1"/>
                <w:color w:val="auto"/>
              </w:rPr>
            </w:pPr>
          </w:p>
        </w:tc>
      </w:tr>
      <w:tr>
        <w:trPr>
          <w:trHeight w:val="74"/>
        </w:trPr>
        <w:tc>
          <w:tcPr>
            <w:tcW w:w="8440" w:type="dxa"/>
            <w:vAlign w:val="bottom"/>
          </w:tcPr>
          <w:p>
            <w:pPr>
              <w:spacing w:after="0"/>
              <w:rPr>
                <w:sz w:val="6"/>
                <w:szCs w:val="6"/>
                <w:color w:val="auto"/>
              </w:rPr>
            </w:pPr>
          </w:p>
        </w:tc>
        <w:tc>
          <w:tcPr>
            <w:tcW w:w="220" w:type="dxa"/>
            <w:vAlign w:val="bottom"/>
          </w:tcPr>
          <w:p>
            <w:pPr>
              <w:spacing w:after="0"/>
              <w:rPr>
                <w:sz w:val="6"/>
                <w:szCs w:val="6"/>
                <w:color w:val="auto"/>
              </w:rPr>
            </w:pPr>
          </w:p>
        </w:tc>
        <w:tc>
          <w:tcPr>
            <w:tcW w:w="114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11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6"/>
        </w:trPr>
        <w:tc>
          <w:tcPr>
            <w:tcW w:w="8440" w:type="dxa"/>
            <w:vAlign w:val="bottom"/>
            <w:shd w:val="clear" w:color="auto" w:fill="CCEEFF"/>
          </w:tcPr>
          <w:p>
            <w:pPr>
              <w:ind w:left="380"/>
              <w:spacing w:after="0"/>
              <w:rPr>
                <w:sz w:val="20"/>
                <w:szCs w:val="20"/>
                <w:color w:val="auto"/>
              </w:rPr>
            </w:pPr>
            <w:r>
              <w:rPr>
                <w:rFonts w:ascii="Arial" w:cs="Arial" w:eastAsia="Arial" w:hAnsi="Arial"/>
                <w:sz w:val="14"/>
                <w:szCs w:val="14"/>
                <w:color w:val="auto"/>
              </w:rPr>
              <w:t>Treasury stock, at cost, 106,727 and 1,347 shares, respectively</w:t>
            </w:r>
          </w:p>
        </w:tc>
        <w:tc>
          <w:tcPr>
            <w:tcW w:w="220" w:type="dxa"/>
            <w:vAlign w:val="bottom"/>
            <w:shd w:val="clear" w:color="auto" w:fill="CCEEFF"/>
          </w:tcPr>
          <w:p>
            <w:pPr>
              <w:spacing w:after="0"/>
              <w:rPr>
                <w:sz w:val="17"/>
                <w:szCs w:val="17"/>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(1,293)</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(26)</w:t>
            </w:r>
          </w:p>
        </w:tc>
        <w:tc>
          <w:tcPr>
            <w:tcW w:w="0" w:type="dxa"/>
            <w:vAlign w:val="bottom"/>
          </w:tcPr>
          <w:p>
            <w:pPr>
              <w:spacing w:after="0"/>
              <w:rPr>
                <w:sz w:val="1"/>
                <w:szCs w:val="1"/>
                <w:color w:val="auto"/>
              </w:rPr>
            </w:pPr>
          </w:p>
        </w:tc>
      </w:tr>
      <w:tr>
        <w:trPr>
          <w:trHeight w:val="79"/>
        </w:trPr>
        <w:tc>
          <w:tcPr>
            <w:tcW w:w="8440" w:type="dxa"/>
            <w:vAlign w:val="bottom"/>
            <w:shd w:val="clear" w:color="auto" w:fill="CCEEFF"/>
          </w:tcPr>
          <w:p>
            <w:pPr>
              <w:spacing w:after="0"/>
              <w:rPr>
                <w:sz w:val="6"/>
                <w:szCs w:val="6"/>
                <w:color w:val="auto"/>
              </w:rPr>
            </w:pPr>
          </w:p>
        </w:tc>
        <w:tc>
          <w:tcPr>
            <w:tcW w:w="220" w:type="dxa"/>
            <w:vAlign w:val="bottom"/>
            <w:tcBorders>
              <w:bottom w:val="single" w:sz="8" w:color="auto"/>
            </w:tcBorders>
            <w:shd w:val="clear" w:color="auto" w:fill="CCEEFF"/>
          </w:tcPr>
          <w:p>
            <w:pPr>
              <w:spacing w:after="0"/>
              <w:rPr>
                <w:sz w:val="6"/>
                <w:szCs w:val="6"/>
                <w:color w:val="auto"/>
              </w:rPr>
            </w:pPr>
          </w:p>
        </w:tc>
        <w:tc>
          <w:tcPr>
            <w:tcW w:w="114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60" w:type="dxa"/>
            <w:vAlign w:val="bottom"/>
            <w:tcBorders>
              <w:bottom w:val="single" w:sz="8" w:color="auto"/>
            </w:tcBorders>
            <w:shd w:val="clear" w:color="auto" w:fill="CCEEFF"/>
          </w:tcPr>
          <w:p>
            <w:pPr>
              <w:spacing w:after="0"/>
              <w:rPr>
                <w:sz w:val="6"/>
                <w:szCs w:val="6"/>
                <w:color w:val="auto"/>
              </w:rPr>
            </w:pPr>
          </w:p>
        </w:tc>
        <w:tc>
          <w:tcPr>
            <w:tcW w:w="118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84"/>
        </w:trPr>
        <w:tc>
          <w:tcPr>
            <w:tcW w:w="8440" w:type="dxa"/>
            <w:vAlign w:val="bottom"/>
          </w:tcPr>
          <w:p>
            <w:pPr>
              <w:ind w:left="1140"/>
              <w:spacing w:after="0"/>
              <w:rPr>
                <w:sz w:val="20"/>
                <w:szCs w:val="20"/>
                <w:color w:val="auto"/>
              </w:rPr>
            </w:pPr>
            <w:r>
              <w:rPr>
                <w:rFonts w:ascii="Arial" w:cs="Arial" w:eastAsia="Arial" w:hAnsi="Arial"/>
                <w:sz w:val="14"/>
                <w:szCs w:val="14"/>
                <w:color w:val="auto"/>
              </w:rPr>
              <w:t>Total Matador Resources Company shareholders’ equity</w:t>
            </w:r>
          </w:p>
        </w:tc>
        <w:tc>
          <w:tcPr>
            <w:tcW w:w="220" w:type="dxa"/>
            <w:vAlign w:val="bottom"/>
          </w:tcPr>
          <w:p>
            <w:pPr>
              <w:spacing w:after="0"/>
              <w:rPr>
                <w:sz w:val="16"/>
                <w:szCs w:val="16"/>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1,991,349</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tcPr>
          <w:p>
            <w:pPr>
              <w:jc w:val="right"/>
              <w:ind w:right="28"/>
              <w:spacing w:after="0"/>
              <w:rPr>
                <w:sz w:val="20"/>
                <w:szCs w:val="20"/>
                <w:color w:val="auto"/>
              </w:rPr>
            </w:pPr>
            <w:r>
              <w:rPr>
                <w:rFonts w:ascii="Arial" w:cs="Arial" w:eastAsia="Arial" w:hAnsi="Arial"/>
                <w:sz w:val="14"/>
                <w:szCs w:val="14"/>
                <w:color w:val="auto"/>
              </w:rPr>
              <w:t>1,833,654</w:t>
            </w:r>
          </w:p>
        </w:tc>
        <w:tc>
          <w:tcPr>
            <w:tcW w:w="0" w:type="dxa"/>
            <w:vAlign w:val="bottom"/>
          </w:tcPr>
          <w:p>
            <w:pPr>
              <w:spacing w:after="0"/>
              <w:rPr>
                <w:sz w:val="1"/>
                <w:szCs w:val="1"/>
                <w:color w:val="auto"/>
              </w:rPr>
            </w:pPr>
          </w:p>
        </w:tc>
      </w:tr>
    </w:tbl>
    <w:p>
      <w:pPr>
        <w:sectPr>
          <w:pgSz w:w="11900" w:h="16919" w:orient="portrait"/>
          <w:cols w:equalWidth="0" w:num="1">
            <w:col w:w="11240"/>
          </w:cols>
          <w:pgMar w:left="320" w:top="125" w:right="339" w:bottom="0" w:gutter="0" w:footer="0" w:header="0"/>
        </w:sectPr>
      </w:pPr>
    </w:p>
    <w:bookmarkStart w:id="3" w:name="page4"/>
    <w:bookmarkEnd w:id="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8440" w:type="dxa"/>
            <w:vAlign w:val="bottom"/>
            <w:shd w:val="clear" w:color="auto" w:fill="CCEEFF"/>
          </w:tcPr>
          <w:p>
            <w:pPr>
              <w:jc w:val="right"/>
              <w:ind w:right="5728"/>
              <w:spacing w:after="0"/>
              <w:rPr>
                <w:sz w:val="20"/>
                <w:szCs w:val="20"/>
                <w:color w:val="auto"/>
              </w:rPr>
            </w:pPr>
            <w:r>
              <w:rPr>
                <w:rFonts w:ascii="Arial" w:cs="Arial" w:eastAsia="Arial" w:hAnsi="Arial"/>
                <w:sz w:val="14"/>
                <w:szCs w:val="14"/>
                <w:color w:val="auto"/>
              </w:rPr>
              <w:t>Non-controlling interest in subsidiaries</w:t>
            </w:r>
          </w:p>
        </w:tc>
        <w:tc>
          <w:tcPr>
            <w:tcW w:w="380" w:type="dxa"/>
            <w:vAlign w:val="bottom"/>
            <w:shd w:val="clear" w:color="auto" w:fill="CCEEFF"/>
          </w:tcPr>
          <w:p>
            <w:pPr>
              <w:spacing w:after="0"/>
              <w:rPr>
                <w:sz w:val="17"/>
                <w:szCs w:val="17"/>
                <w:color w:val="auto"/>
              </w:rPr>
            </w:pPr>
          </w:p>
        </w:tc>
        <w:tc>
          <w:tcPr>
            <w:tcW w:w="98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163,031</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6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135,798</w:t>
            </w:r>
          </w:p>
        </w:tc>
        <w:tc>
          <w:tcPr>
            <w:tcW w:w="0" w:type="dxa"/>
            <w:vAlign w:val="bottom"/>
          </w:tcPr>
          <w:p>
            <w:pPr>
              <w:spacing w:after="0"/>
              <w:rPr>
                <w:sz w:val="1"/>
                <w:szCs w:val="1"/>
                <w:color w:val="auto"/>
              </w:rPr>
            </w:pPr>
          </w:p>
        </w:tc>
      </w:tr>
      <w:tr>
        <w:trPr>
          <w:trHeight w:val="68"/>
        </w:trPr>
        <w:tc>
          <w:tcPr>
            <w:tcW w:w="8440" w:type="dxa"/>
            <w:vAlign w:val="bottom"/>
            <w:shd w:val="clear" w:color="auto" w:fill="CCEEFF"/>
          </w:tcPr>
          <w:p>
            <w:pPr>
              <w:spacing w:after="0"/>
              <w:rPr>
                <w:sz w:val="5"/>
                <w:szCs w:val="5"/>
                <w:color w:val="auto"/>
              </w:rPr>
            </w:pPr>
          </w:p>
        </w:tc>
        <w:tc>
          <w:tcPr>
            <w:tcW w:w="380" w:type="dxa"/>
            <w:vAlign w:val="bottom"/>
            <w:tcBorders>
              <w:bottom w:val="single" w:sz="8" w:color="auto"/>
            </w:tcBorders>
            <w:shd w:val="clear" w:color="auto" w:fill="CCEEFF"/>
          </w:tcPr>
          <w:p>
            <w:pPr>
              <w:spacing w:after="0"/>
              <w:rPr>
                <w:sz w:val="5"/>
                <w:szCs w:val="5"/>
                <w:color w:val="auto"/>
              </w:rPr>
            </w:pPr>
          </w:p>
        </w:tc>
        <w:tc>
          <w:tcPr>
            <w:tcW w:w="980" w:type="dxa"/>
            <w:vAlign w:val="bottom"/>
            <w:tcBorders>
              <w:bottom w:val="single" w:sz="8" w:color="auto"/>
            </w:tcBorders>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80" w:type="dxa"/>
            <w:vAlign w:val="bottom"/>
            <w:tcBorders>
              <w:bottom w:val="single" w:sz="8" w:color="auto"/>
            </w:tcBorders>
            <w:shd w:val="clear" w:color="auto" w:fill="CCEEFF"/>
          </w:tcPr>
          <w:p>
            <w:pPr>
              <w:spacing w:after="0"/>
              <w:rPr>
                <w:sz w:val="5"/>
                <w:szCs w:val="5"/>
                <w:color w:val="auto"/>
              </w:rPr>
            </w:pPr>
          </w:p>
        </w:tc>
        <w:tc>
          <w:tcPr>
            <w:tcW w:w="960" w:type="dxa"/>
            <w:vAlign w:val="bottom"/>
            <w:tcBorders>
              <w:bottom w:val="single" w:sz="8" w:color="auto"/>
            </w:tcBorders>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70"/>
        </w:trPr>
        <w:tc>
          <w:tcPr>
            <w:tcW w:w="8440" w:type="dxa"/>
            <w:vAlign w:val="bottom"/>
          </w:tcPr>
          <w:p>
            <w:pPr>
              <w:jc w:val="right"/>
              <w:ind w:right="5728"/>
              <w:spacing w:after="0"/>
              <w:rPr>
                <w:sz w:val="20"/>
                <w:szCs w:val="20"/>
                <w:color w:val="auto"/>
              </w:rPr>
            </w:pPr>
            <w:r>
              <w:rPr>
                <w:rFonts w:ascii="Arial" w:cs="Arial" w:eastAsia="Arial" w:hAnsi="Arial"/>
                <w:sz w:val="14"/>
                <w:szCs w:val="14"/>
                <w:color w:val="auto"/>
              </w:rPr>
              <w:t>Total shareholders’ equity</w:t>
            </w:r>
          </w:p>
        </w:tc>
        <w:tc>
          <w:tcPr>
            <w:tcW w:w="380" w:type="dxa"/>
            <w:vAlign w:val="bottom"/>
          </w:tcPr>
          <w:p>
            <w:pPr>
              <w:spacing w:after="0"/>
              <w:rPr>
                <w:sz w:val="14"/>
                <w:szCs w:val="14"/>
                <w:color w:val="auto"/>
              </w:rPr>
            </w:pPr>
          </w:p>
        </w:tc>
        <w:tc>
          <w:tcPr>
            <w:tcW w:w="980" w:type="dxa"/>
            <w:vAlign w:val="bottom"/>
            <w:vMerge w:val="restart"/>
          </w:tcPr>
          <w:p>
            <w:pPr>
              <w:jc w:val="right"/>
              <w:ind w:right="48"/>
              <w:spacing w:after="0"/>
              <w:rPr>
                <w:sz w:val="20"/>
                <w:szCs w:val="20"/>
                <w:color w:val="auto"/>
              </w:rPr>
            </w:pPr>
            <w:r>
              <w:rPr>
                <w:rFonts w:ascii="Arial" w:cs="Arial" w:eastAsia="Arial" w:hAnsi="Arial"/>
                <w:sz w:val="14"/>
                <w:szCs w:val="14"/>
                <w:color w:val="auto"/>
              </w:rPr>
              <w:t>2,154,380</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60" w:type="dxa"/>
            <w:vAlign w:val="bottom"/>
            <w:vMerge w:val="restart"/>
          </w:tcPr>
          <w:p>
            <w:pPr>
              <w:jc w:val="right"/>
              <w:ind w:right="28"/>
              <w:spacing w:after="0"/>
              <w:rPr>
                <w:sz w:val="20"/>
                <w:szCs w:val="20"/>
                <w:color w:val="auto"/>
              </w:rPr>
            </w:pPr>
            <w:r>
              <w:rPr>
                <w:rFonts w:ascii="Arial" w:cs="Arial" w:eastAsia="Arial" w:hAnsi="Arial"/>
                <w:sz w:val="14"/>
                <w:szCs w:val="14"/>
                <w:color w:val="auto"/>
              </w:rPr>
              <w:t>1,969,452</w:t>
            </w:r>
          </w:p>
        </w:tc>
        <w:tc>
          <w:tcPr>
            <w:tcW w:w="0" w:type="dxa"/>
            <w:vAlign w:val="bottom"/>
          </w:tcPr>
          <w:p>
            <w:pPr>
              <w:spacing w:after="0"/>
              <w:rPr>
                <w:sz w:val="1"/>
                <w:szCs w:val="1"/>
                <w:color w:val="auto"/>
              </w:rPr>
            </w:pPr>
          </w:p>
        </w:tc>
      </w:tr>
      <w:tr>
        <w:trPr>
          <w:trHeight w:val="74"/>
        </w:trPr>
        <w:tc>
          <w:tcPr>
            <w:tcW w:w="8440" w:type="dxa"/>
            <w:vAlign w:val="bottom"/>
            <w:tcBorders>
              <w:bottom w:val="single" w:sz="8" w:color="CCEEFF"/>
            </w:tcBorders>
          </w:tcPr>
          <w:p>
            <w:pPr>
              <w:spacing w:after="0"/>
              <w:rPr>
                <w:sz w:val="6"/>
                <w:szCs w:val="6"/>
                <w:color w:val="auto"/>
              </w:rPr>
            </w:pPr>
          </w:p>
        </w:tc>
        <w:tc>
          <w:tcPr>
            <w:tcW w:w="380" w:type="dxa"/>
            <w:vAlign w:val="bottom"/>
            <w:tcBorders>
              <w:bottom w:val="single" w:sz="8" w:color="auto"/>
            </w:tcBorders>
          </w:tcPr>
          <w:p>
            <w:pPr>
              <w:spacing w:after="0"/>
              <w:rPr>
                <w:sz w:val="6"/>
                <w:szCs w:val="6"/>
                <w:color w:val="auto"/>
              </w:rPr>
            </w:pPr>
          </w:p>
        </w:tc>
        <w:tc>
          <w:tcPr>
            <w:tcW w:w="98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380" w:type="dxa"/>
            <w:vAlign w:val="bottom"/>
            <w:tcBorders>
              <w:bottom w:val="single" w:sz="8" w:color="auto"/>
            </w:tcBorders>
          </w:tcPr>
          <w:p>
            <w:pPr>
              <w:spacing w:after="0"/>
              <w:rPr>
                <w:sz w:val="6"/>
                <w:szCs w:val="6"/>
                <w:color w:val="auto"/>
              </w:rPr>
            </w:pPr>
          </w:p>
        </w:tc>
        <w:tc>
          <w:tcPr>
            <w:tcW w:w="96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6"/>
        </w:trPr>
        <w:tc>
          <w:tcPr>
            <w:tcW w:w="8440" w:type="dxa"/>
            <w:vAlign w:val="bottom"/>
            <w:shd w:val="clear" w:color="auto" w:fill="CCEEFF"/>
          </w:tcPr>
          <w:p>
            <w:pPr>
              <w:jc w:val="right"/>
              <w:ind w:right="4908"/>
              <w:spacing w:after="0"/>
              <w:rPr>
                <w:sz w:val="20"/>
                <w:szCs w:val="20"/>
                <w:color w:val="auto"/>
              </w:rPr>
            </w:pPr>
            <w:r>
              <w:rPr>
                <w:rFonts w:ascii="Arial" w:cs="Arial" w:eastAsia="Arial" w:hAnsi="Arial"/>
                <w:sz w:val="14"/>
                <w:szCs w:val="14"/>
                <w:color w:val="auto"/>
              </w:rPr>
              <w:t>Total liabilities and shareholders’ equity</w:t>
            </w:r>
          </w:p>
        </w:tc>
        <w:tc>
          <w:tcPr>
            <w:tcW w:w="380" w:type="dxa"/>
            <w:vAlign w:val="bottom"/>
            <w:vMerge w:val="restart"/>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98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4,333,671</w:t>
            </w:r>
          </w:p>
        </w:tc>
        <w:tc>
          <w:tcPr>
            <w:tcW w:w="100" w:type="dxa"/>
            <w:vAlign w:val="bottom"/>
            <w:shd w:val="clear" w:color="auto" w:fill="CCEEFF"/>
          </w:tcPr>
          <w:p>
            <w:pPr>
              <w:spacing w:after="0"/>
              <w:rPr>
                <w:sz w:val="15"/>
                <w:szCs w:val="15"/>
                <w:color w:val="auto"/>
              </w:rPr>
            </w:pPr>
          </w:p>
        </w:tc>
        <w:tc>
          <w:tcPr>
            <w:tcW w:w="380" w:type="dxa"/>
            <w:vAlign w:val="bottom"/>
            <w:vMerge w:val="restart"/>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96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4,069,676</w:t>
            </w:r>
          </w:p>
        </w:tc>
        <w:tc>
          <w:tcPr>
            <w:tcW w:w="0" w:type="dxa"/>
            <w:vAlign w:val="bottom"/>
          </w:tcPr>
          <w:p>
            <w:pPr>
              <w:spacing w:after="0"/>
              <w:rPr>
                <w:sz w:val="1"/>
                <w:szCs w:val="1"/>
                <w:color w:val="auto"/>
              </w:rPr>
            </w:pPr>
          </w:p>
        </w:tc>
      </w:tr>
      <w:tr>
        <w:trPr>
          <w:trHeight w:val="60"/>
        </w:trPr>
        <w:tc>
          <w:tcPr>
            <w:tcW w:w="8440" w:type="dxa"/>
            <w:vAlign w:val="bottom"/>
            <w:tcBorders>
              <w:bottom w:val="single" w:sz="8" w:color="CCEEFF"/>
            </w:tcBorders>
            <w:shd w:val="clear" w:color="auto" w:fill="CCEEFF"/>
          </w:tcPr>
          <w:p>
            <w:pPr>
              <w:spacing w:after="0"/>
              <w:rPr>
                <w:sz w:val="5"/>
                <w:szCs w:val="5"/>
                <w:color w:val="auto"/>
              </w:rPr>
            </w:pPr>
          </w:p>
        </w:tc>
        <w:tc>
          <w:tcPr>
            <w:tcW w:w="380" w:type="dxa"/>
            <w:vAlign w:val="bottom"/>
            <w:tcBorders>
              <w:bottom w:val="single" w:sz="8" w:color="auto"/>
            </w:tcBorders>
            <w:vMerge w:val="continue"/>
            <w:shd w:val="clear" w:color="auto" w:fill="CCEEFF"/>
          </w:tcPr>
          <w:p>
            <w:pPr>
              <w:spacing w:after="0"/>
              <w:rPr>
                <w:sz w:val="5"/>
                <w:szCs w:val="5"/>
                <w:color w:val="auto"/>
              </w:rPr>
            </w:pPr>
          </w:p>
        </w:tc>
        <w:tc>
          <w:tcPr>
            <w:tcW w:w="980" w:type="dxa"/>
            <w:vAlign w:val="bottom"/>
            <w:tcBorders>
              <w:bottom w:val="single" w:sz="8" w:color="auto"/>
            </w:tcBorders>
            <w:vMerge w:val="continue"/>
            <w:shd w:val="clear" w:color="auto" w:fill="CCEEFF"/>
          </w:tcPr>
          <w:p>
            <w:pPr>
              <w:spacing w:after="0"/>
              <w:rPr>
                <w:sz w:val="5"/>
                <w:szCs w:val="5"/>
                <w:color w:val="auto"/>
              </w:rPr>
            </w:pPr>
          </w:p>
        </w:tc>
        <w:tc>
          <w:tcPr>
            <w:tcW w:w="100" w:type="dxa"/>
            <w:vAlign w:val="bottom"/>
            <w:tcBorders>
              <w:bottom w:val="single" w:sz="8" w:color="CCEEFF"/>
            </w:tcBorders>
            <w:shd w:val="clear" w:color="auto" w:fill="CCEEFF"/>
          </w:tcPr>
          <w:p>
            <w:pPr>
              <w:spacing w:after="0"/>
              <w:rPr>
                <w:sz w:val="5"/>
                <w:szCs w:val="5"/>
                <w:color w:val="auto"/>
              </w:rPr>
            </w:pPr>
          </w:p>
        </w:tc>
        <w:tc>
          <w:tcPr>
            <w:tcW w:w="380" w:type="dxa"/>
            <w:vAlign w:val="bottom"/>
            <w:tcBorders>
              <w:bottom w:val="single" w:sz="8" w:color="auto"/>
            </w:tcBorders>
            <w:vMerge w:val="continue"/>
            <w:shd w:val="clear" w:color="auto" w:fill="CCEEFF"/>
          </w:tcPr>
          <w:p>
            <w:pPr>
              <w:spacing w:after="0"/>
              <w:rPr>
                <w:sz w:val="5"/>
                <w:szCs w:val="5"/>
                <w:color w:val="auto"/>
              </w:rPr>
            </w:pPr>
          </w:p>
        </w:tc>
        <w:tc>
          <w:tcPr>
            <w:tcW w:w="960" w:type="dxa"/>
            <w:vAlign w:val="bottom"/>
            <w:tcBorders>
              <w:bottom w:val="single" w:sz="8" w:color="auto"/>
            </w:tcBorders>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84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40"/>
          </w:cols>
          <w:pgMar w:left="320" w:top="383" w:right="33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ind w:left="3820"/>
        <w:spacing w:after="0"/>
        <w:rPr>
          <w:sz w:val="20"/>
          <w:szCs w:val="20"/>
          <w:color w:val="auto"/>
        </w:rPr>
      </w:pPr>
      <w:r>
        <w:rPr>
          <w:rFonts w:ascii="Arial" w:cs="Arial" w:eastAsia="Arial" w:hAnsi="Arial"/>
          <w:sz w:val="18"/>
          <w:szCs w:val="18"/>
          <w:b w:val="1"/>
          <w:bCs w:val="1"/>
          <w:color w:val="auto"/>
        </w:rPr>
        <w:t>Matador Resources Company and Subsidiaries</w:t>
      </w:r>
    </w:p>
    <w:p>
      <w:pPr>
        <w:spacing w:after="0" w:line="171" w:lineRule="exact"/>
        <w:rPr>
          <w:sz w:val="20"/>
          <w:szCs w:val="20"/>
          <w:color w:val="auto"/>
        </w:rPr>
      </w:pPr>
    </w:p>
    <w:p>
      <w:pPr>
        <w:ind w:left="2260"/>
        <w:spacing w:after="0"/>
        <w:rPr>
          <w:sz w:val="20"/>
          <w:szCs w:val="20"/>
          <w:color w:val="auto"/>
        </w:rPr>
      </w:pPr>
      <w:r>
        <w:rPr>
          <w:rFonts w:ascii="Arial" w:cs="Arial" w:eastAsia="Arial" w:hAnsi="Arial"/>
          <w:sz w:val="18"/>
          <w:szCs w:val="18"/>
          <w:b w:val="1"/>
          <w:bCs w:val="1"/>
          <w:color w:val="auto"/>
        </w:rPr>
        <w:t>CONDENSED CONSOLIDATED STATEMENTS OF OPERATIONS — UNAUDITED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153" w:lineRule="exact"/>
        <w:rPr>
          <w:sz w:val="20"/>
          <w:szCs w:val="20"/>
          <w:color w:val="auto"/>
        </w:rPr>
      </w:pPr>
    </w:p>
    <w:p>
      <w:pPr>
        <w:ind w:left="9340"/>
        <w:spacing w:after="0"/>
        <w:rPr>
          <w:sz w:val="20"/>
          <w:szCs w:val="20"/>
          <w:color w:val="auto"/>
        </w:rPr>
      </w:pPr>
      <w:r>
        <w:rPr>
          <w:rFonts w:ascii="Arial" w:cs="Arial" w:eastAsia="Arial" w:hAnsi="Arial"/>
          <w:sz w:val="18"/>
          <w:szCs w:val="18"/>
          <w:b w:val="1"/>
          <w:bCs w:val="1"/>
          <w:color w:val="auto"/>
        </w:rPr>
        <w:t>Three Months Ended</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9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920" w:type="dxa"/>
            <w:vAlign w:val="bottom"/>
            <w:tcBorders>
              <w:bottom w:val="single" w:sz="8" w:color="auto"/>
            </w:tcBorders>
            <w:gridSpan w:val="4"/>
          </w:tcPr>
          <w:p>
            <w:pPr>
              <w:jc w:val="right"/>
              <w:ind w:right="550"/>
              <w:spacing w:after="0"/>
              <w:rPr>
                <w:sz w:val="20"/>
                <w:szCs w:val="20"/>
                <w:color w:val="auto"/>
              </w:rPr>
            </w:pPr>
            <w:r>
              <w:rPr>
                <w:rFonts w:ascii="Arial" w:cs="Arial" w:eastAsia="Arial" w:hAnsi="Arial"/>
                <w:sz w:val="18"/>
                <w:szCs w:val="18"/>
                <w:b w:val="1"/>
                <w:bCs w:val="1"/>
                <w:color w:val="auto"/>
              </w:rPr>
              <w:t>March 31,</w:t>
            </w:r>
          </w:p>
        </w:tc>
        <w:tc>
          <w:tcPr>
            <w:tcW w:w="0" w:type="dxa"/>
            <w:vAlign w:val="bottom"/>
          </w:tcPr>
          <w:p>
            <w:pPr>
              <w:spacing w:after="0"/>
              <w:rPr>
                <w:sz w:val="1"/>
                <w:szCs w:val="1"/>
                <w:color w:val="auto"/>
              </w:rPr>
            </w:pPr>
          </w:p>
        </w:tc>
      </w:tr>
      <w:tr>
        <w:trPr>
          <w:trHeight w:val="241"/>
        </w:trPr>
        <w:tc>
          <w:tcPr>
            <w:tcW w:w="9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23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230"/>
              <w:spacing w:after="0"/>
              <w:rPr>
                <w:sz w:val="20"/>
                <w:szCs w:val="20"/>
                <w:color w:val="auto"/>
              </w:rPr>
            </w:pPr>
            <w:r>
              <w:rPr>
                <w:rFonts w:ascii="Arial" w:cs="Arial" w:eastAsia="Arial" w:hAnsi="Arial"/>
                <w:sz w:val="18"/>
                <w:szCs w:val="18"/>
                <w:b w:val="1"/>
                <w:bCs w:val="1"/>
                <w:color w:val="auto"/>
              </w:rPr>
              <w:t>2019</w:t>
            </w:r>
          </w:p>
        </w:tc>
        <w:tc>
          <w:tcPr>
            <w:tcW w:w="0" w:type="dxa"/>
            <w:vAlign w:val="bottom"/>
          </w:tcPr>
          <w:p>
            <w:pPr>
              <w:spacing w:after="0"/>
              <w:rPr>
                <w:sz w:val="1"/>
                <w:szCs w:val="1"/>
                <w:color w:val="auto"/>
              </w:rPr>
            </w:pPr>
          </w:p>
        </w:tc>
      </w:tr>
      <w:tr>
        <w:trPr>
          <w:trHeight w:val="27"/>
        </w:trPr>
        <w:tc>
          <w:tcPr>
            <w:tcW w:w="9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9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9100" w:type="dxa"/>
            <w:vAlign w:val="bottom"/>
          </w:tcPr>
          <w:p>
            <w:pPr>
              <w:ind w:left="180"/>
              <w:spacing w:after="0"/>
              <w:rPr>
                <w:sz w:val="20"/>
                <w:szCs w:val="20"/>
                <w:color w:val="auto"/>
              </w:rPr>
            </w:pPr>
            <w:r>
              <w:rPr>
                <w:rFonts w:ascii="Arial" w:cs="Arial" w:eastAsia="Arial" w:hAnsi="Arial"/>
                <w:sz w:val="18"/>
                <w:szCs w:val="18"/>
                <w:color w:val="auto"/>
              </w:rPr>
              <w:t>Oil and natural gas revenues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197,914</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193,269</w:t>
            </w:r>
          </w:p>
        </w:tc>
        <w:tc>
          <w:tcPr>
            <w:tcW w:w="0" w:type="dxa"/>
            <w:vAlign w:val="bottom"/>
          </w:tcPr>
          <w:p>
            <w:pPr>
              <w:spacing w:after="0"/>
              <w:rPr>
                <w:sz w:val="1"/>
                <w:szCs w:val="1"/>
                <w:color w:val="auto"/>
              </w:rPr>
            </w:pPr>
          </w:p>
        </w:tc>
      </w:tr>
      <w:tr>
        <w:trPr>
          <w:trHeight w:val="27"/>
        </w:trPr>
        <w:tc>
          <w:tcPr>
            <w:tcW w:w="9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1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Third-party midstream services revenues</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15,830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11,838</w:t>
            </w:r>
          </w:p>
        </w:tc>
        <w:tc>
          <w:tcPr>
            <w:tcW w:w="0" w:type="dxa"/>
            <w:vAlign w:val="bottom"/>
          </w:tcPr>
          <w:p>
            <w:pPr>
              <w:spacing w:after="0"/>
              <w:rPr>
                <w:sz w:val="1"/>
                <w:szCs w:val="1"/>
                <w:color w:val="auto"/>
              </w:rPr>
            </w:pPr>
          </w:p>
        </w:tc>
      </w:tr>
      <w:tr>
        <w:trPr>
          <w:trHeight w:val="243"/>
        </w:trPr>
        <w:tc>
          <w:tcPr>
            <w:tcW w:w="9100" w:type="dxa"/>
            <w:vAlign w:val="bottom"/>
          </w:tcPr>
          <w:p>
            <w:pPr>
              <w:ind w:left="180"/>
              <w:spacing w:after="0"/>
              <w:rPr>
                <w:sz w:val="20"/>
                <w:szCs w:val="20"/>
                <w:color w:val="auto"/>
              </w:rPr>
            </w:pPr>
            <w:r>
              <w:rPr>
                <w:rFonts w:ascii="Arial" w:cs="Arial" w:eastAsia="Arial" w:hAnsi="Arial"/>
                <w:sz w:val="18"/>
                <w:szCs w:val="18"/>
                <w:color w:val="auto"/>
              </w:rPr>
              <w:t>Sales of purchased natural gas</w:t>
            </w: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10,544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11,231</w:t>
            </w:r>
          </w:p>
        </w:tc>
        <w:tc>
          <w:tcPr>
            <w:tcW w:w="0" w:type="dxa"/>
            <w:vAlign w:val="bottom"/>
          </w:tcPr>
          <w:p>
            <w:pPr>
              <w:spacing w:after="0"/>
              <w:rPr>
                <w:sz w:val="1"/>
                <w:szCs w:val="1"/>
                <w:color w:val="auto"/>
              </w:rPr>
            </w:pPr>
          </w:p>
        </w:tc>
      </w:tr>
      <w:tr>
        <w:trPr>
          <w:trHeight w:val="27"/>
        </w:trPr>
        <w:tc>
          <w:tcPr>
            <w:tcW w:w="9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1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Realized gain on derivatives</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10,867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3,270</w:t>
            </w:r>
          </w:p>
        </w:tc>
        <w:tc>
          <w:tcPr>
            <w:tcW w:w="0" w:type="dxa"/>
            <w:vAlign w:val="bottom"/>
          </w:tcPr>
          <w:p>
            <w:pPr>
              <w:spacing w:after="0"/>
              <w:rPr>
                <w:sz w:val="1"/>
                <w:szCs w:val="1"/>
                <w:color w:val="auto"/>
              </w:rPr>
            </w:pPr>
          </w:p>
        </w:tc>
      </w:tr>
      <w:tr>
        <w:trPr>
          <w:trHeight w:val="243"/>
        </w:trPr>
        <w:tc>
          <w:tcPr>
            <w:tcW w:w="9100" w:type="dxa"/>
            <w:vAlign w:val="bottom"/>
          </w:tcPr>
          <w:p>
            <w:pPr>
              <w:ind w:left="180"/>
              <w:spacing w:after="0"/>
              <w:rPr>
                <w:sz w:val="20"/>
                <w:szCs w:val="20"/>
                <w:color w:val="auto"/>
              </w:rPr>
            </w:pPr>
            <w:r>
              <w:rPr>
                <w:rFonts w:ascii="Arial" w:cs="Arial" w:eastAsia="Arial" w:hAnsi="Arial"/>
                <w:sz w:val="18"/>
                <w:szCs w:val="18"/>
                <w:color w:val="auto"/>
              </w:rPr>
              <w:t>Unrealized gain (loss) on derivatives</w:t>
            </w: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136,430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(45,719)</w:t>
            </w:r>
          </w:p>
        </w:tc>
        <w:tc>
          <w:tcPr>
            <w:tcW w:w="0" w:type="dxa"/>
            <w:vAlign w:val="bottom"/>
          </w:tcPr>
          <w:p>
            <w:pPr>
              <w:spacing w:after="0"/>
              <w:rPr>
                <w:sz w:val="1"/>
                <w:szCs w:val="1"/>
                <w:color w:val="auto"/>
              </w:rPr>
            </w:pPr>
          </w:p>
        </w:tc>
      </w:tr>
      <w:tr>
        <w:trPr>
          <w:trHeight w:val="27"/>
        </w:trPr>
        <w:tc>
          <w:tcPr>
            <w:tcW w:w="9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91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revenues</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371,585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173,889</w:t>
            </w:r>
          </w:p>
        </w:tc>
        <w:tc>
          <w:tcPr>
            <w:tcW w:w="0" w:type="dxa"/>
            <w:vAlign w:val="bottom"/>
          </w:tcPr>
          <w:p>
            <w:pPr>
              <w:spacing w:after="0"/>
              <w:rPr>
                <w:sz w:val="1"/>
                <w:szCs w:val="1"/>
                <w:color w:val="auto"/>
              </w:rPr>
            </w:pPr>
          </w:p>
        </w:tc>
      </w:tr>
      <w:tr>
        <w:trPr>
          <w:trHeight w:val="243"/>
        </w:trPr>
        <w:tc>
          <w:tcPr>
            <w:tcW w:w="9100" w:type="dxa"/>
            <w:vAlign w:val="bottom"/>
          </w:tcPr>
          <w:p>
            <w:pPr>
              <w:ind w:left="40"/>
              <w:spacing w:after="0"/>
              <w:rPr>
                <w:sz w:val="20"/>
                <w:szCs w:val="20"/>
                <w:color w:val="auto"/>
              </w:rPr>
            </w:pPr>
            <w:r>
              <w:rPr>
                <w:rFonts w:ascii="Arial" w:cs="Arial" w:eastAsia="Arial" w:hAnsi="Arial"/>
                <w:sz w:val="18"/>
                <w:szCs w:val="18"/>
                <w:color w:val="auto"/>
              </w:rPr>
              <w:t>Expenses</w:t>
            </w:r>
          </w:p>
        </w:tc>
        <w:tc>
          <w:tcPr>
            <w:tcW w:w="2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9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1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Production taxes, transportation and processing</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21,716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19,665</w:t>
            </w:r>
          </w:p>
        </w:tc>
        <w:tc>
          <w:tcPr>
            <w:tcW w:w="0" w:type="dxa"/>
            <w:vAlign w:val="bottom"/>
          </w:tcPr>
          <w:p>
            <w:pPr>
              <w:spacing w:after="0"/>
              <w:rPr>
                <w:sz w:val="1"/>
                <w:szCs w:val="1"/>
                <w:color w:val="auto"/>
              </w:rPr>
            </w:pPr>
          </w:p>
        </w:tc>
      </w:tr>
      <w:tr>
        <w:trPr>
          <w:trHeight w:val="243"/>
        </w:trPr>
        <w:tc>
          <w:tcPr>
            <w:tcW w:w="9100" w:type="dxa"/>
            <w:vAlign w:val="bottom"/>
          </w:tcPr>
          <w:p>
            <w:pPr>
              <w:ind w:left="180"/>
              <w:spacing w:after="0"/>
              <w:rPr>
                <w:sz w:val="20"/>
                <w:szCs w:val="20"/>
                <w:color w:val="auto"/>
              </w:rPr>
            </w:pPr>
            <w:r>
              <w:rPr>
                <w:rFonts w:ascii="Arial" w:cs="Arial" w:eastAsia="Arial" w:hAnsi="Arial"/>
                <w:sz w:val="18"/>
                <w:szCs w:val="18"/>
                <w:color w:val="auto"/>
              </w:rPr>
              <w:t>Lease operating</w:t>
            </w: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30,910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31,163</w:t>
            </w:r>
          </w:p>
        </w:tc>
        <w:tc>
          <w:tcPr>
            <w:tcW w:w="0" w:type="dxa"/>
            <w:vAlign w:val="bottom"/>
          </w:tcPr>
          <w:p>
            <w:pPr>
              <w:spacing w:after="0"/>
              <w:rPr>
                <w:sz w:val="1"/>
                <w:szCs w:val="1"/>
                <w:color w:val="auto"/>
              </w:rPr>
            </w:pPr>
          </w:p>
        </w:tc>
      </w:tr>
      <w:tr>
        <w:trPr>
          <w:trHeight w:val="27"/>
        </w:trPr>
        <w:tc>
          <w:tcPr>
            <w:tcW w:w="9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1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Plant and other midstream services operating</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9,964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9,316</w:t>
            </w:r>
          </w:p>
        </w:tc>
        <w:tc>
          <w:tcPr>
            <w:tcW w:w="0" w:type="dxa"/>
            <w:vAlign w:val="bottom"/>
          </w:tcPr>
          <w:p>
            <w:pPr>
              <w:spacing w:after="0"/>
              <w:rPr>
                <w:sz w:val="1"/>
                <w:szCs w:val="1"/>
                <w:color w:val="auto"/>
              </w:rPr>
            </w:pPr>
          </w:p>
        </w:tc>
      </w:tr>
      <w:tr>
        <w:trPr>
          <w:trHeight w:val="243"/>
        </w:trPr>
        <w:tc>
          <w:tcPr>
            <w:tcW w:w="9100" w:type="dxa"/>
            <w:vAlign w:val="bottom"/>
          </w:tcPr>
          <w:p>
            <w:pPr>
              <w:ind w:left="180"/>
              <w:spacing w:after="0"/>
              <w:rPr>
                <w:sz w:val="20"/>
                <w:szCs w:val="20"/>
                <w:color w:val="auto"/>
              </w:rPr>
            </w:pPr>
            <w:r>
              <w:rPr>
                <w:rFonts w:ascii="Arial" w:cs="Arial" w:eastAsia="Arial" w:hAnsi="Arial"/>
                <w:sz w:val="18"/>
                <w:szCs w:val="18"/>
                <w:color w:val="auto"/>
              </w:rPr>
              <w:t>Purchased natural gas</w:t>
            </w: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8,058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10,634</w:t>
            </w:r>
          </w:p>
        </w:tc>
        <w:tc>
          <w:tcPr>
            <w:tcW w:w="0" w:type="dxa"/>
            <w:vAlign w:val="bottom"/>
          </w:tcPr>
          <w:p>
            <w:pPr>
              <w:spacing w:after="0"/>
              <w:rPr>
                <w:sz w:val="1"/>
                <w:szCs w:val="1"/>
                <w:color w:val="auto"/>
              </w:rPr>
            </w:pPr>
          </w:p>
        </w:tc>
      </w:tr>
      <w:tr>
        <w:trPr>
          <w:trHeight w:val="27"/>
        </w:trPr>
        <w:tc>
          <w:tcPr>
            <w:tcW w:w="9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1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Depletion, depreciation and amortization</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90,707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76,866</w:t>
            </w:r>
          </w:p>
        </w:tc>
        <w:tc>
          <w:tcPr>
            <w:tcW w:w="0" w:type="dxa"/>
            <w:vAlign w:val="bottom"/>
          </w:tcPr>
          <w:p>
            <w:pPr>
              <w:spacing w:after="0"/>
              <w:rPr>
                <w:sz w:val="1"/>
                <w:szCs w:val="1"/>
                <w:color w:val="auto"/>
              </w:rPr>
            </w:pPr>
          </w:p>
        </w:tc>
      </w:tr>
      <w:tr>
        <w:trPr>
          <w:trHeight w:val="243"/>
        </w:trPr>
        <w:tc>
          <w:tcPr>
            <w:tcW w:w="9100" w:type="dxa"/>
            <w:vAlign w:val="bottom"/>
          </w:tcPr>
          <w:p>
            <w:pPr>
              <w:ind w:left="180"/>
              <w:spacing w:after="0"/>
              <w:rPr>
                <w:sz w:val="20"/>
                <w:szCs w:val="20"/>
                <w:color w:val="auto"/>
              </w:rPr>
            </w:pPr>
            <w:r>
              <w:rPr>
                <w:rFonts w:ascii="Arial" w:cs="Arial" w:eastAsia="Arial" w:hAnsi="Arial"/>
                <w:sz w:val="18"/>
                <w:szCs w:val="18"/>
                <w:color w:val="auto"/>
              </w:rPr>
              <w:t>Accretion of asset retirement obligations</w:t>
            </w: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476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414</w:t>
            </w:r>
          </w:p>
        </w:tc>
        <w:tc>
          <w:tcPr>
            <w:tcW w:w="0" w:type="dxa"/>
            <w:vAlign w:val="bottom"/>
          </w:tcPr>
          <w:p>
            <w:pPr>
              <w:spacing w:after="0"/>
              <w:rPr>
                <w:sz w:val="1"/>
                <w:szCs w:val="1"/>
                <w:color w:val="auto"/>
              </w:rPr>
            </w:pPr>
          </w:p>
        </w:tc>
      </w:tr>
      <w:tr>
        <w:trPr>
          <w:trHeight w:val="27"/>
        </w:trPr>
        <w:tc>
          <w:tcPr>
            <w:tcW w:w="9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91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General and administrative</w:t>
            </w: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16,222</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18,290</w:t>
            </w:r>
          </w:p>
        </w:tc>
        <w:tc>
          <w:tcPr>
            <w:tcW w:w="0" w:type="dxa"/>
            <w:vAlign w:val="bottom"/>
          </w:tcPr>
          <w:p>
            <w:pPr>
              <w:spacing w:after="0"/>
              <w:rPr>
                <w:sz w:val="1"/>
                <w:szCs w:val="1"/>
                <w:color w:val="auto"/>
              </w:rPr>
            </w:pPr>
          </w:p>
        </w:tc>
      </w:tr>
      <w:tr>
        <w:trPr>
          <w:trHeight w:val="237"/>
        </w:trPr>
        <w:tc>
          <w:tcPr>
            <w:tcW w:w="9100" w:type="dxa"/>
            <w:vAlign w:val="bottom"/>
          </w:tcPr>
          <w:p>
            <w:pPr>
              <w:ind w:left="720"/>
              <w:spacing w:after="0"/>
              <w:rPr>
                <w:sz w:val="20"/>
                <w:szCs w:val="20"/>
                <w:color w:val="auto"/>
              </w:rPr>
            </w:pPr>
            <w:r>
              <w:rPr>
                <w:rFonts w:ascii="Arial" w:cs="Arial" w:eastAsia="Arial" w:hAnsi="Arial"/>
                <w:sz w:val="18"/>
                <w:szCs w:val="18"/>
                <w:color w:val="auto"/>
              </w:rPr>
              <w:t>Total expenses</w:t>
            </w:r>
          </w:p>
        </w:tc>
        <w:tc>
          <w:tcPr>
            <w:tcW w:w="2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178,053</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166,348</w:t>
            </w:r>
          </w:p>
        </w:tc>
        <w:tc>
          <w:tcPr>
            <w:tcW w:w="0" w:type="dxa"/>
            <w:vAlign w:val="bottom"/>
          </w:tcPr>
          <w:p>
            <w:pPr>
              <w:spacing w:after="0"/>
              <w:rPr>
                <w:sz w:val="1"/>
                <w:szCs w:val="1"/>
                <w:color w:val="auto"/>
              </w:rPr>
            </w:pPr>
          </w:p>
        </w:tc>
      </w:tr>
      <w:tr>
        <w:trPr>
          <w:trHeight w:val="27"/>
        </w:trPr>
        <w:tc>
          <w:tcPr>
            <w:tcW w:w="9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9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193,532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7,541</w:t>
            </w:r>
          </w:p>
        </w:tc>
        <w:tc>
          <w:tcPr>
            <w:tcW w:w="0" w:type="dxa"/>
            <w:vAlign w:val="bottom"/>
          </w:tcPr>
          <w:p>
            <w:pPr>
              <w:spacing w:after="0"/>
              <w:rPr>
                <w:sz w:val="1"/>
                <w:szCs w:val="1"/>
                <w:color w:val="auto"/>
              </w:rPr>
            </w:pPr>
          </w:p>
        </w:tc>
      </w:tr>
      <w:tr>
        <w:trPr>
          <w:trHeight w:val="243"/>
        </w:trPr>
        <w:tc>
          <w:tcPr>
            <w:tcW w:w="9100" w:type="dxa"/>
            <w:vAlign w:val="bottom"/>
          </w:tcPr>
          <w:p>
            <w:pPr>
              <w:ind w:left="40"/>
              <w:spacing w:after="0"/>
              <w:rPr>
                <w:sz w:val="20"/>
                <w:szCs w:val="20"/>
                <w:color w:val="auto"/>
              </w:rPr>
            </w:pPr>
            <w:r>
              <w:rPr>
                <w:rFonts w:ascii="Arial" w:cs="Arial" w:eastAsia="Arial" w:hAnsi="Arial"/>
                <w:sz w:val="18"/>
                <w:szCs w:val="18"/>
                <w:color w:val="auto"/>
              </w:rPr>
              <w:t>Other income (expense)</w:t>
            </w:r>
          </w:p>
        </w:tc>
        <w:tc>
          <w:tcPr>
            <w:tcW w:w="2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9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1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Interest expense</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(19,812)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(17,929)</w:t>
            </w:r>
          </w:p>
        </w:tc>
        <w:tc>
          <w:tcPr>
            <w:tcW w:w="0" w:type="dxa"/>
            <w:vAlign w:val="bottom"/>
          </w:tcPr>
          <w:p>
            <w:pPr>
              <w:spacing w:after="0"/>
              <w:rPr>
                <w:sz w:val="1"/>
                <w:szCs w:val="1"/>
                <w:color w:val="auto"/>
              </w:rPr>
            </w:pPr>
          </w:p>
        </w:tc>
      </w:tr>
      <w:tr>
        <w:trPr>
          <w:trHeight w:val="243"/>
        </w:trPr>
        <w:tc>
          <w:tcPr>
            <w:tcW w:w="9100" w:type="dxa"/>
            <w:vAlign w:val="bottom"/>
          </w:tcPr>
          <w:p>
            <w:pPr>
              <w:ind w:left="180"/>
              <w:spacing w:after="0"/>
              <w:rPr>
                <w:sz w:val="20"/>
                <w:szCs w:val="20"/>
                <w:color w:val="auto"/>
              </w:rPr>
            </w:pPr>
            <w:r>
              <w:rPr>
                <w:rFonts w:ascii="Arial" w:cs="Arial" w:eastAsia="Arial" w:hAnsi="Arial"/>
                <w:sz w:val="18"/>
                <w:szCs w:val="18"/>
                <w:color w:val="auto"/>
              </w:rPr>
              <w:t>Other income (expense)</w:t>
            </w: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1,320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7"/>
        </w:trPr>
        <w:tc>
          <w:tcPr>
            <w:tcW w:w="9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91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other expense</w:t>
            </w:r>
          </w:p>
        </w:tc>
        <w:tc>
          <w:tcPr>
            <w:tcW w:w="2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(18,492)</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(18,039)</w:t>
            </w:r>
          </w:p>
        </w:tc>
        <w:tc>
          <w:tcPr>
            <w:tcW w:w="0" w:type="dxa"/>
            <w:vAlign w:val="bottom"/>
          </w:tcPr>
          <w:p>
            <w:pPr>
              <w:spacing w:after="0"/>
              <w:rPr>
                <w:sz w:val="1"/>
                <w:szCs w:val="1"/>
                <w:color w:val="auto"/>
              </w:rPr>
            </w:pPr>
          </w:p>
        </w:tc>
      </w:tr>
      <w:tr>
        <w:trPr>
          <w:trHeight w:val="237"/>
        </w:trPr>
        <w:tc>
          <w:tcPr>
            <w:tcW w:w="9100" w:type="dxa"/>
            <w:vAlign w:val="bottom"/>
          </w:tcPr>
          <w:p>
            <w:pPr>
              <w:ind w:left="920"/>
              <w:spacing w:after="0"/>
              <w:rPr>
                <w:sz w:val="20"/>
                <w:szCs w:val="20"/>
                <w:color w:val="auto"/>
              </w:rPr>
            </w:pPr>
            <w:r>
              <w:rPr>
                <w:rFonts w:ascii="Arial" w:cs="Arial" w:eastAsia="Arial" w:hAnsi="Arial"/>
                <w:sz w:val="18"/>
                <w:szCs w:val="18"/>
                <w:color w:val="auto"/>
              </w:rPr>
              <w:t>Income (loss) before income taxes</w:t>
            </w:r>
          </w:p>
        </w:tc>
        <w:tc>
          <w:tcPr>
            <w:tcW w:w="2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175,040</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(10,498)</w:t>
            </w:r>
          </w:p>
        </w:tc>
        <w:tc>
          <w:tcPr>
            <w:tcW w:w="0" w:type="dxa"/>
            <w:vAlign w:val="bottom"/>
          </w:tcPr>
          <w:p>
            <w:pPr>
              <w:spacing w:after="0"/>
              <w:rPr>
                <w:sz w:val="1"/>
                <w:szCs w:val="1"/>
                <w:color w:val="auto"/>
              </w:rPr>
            </w:pPr>
          </w:p>
        </w:tc>
      </w:tr>
      <w:tr>
        <w:trPr>
          <w:trHeight w:val="27"/>
        </w:trPr>
        <w:tc>
          <w:tcPr>
            <w:tcW w:w="9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provision (benefit)</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9100" w:type="dxa"/>
            <w:vAlign w:val="bottom"/>
          </w:tcPr>
          <w:p>
            <w:pPr>
              <w:ind w:left="180"/>
              <w:spacing w:after="0"/>
              <w:rPr>
                <w:sz w:val="20"/>
                <w:szCs w:val="20"/>
                <w:color w:val="auto"/>
              </w:rPr>
            </w:pPr>
            <w:r>
              <w:rPr>
                <w:rFonts w:ascii="Arial" w:cs="Arial" w:eastAsia="Arial" w:hAnsi="Arial"/>
                <w:sz w:val="18"/>
                <w:szCs w:val="18"/>
                <w:color w:val="auto"/>
              </w:rPr>
              <w:t>Deferred</w:t>
            </w: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39,957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(1,013)</w:t>
            </w:r>
          </w:p>
        </w:tc>
        <w:tc>
          <w:tcPr>
            <w:tcW w:w="0" w:type="dxa"/>
            <w:vAlign w:val="bottom"/>
          </w:tcPr>
          <w:p>
            <w:pPr>
              <w:spacing w:after="0"/>
              <w:rPr>
                <w:sz w:val="1"/>
                <w:szCs w:val="1"/>
                <w:color w:val="auto"/>
              </w:rPr>
            </w:pPr>
          </w:p>
        </w:tc>
      </w:tr>
      <w:tr>
        <w:trPr>
          <w:trHeight w:val="27"/>
        </w:trPr>
        <w:tc>
          <w:tcPr>
            <w:tcW w:w="9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91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income tax provision (benefit)</w:t>
            </w:r>
          </w:p>
        </w:tc>
        <w:tc>
          <w:tcPr>
            <w:tcW w:w="2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39,957</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(1,013)</w:t>
            </w:r>
          </w:p>
        </w:tc>
        <w:tc>
          <w:tcPr>
            <w:tcW w:w="0" w:type="dxa"/>
            <w:vAlign w:val="bottom"/>
          </w:tcPr>
          <w:p>
            <w:pPr>
              <w:spacing w:after="0"/>
              <w:rPr>
                <w:sz w:val="1"/>
                <w:szCs w:val="1"/>
                <w:color w:val="auto"/>
              </w:rPr>
            </w:pPr>
          </w:p>
        </w:tc>
      </w:tr>
      <w:tr>
        <w:trPr>
          <w:trHeight w:val="237"/>
        </w:trPr>
        <w:tc>
          <w:tcPr>
            <w:tcW w:w="9100" w:type="dxa"/>
            <w:vAlign w:val="bottom"/>
          </w:tcPr>
          <w:p>
            <w:pPr>
              <w:ind w:left="40"/>
              <w:spacing w:after="0"/>
              <w:rPr>
                <w:sz w:val="20"/>
                <w:szCs w:val="20"/>
                <w:color w:val="auto"/>
              </w:rPr>
            </w:pPr>
            <w:r>
              <w:rPr>
                <w:rFonts w:ascii="Arial" w:cs="Arial" w:eastAsia="Arial" w:hAnsi="Arial"/>
                <w:sz w:val="18"/>
                <w:szCs w:val="18"/>
                <w:color w:val="auto"/>
              </w:rPr>
              <w:t>Net income (loss)</w:t>
            </w:r>
          </w:p>
        </w:tc>
        <w:tc>
          <w:tcPr>
            <w:tcW w:w="2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135,083</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(9,485)</w:t>
            </w:r>
          </w:p>
        </w:tc>
        <w:tc>
          <w:tcPr>
            <w:tcW w:w="0" w:type="dxa"/>
            <w:vAlign w:val="bottom"/>
          </w:tcPr>
          <w:p>
            <w:pPr>
              <w:spacing w:after="0"/>
              <w:rPr>
                <w:sz w:val="1"/>
                <w:szCs w:val="1"/>
                <w:color w:val="auto"/>
              </w:rPr>
            </w:pPr>
          </w:p>
        </w:tc>
      </w:tr>
      <w:tr>
        <w:trPr>
          <w:trHeight w:val="27"/>
        </w:trPr>
        <w:tc>
          <w:tcPr>
            <w:tcW w:w="9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91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income attributable to non-controlling interest in subsidiaries</w:t>
            </w: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(9,354)</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(7,462)</w:t>
            </w:r>
          </w:p>
        </w:tc>
        <w:tc>
          <w:tcPr>
            <w:tcW w:w="0" w:type="dxa"/>
            <w:vAlign w:val="bottom"/>
          </w:tcPr>
          <w:p>
            <w:pPr>
              <w:spacing w:after="0"/>
              <w:rPr>
                <w:sz w:val="1"/>
                <w:szCs w:val="1"/>
                <w:color w:val="auto"/>
              </w:rPr>
            </w:pPr>
          </w:p>
        </w:tc>
      </w:tr>
      <w:tr>
        <w:trPr>
          <w:trHeight w:val="237"/>
        </w:trPr>
        <w:tc>
          <w:tcPr>
            <w:tcW w:w="9100" w:type="dxa"/>
            <w:vAlign w:val="bottom"/>
          </w:tcPr>
          <w:p>
            <w:pPr>
              <w:ind w:left="920"/>
              <w:spacing w:after="0"/>
              <w:rPr>
                <w:sz w:val="20"/>
                <w:szCs w:val="20"/>
                <w:color w:val="auto"/>
              </w:rPr>
            </w:pPr>
            <w:r>
              <w:rPr>
                <w:rFonts w:ascii="Arial" w:cs="Arial" w:eastAsia="Arial" w:hAnsi="Arial"/>
                <w:sz w:val="18"/>
                <w:szCs w:val="18"/>
                <w:color w:val="auto"/>
              </w:rPr>
              <w:t>Net income (loss) attributable to Matador Resources Company shareholders</w:t>
            </w: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125,729</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(16,947)</w:t>
            </w:r>
          </w:p>
        </w:tc>
        <w:tc>
          <w:tcPr>
            <w:tcW w:w="0" w:type="dxa"/>
            <w:vAlign w:val="bottom"/>
          </w:tcPr>
          <w:p>
            <w:pPr>
              <w:spacing w:after="0"/>
              <w:rPr>
                <w:sz w:val="1"/>
                <w:szCs w:val="1"/>
                <w:color w:val="auto"/>
              </w:rPr>
            </w:pPr>
          </w:p>
        </w:tc>
      </w:tr>
      <w:tr>
        <w:trPr>
          <w:trHeight w:val="67"/>
        </w:trPr>
        <w:tc>
          <w:tcPr>
            <w:tcW w:w="910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0"/>
        </w:trPr>
        <w:tc>
          <w:tcPr>
            <w:tcW w:w="9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Earnings (loss) per common share</w:t>
            </w:r>
          </w:p>
        </w:tc>
        <w:tc>
          <w:tcPr>
            <w:tcW w:w="2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303"/>
        </w:trPr>
        <w:tc>
          <w:tcPr>
            <w:tcW w:w="910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Basic</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1.08</w:t>
            </w:r>
          </w:p>
        </w:tc>
        <w:tc>
          <w:tcPr>
            <w:tcW w:w="10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(0.15)</w:t>
            </w:r>
          </w:p>
        </w:tc>
        <w:tc>
          <w:tcPr>
            <w:tcW w:w="0" w:type="dxa"/>
            <w:vAlign w:val="bottom"/>
          </w:tcPr>
          <w:p>
            <w:pPr>
              <w:spacing w:after="0"/>
              <w:rPr>
                <w:sz w:val="1"/>
                <w:szCs w:val="1"/>
                <w:color w:val="auto"/>
              </w:rPr>
            </w:pPr>
          </w:p>
        </w:tc>
      </w:tr>
      <w:tr>
        <w:trPr>
          <w:trHeight w:val="250"/>
        </w:trPr>
        <w:tc>
          <w:tcPr>
            <w:tcW w:w="91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Diluted</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1.08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(0.15)</w:t>
            </w:r>
          </w:p>
        </w:tc>
        <w:tc>
          <w:tcPr>
            <w:tcW w:w="0" w:type="dxa"/>
            <w:vAlign w:val="bottom"/>
          </w:tcPr>
          <w:p>
            <w:pPr>
              <w:spacing w:after="0"/>
              <w:rPr>
                <w:sz w:val="1"/>
                <w:szCs w:val="1"/>
                <w:color w:val="auto"/>
              </w:rPr>
            </w:pPr>
          </w:p>
        </w:tc>
      </w:tr>
      <w:tr>
        <w:trPr>
          <w:trHeight w:val="20"/>
        </w:trPr>
        <w:tc>
          <w:tcPr>
            <w:tcW w:w="9100" w:type="dxa"/>
            <w:vAlign w:val="bottom"/>
            <w:vMerge w:val="restart"/>
          </w:tcPr>
          <w:p>
            <w:pPr>
              <w:ind w:left="40"/>
              <w:spacing w:after="0"/>
              <w:rPr>
                <w:sz w:val="20"/>
                <w:szCs w:val="20"/>
                <w:color w:val="auto"/>
              </w:rPr>
            </w:pPr>
            <w:r>
              <w:rPr>
                <w:rFonts w:ascii="Arial" w:cs="Arial" w:eastAsia="Arial" w:hAnsi="Arial"/>
                <w:sz w:val="18"/>
                <w:szCs w:val="18"/>
                <w:color w:val="auto"/>
              </w:rPr>
              <w:t>Weighted average common shares outstanding</w:t>
            </w: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910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9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91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Basic</w:t>
            </w: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116,607</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115,315</w:t>
            </w:r>
          </w:p>
        </w:tc>
        <w:tc>
          <w:tcPr>
            <w:tcW w:w="0" w:type="dxa"/>
            <w:vAlign w:val="bottom"/>
          </w:tcPr>
          <w:p>
            <w:pPr>
              <w:spacing w:after="0"/>
              <w:rPr>
                <w:sz w:val="1"/>
                <w:szCs w:val="1"/>
                <w:color w:val="auto"/>
              </w:rPr>
            </w:pPr>
          </w:p>
        </w:tc>
      </w:tr>
      <w:tr>
        <w:trPr>
          <w:trHeight w:val="20"/>
        </w:trPr>
        <w:tc>
          <w:tcPr>
            <w:tcW w:w="9100" w:type="dxa"/>
            <w:vAlign w:val="bottom"/>
            <w:tcBorders>
              <w:top w:val="single" w:sz="8" w:color="CCEEFF"/>
              <w:bottom w:val="single" w:sz="8" w:color="CCEEFF"/>
            </w:tcBorders>
            <w:vMerge w:val="restart"/>
          </w:tcPr>
          <w:p>
            <w:pPr>
              <w:ind w:left="180"/>
              <w:spacing w:after="0"/>
              <w:rPr>
                <w:sz w:val="20"/>
                <w:szCs w:val="20"/>
                <w:color w:val="auto"/>
              </w:rPr>
            </w:pPr>
            <w:r>
              <w:rPr>
                <w:rFonts w:ascii="Arial" w:cs="Arial" w:eastAsia="Arial" w:hAnsi="Arial"/>
                <w:sz w:val="18"/>
                <w:szCs w:val="18"/>
                <w:color w:val="auto"/>
              </w:rPr>
              <w:t>Diluted</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9100" w:type="dxa"/>
            <w:vAlign w:val="bottom"/>
            <w:vMerge w:val="continue"/>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116,684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115,315</w:t>
            </w:r>
          </w:p>
        </w:tc>
        <w:tc>
          <w:tcPr>
            <w:tcW w:w="0" w:type="dxa"/>
            <w:vAlign w:val="bottom"/>
          </w:tcPr>
          <w:p>
            <w:pPr>
              <w:spacing w:after="0"/>
              <w:rPr>
                <w:sz w:val="1"/>
                <w:szCs w:val="1"/>
                <w:color w:val="auto"/>
              </w:rPr>
            </w:pPr>
          </w:p>
        </w:tc>
      </w:tr>
      <w:tr>
        <w:trPr>
          <w:trHeight w:val="27"/>
        </w:trPr>
        <w:tc>
          <w:tcPr>
            <w:tcW w:w="9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9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40"/>
          </w:cols>
          <w:pgMar w:left="320" w:top="125" w:right="33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3820"/>
        <w:spacing w:after="0"/>
        <w:rPr>
          <w:sz w:val="20"/>
          <w:szCs w:val="20"/>
          <w:color w:val="auto"/>
        </w:rPr>
      </w:pPr>
      <w:r>
        <w:rPr>
          <w:rFonts w:ascii="Arial" w:cs="Arial" w:eastAsia="Arial" w:hAnsi="Arial"/>
          <w:sz w:val="18"/>
          <w:szCs w:val="18"/>
          <w:b w:val="1"/>
          <w:bCs w:val="1"/>
          <w:color w:val="auto"/>
        </w:rPr>
        <w:t>Matador Resources Company and Subsidiaries</w:t>
      </w:r>
    </w:p>
    <w:p>
      <w:pPr>
        <w:spacing w:after="0" w:line="171" w:lineRule="exact"/>
        <w:rPr>
          <w:sz w:val="20"/>
          <w:szCs w:val="20"/>
          <w:color w:val="auto"/>
        </w:rPr>
      </w:pPr>
    </w:p>
    <w:p>
      <w:pPr>
        <w:jc w:val="right"/>
        <w:ind w:right="1140"/>
        <w:spacing w:after="0"/>
        <w:rPr>
          <w:sz w:val="20"/>
          <w:szCs w:val="20"/>
          <w:color w:val="auto"/>
        </w:rPr>
      </w:pPr>
      <w:r>
        <w:rPr>
          <w:rFonts w:ascii="Arial" w:cs="Arial" w:eastAsia="Arial" w:hAnsi="Arial"/>
          <w:sz w:val="18"/>
          <w:szCs w:val="18"/>
          <w:b w:val="1"/>
          <w:bCs w:val="1"/>
          <w:color w:val="auto"/>
        </w:rPr>
        <w:t>CONDENSED CONSOLIDATED STATEMENT OF CHANGES IN SHAREHOLDERS’ EQUITY — UNAUDITED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Months Ended March 31, 2020</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Balance at January 1, 2020</w:t>
      </w:r>
    </w:p>
    <w:p>
      <w:pPr>
        <w:spacing w:after="0" w:line="113" w:lineRule="exact"/>
        <w:rPr>
          <w:sz w:val="20"/>
          <w:szCs w:val="20"/>
          <w:color w:val="auto"/>
        </w:rPr>
      </w:pPr>
    </w:p>
    <w:p>
      <w:pPr>
        <w:ind w:left="40" w:right="340"/>
        <w:spacing w:after="0" w:line="253" w:lineRule="auto"/>
        <w:rPr>
          <w:sz w:val="20"/>
          <w:szCs w:val="20"/>
          <w:color w:val="auto"/>
        </w:rPr>
      </w:pPr>
      <w:r>
        <w:rPr>
          <w:rFonts w:ascii="Arial" w:cs="Arial" w:eastAsia="Arial" w:hAnsi="Arial"/>
          <w:sz w:val="14"/>
          <w:szCs w:val="14"/>
          <w:color w:val="auto"/>
        </w:rPr>
        <w:t>Issuance of common stock pursuant to employee stock compensation plan</w:t>
      </w:r>
    </w:p>
    <w:p>
      <w:pPr>
        <w:spacing w:after="0" w:line="12" w:lineRule="exact"/>
        <w:rPr>
          <w:sz w:val="20"/>
          <w:szCs w:val="20"/>
          <w:color w:val="auto"/>
        </w:rPr>
      </w:pPr>
    </w:p>
    <w:p>
      <w:pPr>
        <w:ind w:left="40" w:right="440"/>
        <w:spacing w:after="0" w:line="253" w:lineRule="auto"/>
        <w:rPr>
          <w:sz w:val="20"/>
          <w:szCs w:val="20"/>
          <w:color w:val="auto"/>
        </w:rPr>
      </w:pPr>
      <w:r>
        <w:rPr>
          <w:rFonts w:ascii="Arial" w:cs="Arial" w:eastAsia="Arial" w:hAnsi="Arial"/>
          <w:sz w:val="14"/>
          <w:szCs w:val="14"/>
          <w:color w:val="auto"/>
        </w:rPr>
        <w:t>Issuance of common stock pursuant to directors’ and advisors’ compensation plan</w:t>
      </w:r>
    </w:p>
    <w:p>
      <w:pPr>
        <w:spacing w:after="0" w:line="12" w:lineRule="exact"/>
        <w:rPr>
          <w:sz w:val="20"/>
          <w:szCs w:val="20"/>
          <w:color w:val="auto"/>
        </w:rPr>
      </w:pPr>
    </w:p>
    <w:p>
      <w:pPr>
        <w:ind w:left="40" w:right="100"/>
        <w:spacing w:after="0" w:line="253" w:lineRule="auto"/>
        <w:rPr>
          <w:sz w:val="20"/>
          <w:szCs w:val="20"/>
          <w:color w:val="auto"/>
        </w:rPr>
      </w:pPr>
      <w:r>
        <w:rPr>
          <w:rFonts w:ascii="Arial" w:cs="Arial" w:eastAsia="Arial" w:hAnsi="Arial"/>
          <w:sz w:val="14"/>
          <w:szCs w:val="14"/>
          <w:color w:val="auto"/>
        </w:rPr>
        <w:t>Stock-based compensation expense related to equity-based awards including amounts capitalized</w:t>
      </w:r>
    </w:p>
    <w:p>
      <w:pPr>
        <w:spacing w:after="0" w:line="12" w:lineRule="exact"/>
        <w:rPr>
          <w:sz w:val="20"/>
          <w:szCs w:val="20"/>
          <w:color w:val="auto"/>
        </w:rPr>
      </w:pPr>
    </w:p>
    <w:p>
      <w:pPr>
        <w:ind w:left="40" w:right="20"/>
        <w:spacing w:after="0" w:line="253" w:lineRule="auto"/>
        <w:rPr>
          <w:sz w:val="20"/>
          <w:szCs w:val="20"/>
          <w:color w:val="auto"/>
        </w:rPr>
      </w:pPr>
      <w:r>
        <w:rPr>
          <w:rFonts w:ascii="Arial" w:cs="Arial" w:eastAsia="Arial" w:hAnsi="Arial"/>
          <w:sz w:val="14"/>
          <w:szCs w:val="14"/>
          <w:color w:val="auto"/>
        </w:rPr>
        <w:t>Stock options exercised, net of options forfeited in net share settlements</w:t>
      </w:r>
    </w:p>
    <w:p>
      <w:pPr>
        <w:spacing w:after="0" w:line="12" w:lineRule="exact"/>
        <w:rPr>
          <w:sz w:val="20"/>
          <w:szCs w:val="20"/>
          <w:color w:val="auto"/>
        </w:rPr>
      </w:pPr>
    </w:p>
    <w:p>
      <w:pPr>
        <w:ind w:left="40" w:right="480"/>
        <w:spacing w:after="0" w:line="402" w:lineRule="auto"/>
        <w:rPr>
          <w:sz w:val="20"/>
          <w:szCs w:val="20"/>
          <w:color w:val="auto"/>
        </w:rPr>
      </w:pPr>
      <w:r>
        <w:rPr>
          <w:rFonts w:ascii="Arial" w:cs="Arial" w:eastAsia="Arial" w:hAnsi="Arial"/>
          <w:sz w:val="14"/>
          <w:szCs w:val="14"/>
          <w:color w:val="auto"/>
        </w:rPr>
        <w:t>Liability-based stock option awards settled in equity Restricted stock forfeited</w:t>
      </w:r>
    </w:p>
    <w:p>
      <w:pPr>
        <w:spacing w:after="0" w:line="1" w:lineRule="exact"/>
        <w:rPr>
          <w:sz w:val="20"/>
          <w:szCs w:val="20"/>
          <w:color w:val="auto"/>
        </w:rPr>
      </w:pPr>
    </w:p>
    <w:p>
      <w:pPr>
        <w:jc w:val="both"/>
        <w:ind w:left="40" w:right="60"/>
        <w:spacing w:after="0" w:line="253" w:lineRule="auto"/>
        <w:rPr>
          <w:sz w:val="20"/>
          <w:szCs w:val="20"/>
          <w:color w:val="auto"/>
        </w:rPr>
      </w:pPr>
      <w:r>
        <w:rPr>
          <w:rFonts w:ascii="Arial" w:cs="Arial" w:eastAsia="Arial" w:hAnsi="Arial"/>
          <w:sz w:val="14"/>
          <w:szCs w:val="14"/>
          <w:color w:val="auto"/>
        </w:rPr>
        <w:t>Contribution related to formation of San Mateo I, net of tax of $3.1 million (see Note 6)</w:t>
      </w:r>
    </w:p>
    <w:p>
      <w:pPr>
        <w:spacing w:after="0" w:line="12" w:lineRule="exact"/>
        <w:rPr>
          <w:sz w:val="20"/>
          <w:szCs w:val="20"/>
          <w:color w:val="auto"/>
        </w:rPr>
      </w:pPr>
    </w:p>
    <w:p>
      <w:pPr>
        <w:jc w:val="both"/>
        <w:ind w:left="40" w:right="80"/>
        <w:spacing w:after="0" w:line="238" w:lineRule="auto"/>
        <w:rPr>
          <w:sz w:val="20"/>
          <w:szCs w:val="20"/>
          <w:color w:val="auto"/>
        </w:rPr>
      </w:pPr>
      <w:r>
        <w:rPr>
          <w:rFonts w:ascii="Arial" w:cs="Arial" w:eastAsia="Arial" w:hAnsi="Arial"/>
          <w:sz w:val="14"/>
          <w:szCs w:val="14"/>
          <w:color w:val="auto"/>
        </w:rPr>
        <w:t>Contributions from non-controlling interest owners of less-than-wholly-owned subsidiaries, net of tax of $4.3 million (see Note 6)</w:t>
      </w:r>
    </w:p>
    <w:p>
      <w:pPr>
        <w:spacing w:after="0" w:line="21" w:lineRule="exact"/>
        <w:rPr>
          <w:sz w:val="20"/>
          <w:szCs w:val="20"/>
          <w:color w:val="auto"/>
        </w:rPr>
      </w:pPr>
    </w:p>
    <w:p>
      <w:pPr>
        <w:ind w:left="40"/>
        <w:spacing w:after="0" w:line="253" w:lineRule="auto"/>
        <w:rPr>
          <w:sz w:val="20"/>
          <w:szCs w:val="20"/>
          <w:color w:val="auto"/>
        </w:rPr>
      </w:pPr>
      <w:r>
        <w:rPr>
          <w:rFonts w:ascii="Arial" w:cs="Arial" w:eastAsia="Arial" w:hAnsi="Arial"/>
          <w:sz w:val="14"/>
          <w:szCs w:val="14"/>
          <w:color w:val="auto"/>
        </w:rPr>
        <w:t>Distributions to non-controlling interest owners of less-than-wholly-owned subsidiaries</w:t>
      </w:r>
    </w:p>
    <w:p>
      <w:pPr>
        <w:spacing w:after="0" w:line="12" w:lineRule="exact"/>
        <w:rPr>
          <w:sz w:val="20"/>
          <w:szCs w:val="20"/>
          <w:color w:val="auto"/>
        </w:rPr>
      </w:pPr>
    </w:p>
    <w:p>
      <w:pPr>
        <w:ind w:left="40"/>
        <w:spacing w:after="0"/>
        <w:rPr>
          <w:sz w:val="20"/>
          <w:szCs w:val="20"/>
          <w:color w:val="auto"/>
        </w:rPr>
      </w:pPr>
      <w:r>
        <w:rPr>
          <w:rFonts w:ascii="Arial" w:cs="Arial" w:eastAsia="Arial" w:hAnsi="Arial"/>
          <w:sz w:val="14"/>
          <w:szCs w:val="14"/>
          <w:color w:val="auto"/>
        </w:rPr>
        <w:t>Current period net income</w:t>
      </w:r>
    </w:p>
    <w:p>
      <w:pPr>
        <w:spacing w:after="0" w:line="105"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Balance at March 31, 2020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1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9"/>
              </w:rPr>
              <w:t>Total</w:t>
            </w: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91"/>
              </w:rPr>
              <w:t>shareholders’</w:t>
            </w: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2"/>
              </w:rPr>
              <w:t>equity</w:t>
            </w:r>
          </w:p>
        </w:tc>
        <w:tc>
          <w:tcPr>
            <w:tcW w:w="120" w:type="dxa"/>
            <w:vAlign w:val="bottom"/>
          </w:tcPr>
          <w:p>
            <w:pPr>
              <w:spacing w:after="0"/>
              <w:rPr>
                <w:sz w:val="12"/>
                <w:szCs w:val="12"/>
                <w:color w:val="auto"/>
              </w:rPr>
            </w:pPr>
          </w:p>
        </w:tc>
        <w:tc>
          <w:tcPr>
            <w:tcW w:w="98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3"/>
              </w:rPr>
              <w:t>Non-</w:t>
            </w: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7"/>
              </w:rPr>
              <w:t>attributable</w:t>
            </w:r>
          </w:p>
        </w:tc>
        <w:tc>
          <w:tcPr>
            <w:tcW w:w="12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1380" w:type="dxa"/>
            <w:vAlign w:val="bottom"/>
            <w:gridSpan w:val="4"/>
          </w:tcPr>
          <w:p>
            <w:pPr>
              <w:ind w:left="180"/>
              <w:spacing w:after="0" w:line="158" w:lineRule="exact"/>
              <w:rPr>
                <w:sz w:val="20"/>
                <w:szCs w:val="20"/>
                <w:color w:val="auto"/>
              </w:rPr>
            </w:pPr>
            <w:r>
              <w:rPr>
                <w:rFonts w:ascii="Arial" w:cs="Arial" w:eastAsia="Arial" w:hAnsi="Arial"/>
                <w:sz w:val="14"/>
                <w:szCs w:val="14"/>
                <w:b w:val="1"/>
                <w:bCs w:val="1"/>
                <w:color w:val="auto"/>
              </w:rPr>
              <w:t>Common Stock</w:t>
            </w:r>
          </w:p>
        </w:tc>
        <w:tc>
          <w:tcPr>
            <w:tcW w:w="900" w:type="dxa"/>
            <w:vAlign w:val="bottom"/>
            <w:gridSpan w:val="2"/>
          </w:tcPr>
          <w:p>
            <w:pPr>
              <w:jc w:val="center"/>
              <w:ind w:right="100"/>
              <w:spacing w:after="0" w:line="158" w:lineRule="exact"/>
              <w:rPr>
                <w:sz w:val="20"/>
                <w:szCs w:val="20"/>
                <w:color w:val="auto"/>
              </w:rPr>
            </w:pPr>
            <w:r>
              <w:rPr>
                <w:rFonts w:ascii="Arial" w:cs="Arial" w:eastAsia="Arial" w:hAnsi="Arial"/>
                <w:sz w:val="14"/>
                <w:szCs w:val="14"/>
                <w:b w:val="1"/>
                <w:bCs w:val="1"/>
                <w:color w:val="auto"/>
                <w:w w:val="93"/>
              </w:rPr>
              <w:t>Additional</w:t>
            </w: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0" w:type="dxa"/>
            <w:vAlign w:val="bottom"/>
            <w:gridSpan w:val="5"/>
          </w:tcPr>
          <w:p>
            <w:pPr>
              <w:ind w:left="200"/>
              <w:spacing w:after="0" w:line="158" w:lineRule="exact"/>
              <w:rPr>
                <w:sz w:val="20"/>
                <w:szCs w:val="20"/>
                <w:color w:val="auto"/>
              </w:rPr>
            </w:pPr>
            <w:r>
              <w:rPr>
                <w:rFonts w:ascii="Arial" w:cs="Arial" w:eastAsia="Arial" w:hAnsi="Arial"/>
                <w:sz w:val="14"/>
                <w:szCs w:val="14"/>
                <w:b w:val="1"/>
                <w:bCs w:val="1"/>
                <w:color w:val="auto"/>
              </w:rPr>
              <w:t>Treasury Stock</w:t>
            </w:r>
          </w:p>
        </w:tc>
        <w:tc>
          <w:tcPr>
            <w:tcW w:w="1000" w:type="dxa"/>
            <w:vAlign w:val="bottom"/>
            <w:gridSpan w:val="3"/>
          </w:tcPr>
          <w:p>
            <w:pPr>
              <w:jc w:val="center"/>
              <w:ind w:right="100"/>
              <w:spacing w:after="0" w:line="158" w:lineRule="exact"/>
              <w:rPr>
                <w:sz w:val="20"/>
                <w:szCs w:val="20"/>
                <w:color w:val="auto"/>
              </w:rPr>
            </w:pPr>
            <w:r>
              <w:rPr>
                <w:rFonts w:ascii="Arial" w:cs="Arial" w:eastAsia="Arial" w:hAnsi="Arial"/>
                <w:sz w:val="14"/>
                <w:szCs w:val="14"/>
                <w:b w:val="1"/>
                <w:bCs w:val="1"/>
                <w:color w:val="auto"/>
                <w:w w:val="97"/>
              </w:rPr>
              <w:t>to Matador</w:t>
            </w:r>
          </w:p>
        </w:tc>
        <w:tc>
          <w:tcPr>
            <w:tcW w:w="120" w:type="dxa"/>
            <w:vAlign w:val="bottom"/>
          </w:tcPr>
          <w:p>
            <w:pPr>
              <w:spacing w:after="0"/>
              <w:rPr>
                <w:sz w:val="13"/>
                <w:szCs w:val="13"/>
                <w:color w:val="auto"/>
              </w:rPr>
            </w:pPr>
          </w:p>
        </w:tc>
        <w:tc>
          <w:tcPr>
            <w:tcW w:w="980" w:type="dxa"/>
            <w:vAlign w:val="bottom"/>
            <w:gridSpan w:val="2"/>
          </w:tcPr>
          <w:p>
            <w:pPr>
              <w:jc w:val="center"/>
              <w:ind w:right="240"/>
              <w:spacing w:after="0" w:line="158" w:lineRule="exact"/>
              <w:rPr>
                <w:sz w:val="20"/>
                <w:szCs w:val="20"/>
                <w:color w:val="auto"/>
              </w:rPr>
            </w:pPr>
            <w:r>
              <w:rPr>
                <w:rFonts w:ascii="Arial" w:cs="Arial" w:eastAsia="Arial" w:hAnsi="Arial"/>
                <w:sz w:val="14"/>
                <w:szCs w:val="14"/>
                <w:b w:val="1"/>
                <w:bCs w:val="1"/>
                <w:color w:val="auto"/>
                <w:w w:val="91"/>
              </w:rPr>
              <w:t>controlling</w:t>
            </w:r>
          </w:p>
        </w:tc>
        <w:tc>
          <w:tcPr>
            <w:tcW w:w="140" w:type="dxa"/>
            <w:vAlign w:val="bottom"/>
          </w:tcPr>
          <w:p>
            <w:pPr>
              <w:spacing w:after="0"/>
              <w:rPr>
                <w:sz w:val="13"/>
                <w:szCs w:val="13"/>
                <w:color w:val="auto"/>
              </w:rPr>
            </w:pPr>
          </w:p>
        </w:tc>
        <w:tc>
          <w:tcPr>
            <w:tcW w:w="740" w:type="dxa"/>
            <w:vAlign w:val="bottom"/>
          </w:tcPr>
          <w:p>
            <w:pPr>
              <w:jc w:val="right"/>
              <w:ind w:right="208"/>
              <w:spacing w:after="0" w:line="158"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54"/>
        </w:trPr>
        <w:tc>
          <w:tcPr>
            <w:tcW w:w="6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900" w:type="dxa"/>
            <w:vAlign w:val="bottom"/>
            <w:gridSpan w:val="2"/>
            <w:vMerge w:val="restart"/>
          </w:tcPr>
          <w:p>
            <w:pPr>
              <w:jc w:val="center"/>
              <w:ind w:right="100"/>
              <w:spacing w:after="0" w:line="139" w:lineRule="exact"/>
              <w:rPr>
                <w:sz w:val="20"/>
                <w:szCs w:val="20"/>
                <w:color w:val="auto"/>
              </w:rPr>
            </w:pPr>
            <w:r>
              <w:rPr>
                <w:rFonts w:ascii="Arial" w:cs="Arial" w:eastAsia="Arial" w:hAnsi="Arial"/>
                <w:sz w:val="14"/>
                <w:szCs w:val="14"/>
                <w:b w:val="1"/>
                <w:bCs w:val="1"/>
                <w:color w:val="auto"/>
                <w:w w:val="95"/>
              </w:rPr>
              <w:t>paid-in</w:t>
            </w:r>
          </w:p>
        </w:tc>
        <w:tc>
          <w:tcPr>
            <w:tcW w:w="1000" w:type="dxa"/>
            <w:vAlign w:val="bottom"/>
            <w:gridSpan w:val="3"/>
            <w:vMerge w:val="restart"/>
          </w:tcPr>
          <w:p>
            <w:pPr>
              <w:ind w:left="40"/>
              <w:spacing w:after="0" w:line="139" w:lineRule="exact"/>
              <w:rPr>
                <w:sz w:val="20"/>
                <w:szCs w:val="20"/>
                <w:color w:val="auto"/>
              </w:rPr>
            </w:pPr>
            <w:r>
              <w:rPr>
                <w:rFonts w:ascii="Arial" w:cs="Arial" w:eastAsia="Arial" w:hAnsi="Arial"/>
                <w:sz w:val="14"/>
                <w:szCs w:val="14"/>
                <w:b w:val="1"/>
                <w:bCs w:val="1"/>
                <w:color w:val="auto"/>
              </w:rPr>
              <w:t>Accumulated</w:t>
            </w:r>
          </w:p>
        </w:tc>
        <w:tc>
          <w:tcPr>
            <w:tcW w:w="5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880" w:type="dxa"/>
            <w:vAlign w:val="bottom"/>
            <w:gridSpan w:val="2"/>
            <w:vMerge w:val="restart"/>
          </w:tcPr>
          <w:p>
            <w:pPr>
              <w:jc w:val="center"/>
              <w:ind w:right="220"/>
              <w:spacing w:after="0" w:line="139" w:lineRule="exact"/>
              <w:rPr>
                <w:sz w:val="20"/>
                <w:szCs w:val="20"/>
                <w:color w:val="auto"/>
              </w:rPr>
            </w:pPr>
            <w:r>
              <w:rPr>
                <w:rFonts w:ascii="Arial" w:cs="Arial" w:eastAsia="Arial" w:hAnsi="Arial"/>
                <w:sz w:val="14"/>
                <w:szCs w:val="14"/>
                <w:b w:val="1"/>
                <w:bCs w:val="1"/>
                <w:color w:val="auto"/>
                <w:w w:val="86"/>
              </w:rPr>
              <w:t>Resources</w:t>
            </w:r>
          </w:p>
        </w:tc>
        <w:tc>
          <w:tcPr>
            <w:tcW w:w="120" w:type="dxa"/>
            <w:vAlign w:val="bottom"/>
          </w:tcPr>
          <w:p>
            <w:pPr>
              <w:spacing w:after="0"/>
              <w:rPr>
                <w:sz w:val="4"/>
                <w:szCs w:val="4"/>
                <w:color w:val="auto"/>
              </w:rPr>
            </w:pPr>
          </w:p>
        </w:tc>
        <w:tc>
          <w:tcPr>
            <w:tcW w:w="980" w:type="dxa"/>
            <w:vAlign w:val="bottom"/>
            <w:gridSpan w:val="2"/>
            <w:vMerge w:val="restart"/>
          </w:tcPr>
          <w:p>
            <w:pPr>
              <w:jc w:val="center"/>
              <w:ind w:right="240"/>
              <w:spacing w:after="0" w:line="139" w:lineRule="exact"/>
              <w:rPr>
                <w:sz w:val="20"/>
                <w:szCs w:val="20"/>
                <w:color w:val="auto"/>
              </w:rPr>
            </w:pPr>
            <w:r>
              <w:rPr>
                <w:rFonts w:ascii="Arial" w:cs="Arial" w:eastAsia="Arial" w:hAnsi="Arial"/>
                <w:sz w:val="14"/>
                <w:szCs w:val="14"/>
                <w:b w:val="1"/>
                <w:bCs w:val="1"/>
                <w:color w:val="auto"/>
                <w:w w:val="92"/>
              </w:rPr>
              <w:t>interest in</w:t>
            </w:r>
          </w:p>
        </w:tc>
        <w:tc>
          <w:tcPr>
            <w:tcW w:w="880" w:type="dxa"/>
            <w:vAlign w:val="bottom"/>
            <w:gridSpan w:val="2"/>
            <w:vMerge w:val="restart"/>
          </w:tcPr>
          <w:p>
            <w:pPr>
              <w:ind w:left="20"/>
              <w:spacing w:after="0" w:line="139" w:lineRule="exact"/>
              <w:rPr>
                <w:sz w:val="20"/>
                <w:szCs w:val="20"/>
                <w:color w:val="auto"/>
              </w:rPr>
            </w:pPr>
            <w:r>
              <w:rPr>
                <w:rFonts w:ascii="Arial" w:cs="Arial" w:eastAsia="Arial" w:hAnsi="Arial"/>
                <w:sz w:val="14"/>
                <w:szCs w:val="14"/>
                <w:b w:val="1"/>
                <w:bCs w:val="1"/>
                <w:color w:val="auto"/>
                <w:w w:val="91"/>
              </w:rPr>
              <w:t>shareholders’</w:t>
            </w:r>
          </w:p>
        </w:tc>
        <w:tc>
          <w:tcPr>
            <w:tcW w:w="0" w:type="dxa"/>
            <w:vAlign w:val="bottom"/>
          </w:tcPr>
          <w:p>
            <w:pPr>
              <w:spacing w:after="0"/>
              <w:rPr>
                <w:sz w:val="1"/>
                <w:szCs w:val="1"/>
                <w:color w:val="auto"/>
              </w:rPr>
            </w:pPr>
          </w:p>
        </w:tc>
      </w:tr>
      <w:tr>
        <w:trPr>
          <w:trHeight w:val="65"/>
        </w:trPr>
        <w:tc>
          <w:tcPr>
            <w:tcW w:w="72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Shares</w:t>
            </w:r>
          </w:p>
        </w:tc>
        <w:tc>
          <w:tcPr>
            <w:tcW w:w="6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Amount</w:t>
            </w:r>
          </w:p>
        </w:tc>
        <w:tc>
          <w:tcPr>
            <w:tcW w:w="900" w:type="dxa"/>
            <w:vAlign w:val="bottom"/>
            <w:gridSpan w:val="2"/>
            <w:vMerge w:val="continue"/>
          </w:tcPr>
          <w:p>
            <w:pPr>
              <w:spacing w:after="0"/>
              <w:rPr>
                <w:sz w:val="5"/>
                <w:szCs w:val="5"/>
                <w:color w:val="auto"/>
              </w:rPr>
            </w:pPr>
          </w:p>
        </w:tc>
        <w:tc>
          <w:tcPr>
            <w:tcW w:w="1000" w:type="dxa"/>
            <w:vAlign w:val="bottom"/>
            <w:gridSpan w:val="3"/>
            <w:vMerge w:val="continue"/>
          </w:tcPr>
          <w:p>
            <w:pPr>
              <w:spacing w:after="0"/>
              <w:rPr>
                <w:sz w:val="5"/>
                <w:szCs w:val="5"/>
                <w:color w:val="auto"/>
              </w:rPr>
            </w:pPr>
          </w:p>
        </w:tc>
        <w:tc>
          <w:tcPr>
            <w:tcW w:w="6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Shares</w:t>
            </w:r>
          </w:p>
        </w:tc>
        <w:tc>
          <w:tcPr>
            <w:tcW w:w="74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5"/>
                <w:szCs w:val="5"/>
                <w:color w:val="auto"/>
              </w:rPr>
            </w:pPr>
          </w:p>
        </w:tc>
        <w:tc>
          <w:tcPr>
            <w:tcW w:w="88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980" w:type="dxa"/>
            <w:vAlign w:val="bottom"/>
            <w:gridSpan w:val="2"/>
            <w:vMerge w:val="continue"/>
          </w:tcPr>
          <w:p>
            <w:pPr>
              <w:spacing w:after="0"/>
              <w:rPr>
                <w:sz w:val="5"/>
                <w:szCs w:val="5"/>
                <w:color w:val="auto"/>
              </w:rPr>
            </w:pPr>
          </w:p>
        </w:tc>
        <w:tc>
          <w:tcPr>
            <w:tcW w:w="88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720" w:type="dxa"/>
            <w:vAlign w:val="bottom"/>
            <w:gridSpan w:val="2"/>
            <w:vMerge w:val="continue"/>
          </w:tcPr>
          <w:p>
            <w:pPr>
              <w:spacing w:after="0"/>
              <w:rPr>
                <w:sz w:val="16"/>
                <w:szCs w:val="16"/>
                <w:color w:val="auto"/>
              </w:rPr>
            </w:pPr>
          </w:p>
        </w:tc>
        <w:tc>
          <w:tcPr>
            <w:tcW w:w="660" w:type="dxa"/>
            <w:vAlign w:val="bottom"/>
            <w:gridSpan w:val="2"/>
            <w:vMerge w:val="continue"/>
          </w:tcPr>
          <w:p>
            <w:pPr>
              <w:spacing w:after="0"/>
              <w:rPr>
                <w:sz w:val="16"/>
                <w:szCs w:val="16"/>
                <w:color w:val="auto"/>
              </w:rPr>
            </w:pPr>
          </w:p>
        </w:tc>
        <w:tc>
          <w:tcPr>
            <w:tcW w:w="9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capital</w:t>
            </w:r>
          </w:p>
        </w:tc>
        <w:tc>
          <w:tcPr>
            <w:tcW w:w="180" w:type="dxa"/>
            <w:vAlign w:val="bottom"/>
          </w:tcPr>
          <w:p>
            <w:pPr>
              <w:spacing w:after="0"/>
              <w:rPr>
                <w:sz w:val="16"/>
                <w:szCs w:val="16"/>
                <w:color w:val="auto"/>
              </w:rPr>
            </w:pPr>
          </w:p>
        </w:tc>
        <w:tc>
          <w:tcPr>
            <w:tcW w:w="820" w:type="dxa"/>
            <w:vAlign w:val="bottom"/>
            <w:gridSpan w:val="2"/>
          </w:tcPr>
          <w:p>
            <w:pPr>
              <w:ind w:left="80"/>
              <w:spacing w:after="0"/>
              <w:rPr>
                <w:sz w:val="20"/>
                <w:szCs w:val="20"/>
                <w:color w:val="auto"/>
              </w:rPr>
            </w:pPr>
            <w:r>
              <w:rPr>
                <w:rFonts w:ascii="Arial" w:cs="Arial" w:eastAsia="Arial" w:hAnsi="Arial"/>
                <w:sz w:val="14"/>
                <w:szCs w:val="14"/>
                <w:b w:val="1"/>
                <w:bCs w:val="1"/>
                <w:color w:val="auto"/>
              </w:rPr>
              <w:t>deficit</w:t>
            </w:r>
          </w:p>
        </w:tc>
        <w:tc>
          <w:tcPr>
            <w:tcW w:w="660" w:type="dxa"/>
            <w:vAlign w:val="bottom"/>
            <w:gridSpan w:val="2"/>
            <w:vMerge w:val="continue"/>
          </w:tcPr>
          <w:p>
            <w:pPr>
              <w:spacing w:after="0"/>
              <w:rPr>
                <w:sz w:val="16"/>
                <w:szCs w:val="16"/>
                <w:color w:val="auto"/>
              </w:rPr>
            </w:pPr>
          </w:p>
        </w:tc>
        <w:tc>
          <w:tcPr>
            <w:tcW w:w="740" w:type="dxa"/>
            <w:vAlign w:val="bottom"/>
            <w:gridSpan w:val="3"/>
            <w:vMerge w:val="continue"/>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Company</w:t>
            </w:r>
          </w:p>
        </w:tc>
        <w:tc>
          <w:tcPr>
            <w:tcW w:w="120" w:type="dxa"/>
            <w:vAlign w:val="bottom"/>
          </w:tcPr>
          <w:p>
            <w:pPr>
              <w:spacing w:after="0"/>
              <w:rPr>
                <w:sz w:val="16"/>
                <w:szCs w:val="16"/>
                <w:color w:val="auto"/>
              </w:rPr>
            </w:pPr>
          </w:p>
        </w:tc>
        <w:tc>
          <w:tcPr>
            <w:tcW w:w="9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8"/>
              </w:rPr>
              <w:t>subsidiaries</w:t>
            </w:r>
          </w:p>
        </w:tc>
        <w:tc>
          <w:tcPr>
            <w:tcW w:w="140" w:type="dxa"/>
            <w:vAlign w:val="bottom"/>
          </w:tcPr>
          <w:p>
            <w:pPr>
              <w:spacing w:after="0"/>
              <w:rPr>
                <w:sz w:val="16"/>
                <w:szCs w:val="16"/>
                <w:color w:val="auto"/>
              </w:rPr>
            </w:pPr>
          </w:p>
        </w:tc>
        <w:tc>
          <w:tcPr>
            <w:tcW w:w="740" w:type="dxa"/>
            <w:vAlign w:val="bottom"/>
          </w:tcPr>
          <w:p>
            <w:pPr>
              <w:jc w:val="right"/>
              <w:ind w:right="168"/>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244"/>
        </w:trPr>
        <w:tc>
          <w:tcPr>
            <w:tcW w:w="62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w w:val="94"/>
              </w:rPr>
              <w:t>116,644</w:t>
            </w:r>
          </w:p>
        </w:tc>
        <w:tc>
          <w:tcPr>
            <w:tcW w:w="100" w:type="dxa"/>
            <w:vAlign w:val="bottom"/>
          </w:tcPr>
          <w:p>
            <w:pPr>
              <w:spacing w:after="0"/>
              <w:rPr>
                <w:sz w:val="21"/>
                <w:szCs w:val="21"/>
                <w:color w:val="auto"/>
              </w:rPr>
            </w:pPr>
          </w:p>
        </w:tc>
        <w:tc>
          <w:tcPr>
            <w:tcW w:w="56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w w:val="89"/>
              </w:rPr>
              <w:t>$ 1,166</w:t>
            </w:r>
          </w:p>
        </w:tc>
        <w:tc>
          <w:tcPr>
            <w:tcW w:w="100" w:type="dxa"/>
            <w:vAlign w:val="bottom"/>
          </w:tcPr>
          <w:p>
            <w:pPr>
              <w:spacing w:after="0"/>
              <w:rPr>
                <w:sz w:val="21"/>
                <w:szCs w:val="21"/>
                <w:color w:val="auto"/>
              </w:rPr>
            </w:pPr>
          </w:p>
        </w:tc>
        <w:tc>
          <w:tcPr>
            <w:tcW w:w="80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w w:val="96"/>
              </w:rPr>
              <w:t>$1,981,014</w:t>
            </w:r>
          </w:p>
        </w:tc>
        <w:tc>
          <w:tcPr>
            <w:tcW w:w="100" w:type="dxa"/>
            <w:vAlign w:val="bottom"/>
          </w:tcPr>
          <w:p>
            <w:pPr>
              <w:spacing w:after="0"/>
              <w:rPr>
                <w:sz w:val="21"/>
                <w:szCs w:val="21"/>
                <w:color w:val="auto"/>
              </w:rPr>
            </w:pPr>
          </w:p>
        </w:tc>
        <w:tc>
          <w:tcPr>
            <w:tcW w:w="180" w:type="dxa"/>
            <w:vAlign w:val="bottom"/>
            <w:tcBorders>
              <w:top w:val="single" w:sz="8" w:color="auto"/>
            </w:tcBorders>
          </w:tcPr>
          <w:p>
            <w:pPr>
              <w:ind w:left="40"/>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(148,500)</w:t>
            </w:r>
          </w:p>
        </w:tc>
        <w:tc>
          <w:tcPr>
            <w:tcW w:w="120" w:type="dxa"/>
            <w:vAlign w:val="bottom"/>
          </w:tcPr>
          <w:p>
            <w:pPr>
              <w:spacing w:after="0"/>
              <w:rPr>
                <w:sz w:val="21"/>
                <w:szCs w:val="21"/>
                <w:color w:val="auto"/>
              </w:rPr>
            </w:pPr>
          </w:p>
        </w:tc>
        <w:tc>
          <w:tcPr>
            <w:tcW w:w="54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21"/>
                <w:szCs w:val="21"/>
                <w:color w:val="auto"/>
              </w:rPr>
            </w:pPr>
          </w:p>
        </w:tc>
        <w:tc>
          <w:tcPr>
            <w:tcW w:w="120" w:type="dxa"/>
            <w:vAlign w:val="bottom"/>
            <w:tcBorders>
              <w:top w:val="single" w:sz="8" w:color="auto"/>
            </w:tcBorders>
          </w:tcPr>
          <w:p>
            <w:pPr>
              <w:ind w:left="20"/>
              <w:spacing w:after="0"/>
              <w:rPr>
                <w:sz w:val="20"/>
                <w:szCs w:val="20"/>
                <w:color w:val="auto"/>
              </w:rPr>
            </w:pPr>
            <w:r>
              <w:rPr>
                <w:rFonts w:ascii="Arial" w:cs="Arial" w:eastAsia="Arial" w:hAnsi="Arial"/>
                <w:sz w:val="14"/>
                <w:szCs w:val="14"/>
                <w:color w:val="auto"/>
              </w:rPr>
              <w:t>$</w:t>
            </w: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(26)</w:t>
            </w:r>
          </w:p>
        </w:tc>
        <w:tc>
          <w:tcPr>
            <w:tcW w:w="100" w:type="dxa"/>
            <w:vAlign w:val="bottom"/>
          </w:tcPr>
          <w:p>
            <w:pPr>
              <w:spacing w:after="0"/>
              <w:rPr>
                <w:sz w:val="21"/>
                <w:szCs w:val="21"/>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1,833,654</w:t>
            </w:r>
          </w:p>
        </w:tc>
        <w:tc>
          <w:tcPr>
            <w:tcW w:w="120" w:type="dxa"/>
            <w:vAlign w:val="bottom"/>
          </w:tcPr>
          <w:p>
            <w:pPr>
              <w:spacing w:after="0"/>
              <w:rPr>
                <w:sz w:val="21"/>
                <w:szCs w:val="21"/>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135,798</w:t>
            </w:r>
          </w:p>
        </w:tc>
        <w:tc>
          <w:tcPr>
            <w:tcW w:w="100" w:type="dxa"/>
            <w:vAlign w:val="bottom"/>
          </w:tcPr>
          <w:p>
            <w:pPr>
              <w:spacing w:after="0"/>
              <w:rPr>
                <w:sz w:val="21"/>
                <w:szCs w:val="21"/>
                <w:color w:val="auto"/>
              </w:rPr>
            </w:pPr>
          </w:p>
        </w:tc>
        <w:tc>
          <w:tcPr>
            <w:tcW w:w="140" w:type="dxa"/>
            <w:vAlign w:val="bottom"/>
            <w:tcBorders>
              <w:top w:val="single" w:sz="8" w:color="auto"/>
            </w:tcBorders>
          </w:tcPr>
          <w:p>
            <w:pPr>
              <w:ind w:left="20"/>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w w:val="99"/>
              </w:rPr>
              <w:t>1,969,452</w:t>
            </w:r>
          </w:p>
        </w:tc>
        <w:tc>
          <w:tcPr>
            <w:tcW w:w="0" w:type="dxa"/>
            <w:vAlign w:val="bottom"/>
          </w:tcPr>
          <w:p>
            <w:pPr>
              <w:spacing w:after="0"/>
              <w:rPr>
                <w:sz w:val="1"/>
                <w:szCs w:val="1"/>
                <w:color w:val="auto"/>
              </w:rPr>
            </w:pPr>
          </w:p>
        </w:tc>
      </w:tr>
      <w:tr>
        <w:trPr>
          <w:trHeight w:val="351"/>
        </w:trPr>
        <w:tc>
          <w:tcPr>
            <w:tcW w:w="620" w:type="dxa"/>
            <w:vAlign w:val="bottom"/>
          </w:tcPr>
          <w:p>
            <w:pPr>
              <w:jc w:val="right"/>
              <w:ind w:right="48"/>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24"/>
                <w:szCs w:val="24"/>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4"/>
                <w:szCs w:val="24"/>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4"/>
                <w:szCs w:val="24"/>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351"/>
        </w:trPr>
        <w:tc>
          <w:tcPr>
            <w:tcW w:w="620" w:type="dxa"/>
            <w:vAlign w:val="bottom"/>
          </w:tcPr>
          <w:p>
            <w:pPr>
              <w:jc w:val="right"/>
              <w:ind w:right="48"/>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24"/>
                <w:szCs w:val="24"/>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4"/>
                <w:szCs w:val="24"/>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4"/>
                <w:szCs w:val="24"/>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351"/>
        </w:trPr>
        <w:tc>
          <w:tcPr>
            <w:tcW w:w="7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5,066</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5,066</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4"/>
                <w:szCs w:val="24"/>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5,066</w:t>
            </w:r>
          </w:p>
        </w:tc>
        <w:tc>
          <w:tcPr>
            <w:tcW w:w="0" w:type="dxa"/>
            <w:vAlign w:val="bottom"/>
          </w:tcPr>
          <w:p>
            <w:pPr>
              <w:spacing w:after="0"/>
              <w:rPr>
                <w:sz w:val="1"/>
                <w:szCs w:val="1"/>
                <w:color w:val="auto"/>
              </w:rPr>
            </w:pPr>
          </w:p>
        </w:tc>
      </w:tr>
      <w:tr>
        <w:trPr>
          <w:trHeight w:val="351"/>
        </w:trPr>
        <w:tc>
          <w:tcPr>
            <w:tcW w:w="7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(24)</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(24)</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(24)</w:t>
            </w:r>
          </w:p>
        </w:tc>
        <w:tc>
          <w:tcPr>
            <w:tcW w:w="0" w:type="dxa"/>
            <w:vAlign w:val="bottom"/>
          </w:tcPr>
          <w:p>
            <w:pPr>
              <w:spacing w:after="0"/>
              <w:rPr>
                <w:sz w:val="1"/>
                <w:szCs w:val="1"/>
                <w:color w:val="auto"/>
              </w:rPr>
            </w:pPr>
          </w:p>
        </w:tc>
      </w:tr>
      <w:tr>
        <w:trPr>
          <w:trHeight w:val="270"/>
        </w:trPr>
        <w:tc>
          <w:tcPr>
            <w:tcW w:w="620" w:type="dxa"/>
            <w:vAlign w:val="bottom"/>
          </w:tcPr>
          <w:p>
            <w:pPr>
              <w:jc w:val="right"/>
              <w:ind w:right="48"/>
              <w:spacing w:after="0"/>
              <w:rPr>
                <w:sz w:val="20"/>
                <w:szCs w:val="20"/>
                <w:color w:val="auto"/>
              </w:rPr>
            </w:pPr>
            <w:r>
              <w:rPr>
                <w:rFonts w:ascii="Arial" w:cs="Arial" w:eastAsia="Arial" w:hAnsi="Arial"/>
                <w:sz w:val="14"/>
                <w:szCs w:val="14"/>
                <w:color w:val="auto"/>
              </w:rPr>
              <w:t>22</w:t>
            </w:r>
          </w:p>
        </w:tc>
        <w:tc>
          <w:tcPr>
            <w:tcW w:w="100" w:type="dxa"/>
            <w:vAlign w:val="bottom"/>
          </w:tcPr>
          <w:p>
            <w:pPr>
              <w:spacing w:after="0"/>
              <w:rPr>
                <w:sz w:val="23"/>
                <w:szCs w:val="23"/>
                <w:color w:val="auto"/>
              </w:rPr>
            </w:pPr>
          </w:p>
        </w:tc>
        <w:tc>
          <w:tcPr>
            <w:tcW w:w="560" w:type="dxa"/>
            <w:vAlign w:val="bottom"/>
          </w:tcPr>
          <w:p>
            <w:pPr>
              <w:jc w:val="right"/>
              <w:ind w:right="48"/>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23"/>
                <w:szCs w:val="23"/>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297</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298</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298</w:t>
            </w:r>
          </w:p>
        </w:tc>
        <w:tc>
          <w:tcPr>
            <w:tcW w:w="0" w:type="dxa"/>
            <w:vAlign w:val="bottom"/>
          </w:tcPr>
          <w:p>
            <w:pPr>
              <w:spacing w:after="0"/>
              <w:rPr>
                <w:sz w:val="1"/>
                <w:szCs w:val="1"/>
                <w:color w:val="auto"/>
              </w:rPr>
            </w:pPr>
          </w:p>
        </w:tc>
      </w:tr>
      <w:tr>
        <w:trPr>
          <w:trHeight w:val="270"/>
        </w:trPr>
        <w:tc>
          <w:tcPr>
            <w:tcW w:w="7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540" w:type="dxa"/>
            <w:vAlign w:val="bottom"/>
          </w:tcPr>
          <w:p>
            <w:pPr>
              <w:jc w:val="right"/>
              <w:ind w:right="28"/>
              <w:spacing w:after="0"/>
              <w:rPr>
                <w:sz w:val="20"/>
                <w:szCs w:val="20"/>
                <w:color w:val="auto"/>
              </w:rPr>
            </w:pPr>
            <w:r>
              <w:rPr>
                <w:rFonts w:ascii="Arial" w:cs="Arial" w:eastAsia="Arial" w:hAnsi="Arial"/>
                <w:sz w:val="14"/>
                <w:szCs w:val="14"/>
                <w:color w:val="auto"/>
              </w:rPr>
              <w:t>106</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w w:val="99"/>
              </w:rPr>
              <w:t>(1,267)</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(1,267)</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(1,267)</w:t>
            </w:r>
          </w:p>
        </w:tc>
        <w:tc>
          <w:tcPr>
            <w:tcW w:w="0" w:type="dxa"/>
            <w:vAlign w:val="bottom"/>
          </w:tcPr>
          <w:p>
            <w:pPr>
              <w:spacing w:after="0"/>
              <w:rPr>
                <w:sz w:val="1"/>
                <w:szCs w:val="1"/>
                <w:color w:val="auto"/>
              </w:rPr>
            </w:pPr>
          </w:p>
        </w:tc>
      </w:tr>
      <w:tr>
        <w:trPr>
          <w:trHeight w:val="351"/>
        </w:trPr>
        <w:tc>
          <w:tcPr>
            <w:tcW w:w="7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11,613</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11,613</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4"/>
                <w:szCs w:val="24"/>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11,613</w:t>
            </w:r>
          </w:p>
        </w:tc>
        <w:tc>
          <w:tcPr>
            <w:tcW w:w="0" w:type="dxa"/>
            <w:vAlign w:val="bottom"/>
          </w:tcPr>
          <w:p>
            <w:pPr>
              <w:spacing w:after="0"/>
              <w:rPr>
                <w:sz w:val="1"/>
                <w:szCs w:val="1"/>
                <w:color w:val="auto"/>
              </w:rPr>
            </w:pPr>
          </w:p>
        </w:tc>
      </w:tr>
      <w:tr>
        <w:trPr>
          <w:trHeight w:val="499"/>
        </w:trPr>
        <w:tc>
          <w:tcPr>
            <w:tcW w:w="7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16,280</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16,280</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29,394</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45,674</w:t>
            </w:r>
          </w:p>
        </w:tc>
        <w:tc>
          <w:tcPr>
            <w:tcW w:w="0" w:type="dxa"/>
            <w:vAlign w:val="bottom"/>
          </w:tcPr>
          <w:p>
            <w:pPr>
              <w:spacing w:after="0"/>
              <w:rPr>
                <w:sz w:val="1"/>
                <w:szCs w:val="1"/>
                <w:color w:val="auto"/>
              </w:rPr>
            </w:pPr>
          </w:p>
        </w:tc>
      </w:tr>
      <w:tr>
        <w:trPr>
          <w:trHeight w:val="351"/>
        </w:trPr>
        <w:tc>
          <w:tcPr>
            <w:tcW w:w="7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4"/>
                <w:szCs w:val="24"/>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(11,515)</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(11,515)</w:t>
            </w:r>
          </w:p>
        </w:tc>
        <w:tc>
          <w:tcPr>
            <w:tcW w:w="0" w:type="dxa"/>
            <w:vAlign w:val="bottom"/>
          </w:tcPr>
          <w:p>
            <w:pPr>
              <w:spacing w:after="0"/>
              <w:rPr>
                <w:sz w:val="1"/>
                <w:szCs w:val="1"/>
                <w:color w:val="auto"/>
              </w:rPr>
            </w:pPr>
          </w:p>
        </w:tc>
      </w:tr>
      <w:tr>
        <w:trPr>
          <w:trHeight w:val="276"/>
        </w:trPr>
        <w:tc>
          <w:tcPr>
            <w:tcW w:w="7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4"/>
                <w:szCs w:val="24"/>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125,729</w:t>
            </w:r>
          </w:p>
        </w:tc>
        <w:tc>
          <w:tcPr>
            <w:tcW w:w="120" w:type="dxa"/>
            <w:vAlign w:val="bottom"/>
          </w:tcPr>
          <w:p>
            <w:pPr>
              <w:spacing w:after="0"/>
              <w:rPr>
                <w:sz w:val="24"/>
                <w:szCs w:val="24"/>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125,729</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9,354</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135,083</w:t>
            </w:r>
          </w:p>
        </w:tc>
        <w:tc>
          <w:tcPr>
            <w:tcW w:w="0" w:type="dxa"/>
            <w:vAlign w:val="bottom"/>
          </w:tcPr>
          <w:p>
            <w:pPr>
              <w:spacing w:after="0"/>
              <w:rPr>
                <w:sz w:val="1"/>
                <w:szCs w:val="1"/>
                <w:color w:val="auto"/>
              </w:rPr>
            </w:pPr>
          </w:p>
        </w:tc>
      </w:tr>
      <w:tr>
        <w:trPr>
          <w:trHeight w:val="237"/>
        </w:trPr>
        <w:tc>
          <w:tcPr>
            <w:tcW w:w="62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w w:val="94"/>
              </w:rPr>
              <w:t>116,671</w:t>
            </w:r>
          </w:p>
        </w:tc>
        <w:tc>
          <w:tcPr>
            <w:tcW w:w="100" w:type="dxa"/>
            <w:vAlign w:val="bottom"/>
          </w:tcPr>
          <w:p>
            <w:pPr>
              <w:spacing w:after="0"/>
              <w:rPr>
                <w:sz w:val="20"/>
                <w:szCs w:val="20"/>
                <w:color w:val="auto"/>
              </w:rPr>
            </w:pPr>
          </w:p>
        </w:tc>
        <w:tc>
          <w:tcPr>
            <w:tcW w:w="56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w w:val="89"/>
              </w:rPr>
              <w:t>$ 1,167</w:t>
            </w:r>
          </w:p>
        </w:tc>
        <w:tc>
          <w:tcPr>
            <w:tcW w:w="100" w:type="dxa"/>
            <w:vAlign w:val="bottom"/>
          </w:tcPr>
          <w:p>
            <w:pPr>
              <w:spacing w:after="0"/>
              <w:rPr>
                <w:sz w:val="20"/>
                <w:szCs w:val="20"/>
                <w:color w:val="auto"/>
              </w:rPr>
            </w:pPr>
          </w:p>
        </w:tc>
        <w:tc>
          <w:tcPr>
            <w:tcW w:w="8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w w:val="96"/>
              </w:rPr>
              <w:t>$2,014,246</w:t>
            </w:r>
          </w:p>
        </w:tc>
        <w:tc>
          <w:tcPr>
            <w:tcW w:w="100" w:type="dxa"/>
            <w:vAlign w:val="bottom"/>
          </w:tcPr>
          <w:p>
            <w:pPr>
              <w:spacing w:after="0"/>
              <w:rPr>
                <w:sz w:val="20"/>
                <w:szCs w:val="20"/>
                <w:color w:val="auto"/>
              </w:rPr>
            </w:pPr>
          </w:p>
        </w:tc>
        <w:tc>
          <w:tcPr>
            <w:tcW w:w="18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(22,771)</w:t>
            </w:r>
          </w:p>
        </w:tc>
        <w:tc>
          <w:tcPr>
            <w:tcW w:w="120" w:type="dxa"/>
            <w:vAlign w:val="bottom"/>
          </w:tcPr>
          <w:p>
            <w:pPr>
              <w:spacing w:after="0"/>
              <w:rPr>
                <w:sz w:val="20"/>
                <w:szCs w:val="20"/>
                <w:color w:val="auto"/>
              </w:rPr>
            </w:pPr>
          </w:p>
        </w:tc>
        <w:tc>
          <w:tcPr>
            <w:tcW w:w="54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107</w:t>
            </w:r>
          </w:p>
        </w:tc>
        <w:tc>
          <w:tcPr>
            <w:tcW w:w="120" w:type="dxa"/>
            <w:vAlign w:val="bottom"/>
          </w:tcPr>
          <w:p>
            <w:pPr>
              <w:spacing w:after="0"/>
              <w:rPr>
                <w:sz w:val="20"/>
                <w:szCs w:val="20"/>
                <w:color w:val="auto"/>
              </w:rPr>
            </w:pPr>
          </w:p>
        </w:tc>
        <w:tc>
          <w:tcPr>
            <w:tcW w:w="1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99"/>
              </w:rPr>
              <w:t>(1,293)</w:t>
            </w:r>
          </w:p>
        </w:tc>
        <w:tc>
          <w:tcPr>
            <w:tcW w:w="100" w:type="dxa"/>
            <w:vAlign w:val="bottom"/>
          </w:tcPr>
          <w:p>
            <w:pPr>
              <w:spacing w:after="0"/>
              <w:rPr>
                <w:sz w:val="20"/>
                <w:szCs w:val="20"/>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1,991,349</w:t>
            </w:r>
          </w:p>
        </w:tc>
        <w:tc>
          <w:tcPr>
            <w:tcW w:w="120" w:type="dxa"/>
            <w:vAlign w:val="bottom"/>
          </w:tcPr>
          <w:p>
            <w:pPr>
              <w:spacing w:after="0"/>
              <w:rPr>
                <w:sz w:val="20"/>
                <w:szCs w:val="20"/>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163,031</w:t>
            </w:r>
          </w:p>
        </w:tc>
        <w:tc>
          <w:tcPr>
            <w:tcW w:w="100" w:type="dxa"/>
            <w:vAlign w:val="bottom"/>
          </w:tcPr>
          <w:p>
            <w:pPr>
              <w:spacing w:after="0"/>
              <w:rPr>
                <w:sz w:val="20"/>
                <w:szCs w:val="20"/>
                <w:color w:val="auto"/>
              </w:rPr>
            </w:pPr>
          </w:p>
        </w:tc>
        <w:tc>
          <w:tcPr>
            <w:tcW w:w="1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w w:val="99"/>
              </w:rPr>
              <w:t>2,154,380</w:t>
            </w:r>
          </w:p>
        </w:tc>
        <w:tc>
          <w:tcPr>
            <w:tcW w:w="0" w:type="dxa"/>
            <w:vAlign w:val="bottom"/>
          </w:tcPr>
          <w:p>
            <w:pPr>
              <w:spacing w:after="0"/>
              <w:rPr>
                <w:sz w:val="1"/>
                <w:szCs w:val="1"/>
                <w:color w:val="auto"/>
              </w:rPr>
            </w:pPr>
          </w:p>
        </w:tc>
      </w:tr>
      <w:tr>
        <w:trPr>
          <w:trHeight w:val="20"/>
        </w:trPr>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-2267585</wp:posOffset>
            </wp:positionH>
            <wp:positionV relativeFrom="paragraph">
              <wp:posOffset>-2527935</wp:posOffset>
            </wp:positionV>
            <wp:extent cx="7132320" cy="1714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-2267585</wp:posOffset>
            </wp:positionH>
            <wp:positionV relativeFrom="paragraph">
              <wp:posOffset>-2133600</wp:posOffset>
            </wp:positionV>
            <wp:extent cx="7132320" cy="2228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222885"/>
                    </a:xfrm>
                    <a:prstGeom prst="rect">
                      <a:avLst/>
                    </a:prstGeom>
                    <a:noFill/>
                  </pic:spPr>
                </pic:pic>
              </a:graphicData>
            </a:graphic>
          </wp:anchor>
        </w:drawing>
        <w:drawing>
          <wp:anchor simplePos="0" relativeHeight="251657728" behindDoc="1" locked="0" layoutInCell="0" allowOverlap="1">
            <wp:simplePos x="0" y="0"/>
            <wp:positionH relativeFrom="column">
              <wp:posOffset>-2267585</wp:posOffset>
            </wp:positionH>
            <wp:positionV relativeFrom="paragraph">
              <wp:posOffset>-1688465</wp:posOffset>
            </wp:positionV>
            <wp:extent cx="7132320" cy="2228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222885"/>
                    </a:xfrm>
                    <a:prstGeom prst="rect">
                      <a:avLst/>
                    </a:prstGeom>
                    <a:noFill/>
                  </pic:spPr>
                </pic:pic>
              </a:graphicData>
            </a:graphic>
          </wp:anchor>
        </w:drawing>
        <w:drawing>
          <wp:anchor simplePos="0" relativeHeight="251657728" behindDoc="1" locked="0" layoutInCell="0" allowOverlap="1">
            <wp:simplePos x="0" y="0"/>
            <wp:positionH relativeFrom="column">
              <wp:posOffset>-2267585</wp:posOffset>
            </wp:positionH>
            <wp:positionV relativeFrom="paragraph">
              <wp:posOffset>-1293495</wp:posOffset>
            </wp:positionV>
            <wp:extent cx="7132320" cy="1714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-2267585</wp:posOffset>
            </wp:positionH>
            <wp:positionV relativeFrom="paragraph">
              <wp:posOffset>-899160</wp:posOffset>
            </wp:positionV>
            <wp:extent cx="7132320" cy="31686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316865"/>
                    </a:xfrm>
                    <a:prstGeom prst="rect">
                      <a:avLst/>
                    </a:prstGeom>
                    <a:noFill/>
                  </pic:spPr>
                </pic:pic>
              </a:graphicData>
            </a:graphic>
          </wp:anchor>
        </w:drawing>
        <w:drawing>
          <wp:anchor simplePos="0" relativeHeight="251657728" behindDoc="1" locked="0" layoutInCell="0" allowOverlap="1">
            <wp:simplePos x="0" y="0"/>
            <wp:positionH relativeFrom="column">
              <wp:posOffset>-2267585</wp:posOffset>
            </wp:positionH>
            <wp:positionV relativeFrom="paragraph">
              <wp:posOffset>-359410</wp:posOffset>
            </wp:positionV>
            <wp:extent cx="7132320" cy="1714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520" w:space="60"/>
            <w:col w:w="7660"/>
          </w:cols>
          <w:pgMar w:left="320" w:top="125"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accompanying notes are an integral part of these financial statements.</w:t>
      </w:r>
    </w:p>
    <w:p>
      <w:pPr>
        <w:spacing w:after="0" w:line="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40"/>
          </w:cols>
          <w:pgMar w:left="320" w:top="125" w:right="339" w:bottom="1440" w:gutter="0" w:footer="0" w:header="0"/>
          <w:type w:val="continuous"/>
        </w:sectPr>
      </w:pPr>
    </w:p>
    <w:bookmarkStart w:id="6" w:name="page7"/>
    <w:bookmarkEnd w:id="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3" w:lineRule="exact"/>
        <w:rPr>
          <w:sz w:val="20"/>
          <w:szCs w:val="20"/>
          <w:color w:val="auto"/>
        </w:rPr>
      </w:pPr>
    </w:p>
    <w:p>
      <w:pPr>
        <w:ind w:left="3820"/>
        <w:spacing w:after="0"/>
        <w:rPr>
          <w:sz w:val="20"/>
          <w:szCs w:val="20"/>
          <w:color w:val="auto"/>
        </w:rPr>
      </w:pPr>
      <w:r>
        <w:rPr>
          <w:rFonts w:ascii="Arial" w:cs="Arial" w:eastAsia="Arial" w:hAnsi="Arial"/>
          <w:sz w:val="18"/>
          <w:szCs w:val="18"/>
          <w:b w:val="1"/>
          <w:bCs w:val="1"/>
          <w:color w:val="auto"/>
        </w:rPr>
        <w:t>Matador Resources Company and Subsidiaries</w:t>
      </w:r>
    </w:p>
    <w:p>
      <w:pPr>
        <w:spacing w:after="0" w:line="171" w:lineRule="exact"/>
        <w:rPr>
          <w:sz w:val="20"/>
          <w:szCs w:val="20"/>
          <w:color w:val="auto"/>
        </w:rPr>
      </w:pPr>
    </w:p>
    <w:p>
      <w:pPr>
        <w:ind w:left="1140"/>
        <w:spacing w:after="0"/>
        <w:rPr>
          <w:sz w:val="20"/>
          <w:szCs w:val="20"/>
          <w:color w:val="auto"/>
        </w:rPr>
      </w:pPr>
      <w:r>
        <w:rPr>
          <w:rFonts w:ascii="Arial" w:cs="Arial" w:eastAsia="Arial" w:hAnsi="Arial"/>
          <w:sz w:val="18"/>
          <w:szCs w:val="18"/>
          <w:b w:val="1"/>
          <w:bCs w:val="1"/>
          <w:color w:val="auto"/>
        </w:rPr>
        <w:t>CONDENSED CONSOLIDATED STATEMENT OF CHANGES IN SHAREHOLDERS’ EQUITY — UNAUDITED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Months Ended March 31, 2019</w:t>
      </w:r>
    </w:p>
    <w:p>
      <w:pPr>
        <w:spacing w:after="0" w:line="200" w:lineRule="exact"/>
        <w:rPr>
          <w:sz w:val="20"/>
          <w:szCs w:val="20"/>
          <w:color w:val="auto"/>
        </w:rPr>
      </w:pPr>
    </w:p>
    <w:p>
      <w:pPr>
        <w:spacing w:after="0" w:line="33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9"/>
              </w:rPr>
              <w:t>Total</w:t>
            </w: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5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91"/>
              </w:rPr>
              <w:t>shareholders’</w:t>
            </w: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5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2"/>
              </w:rPr>
              <w:t>equity</w:t>
            </w:r>
          </w:p>
        </w:tc>
        <w:tc>
          <w:tcPr>
            <w:tcW w:w="120" w:type="dxa"/>
            <w:vAlign w:val="bottom"/>
          </w:tcPr>
          <w:p>
            <w:pPr>
              <w:spacing w:after="0"/>
              <w:rPr>
                <w:sz w:val="12"/>
                <w:szCs w:val="12"/>
                <w:color w:val="auto"/>
              </w:rPr>
            </w:pPr>
          </w:p>
        </w:tc>
        <w:tc>
          <w:tcPr>
            <w:tcW w:w="98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3"/>
              </w:rPr>
              <w:t>Non-</w:t>
            </w: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5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7"/>
              </w:rPr>
              <w:t>attributable</w:t>
            </w:r>
          </w:p>
        </w:tc>
        <w:tc>
          <w:tcPr>
            <w:tcW w:w="12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3580" w:type="dxa"/>
            <w:vAlign w:val="bottom"/>
          </w:tcPr>
          <w:p>
            <w:pPr>
              <w:spacing w:after="0"/>
              <w:rPr>
                <w:sz w:val="13"/>
                <w:szCs w:val="13"/>
                <w:color w:val="auto"/>
              </w:rPr>
            </w:pPr>
          </w:p>
        </w:tc>
        <w:tc>
          <w:tcPr>
            <w:tcW w:w="1380" w:type="dxa"/>
            <w:vAlign w:val="bottom"/>
            <w:gridSpan w:val="4"/>
          </w:tcPr>
          <w:p>
            <w:pPr>
              <w:ind w:left="180"/>
              <w:spacing w:after="0" w:line="158" w:lineRule="exact"/>
              <w:rPr>
                <w:sz w:val="20"/>
                <w:szCs w:val="20"/>
                <w:color w:val="auto"/>
              </w:rPr>
            </w:pPr>
            <w:r>
              <w:rPr>
                <w:rFonts w:ascii="Arial" w:cs="Arial" w:eastAsia="Arial" w:hAnsi="Arial"/>
                <w:sz w:val="14"/>
                <w:szCs w:val="14"/>
                <w:b w:val="1"/>
                <w:bCs w:val="1"/>
                <w:color w:val="auto"/>
              </w:rPr>
              <w:t>Common Stock</w:t>
            </w:r>
          </w:p>
        </w:tc>
        <w:tc>
          <w:tcPr>
            <w:tcW w:w="900" w:type="dxa"/>
            <w:vAlign w:val="bottom"/>
            <w:gridSpan w:val="2"/>
          </w:tcPr>
          <w:p>
            <w:pPr>
              <w:jc w:val="center"/>
              <w:ind w:right="100"/>
              <w:spacing w:after="0" w:line="158" w:lineRule="exact"/>
              <w:rPr>
                <w:sz w:val="20"/>
                <w:szCs w:val="20"/>
                <w:color w:val="auto"/>
              </w:rPr>
            </w:pPr>
            <w:r>
              <w:rPr>
                <w:rFonts w:ascii="Arial" w:cs="Arial" w:eastAsia="Arial" w:hAnsi="Arial"/>
                <w:sz w:val="14"/>
                <w:szCs w:val="14"/>
                <w:b w:val="1"/>
                <w:bCs w:val="1"/>
                <w:color w:val="auto"/>
                <w:w w:val="93"/>
              </w:rPr>
              <w:t>Additional</w:t>
            </w: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0" w:type="dxa"/>
            <w:vAlign w:val="bottom"/>
            <w:gridSpan w:val="5"/>
          </w:tcPr>
          <w:p>
            <w:pPr>
              <w:ind w:left="200"/>
              <w:spacing w:after="0" w:line="158" w:lineRule="exact"/>
              <w:rPr>
                <w:sz w:val="20"/>
                <w:szCs w:val="20"/>
                <w:color w:val="auto"/>
              </w:rPr>
            </w:pPr>
            <w:r>
              <w:rPr>
                <w:rFonts w:ascii="Arial" w:cs="Arial" w:eastAsia="Arial" w:hAnsi="Arial"/>
                <w:sz w:val="14"/>
                <w:szCs w:val="14"/>
                <w:b w:val="1"/>
                <w:bCs w:val="1"/>
                <w:color w:val="auto"/>
              </w:rPr>
              <w:t>Treasury Stock</w:t>
            </w:r>
          </w:p>
        </w:tc>
        <w:tc>
          <w:tcPr>
            <w:tcW w:w="1000" w:type="dxa"/>
            <w:vAlign w:val="bottom"/>
            <w:gridSpan w:val="3"/>
          </w:tcPr>
          <w:p>
            <w:pPr>
              <w:jc w:val="center"/>
              <w:ind w:right="100"/>
              <w:spacing w:after="0" w:line="158" w:lineRule="exact"/>
              <w:rPr>
                <w:sz w:val="20"/>
                <w:szCs w:val="20"/>
                <w:color w:val="auto"/>
              </w:rPr>
            </w:pPr>
            <w:r>
              <w:rPr>
                <w:rFonts w:ascii="Arial" w:cs="Arial" w:eastAsia="Arial" w:hAnsi="Arial"/>
                <w:sz w:val="14"/>
                <w:szCs w:val="14"/>
                <w:b w:val="1"/>
                <w:bCs w:val="1"/>
                <w:color w:val="auto"/>
                <w:w w:val="97"/>
              </w:rPr>
              <w:t>to Matador</w:t>
            </w:r>
          </w:p>
        </w:tc>
        <w:tc>
          <w:tcPr>
            <w:tcW w:w="120" w:type="dxa"/>
            <w:vAlign w:val="bottom"/>
          </w:tcPr>
          <w:p>
            <w:pPr>
              <w:spacing w:after="0"/>
              <w:rPr>
                <w:sz w:val="13"/>
                <w:szCs w:val="13"/>
                <w:color w:val="auto"/>
              </w:rPr>
            </w:pPr>
          </w:p>
        </w:tc>
        <w:tc>
          <w:tcPr>
            <w:tcW w:w="980" w:type="dxa"/>
            <w:vAlign w:val="bottom"/>
            <w:gridSpan w:val="2"/>
          </w:tcPr>
          <w:p>
            <w:pPr>
              <w:jc w:val="center"/>
              <w:ind w:right="240"/>
              <w:spacing w:after="0" w:line="158" w:lineRule="exact"/>
              <w:rPr>
                <w:sz w:val="20"/>
                <w:szCs w:val="20"/>
                <w:color w:val="auto"/>
              </w:rPr>
            </w:pPr>
            <w:r>
              <w:rPr>
                <w:rFonts w:ascii="Arial" w:cs="Arial" w:eastAsia="Arial" w:hAnsi="Arial"/>
                <w:sz w:val="14"/>
                <w:szCs w:val="14"/>
                <w:b w:val="1"/>
                <w:bCs w:val="1"/>
                <w:color w:val="auto"/>
                <w:w w:val="91"/>
              </w:rPr>
              <w:t>controlling</w:t>
            </w:r>
          </w:p>
        </w:tc>
        <w:tc>
          <w:tcPr>
            <w:tcW w:w="140" w:type="dxa"/>
            <w:vAlign w:val="bottom"/>
          </w:tcPr>
          <w:p>
            <w:pPr>
              <w:spacing w:after="0"/>
              <w:rPr>
                <w:sz w:val="13"/>
                <w:szCs w:val="13"/>
                <w:color w:val="auto"/>
              </w:rPr>
            </w:pPr>
          </w:p>
        </w:tc>
        <w:tc>
          <w:tcPr>
            <w:tcW w:w="740" w:type="dxa"/>
            <w:vAlign w:val="bottom"/>
          </w:tcPr>
          <w:p>
            <w:pPr>
              <w:jc w:val="right"/>
              <w:ind w:right="208"/>
              <w:spacing w:after="0" w:line="158"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54"/>
        </w:trPr>
        <w:tc>
          <w:tcPr>
            <w:tcW w:w="3580" w:type="dxa"/>
            <w:vAlign w:val="bottom"/>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900" w:type="dxa"/>
            <w:vAlign w:val="bottom"/>
            <w:gridSpan w:val="2"/>
            <w:vMerge w:val="restart"/>
          </w:tcPr>
          <w:p>
            <w:pPr>
              <w:jc w:val="center"/>
              <w:ind w:right="100"/>
              <w:spacing w:after="0" w:line="139" w:lineRule="exact"/>
              <w:rPr>
                <w:sz w:val="20"/>
                <w:szCs w:val="20"/>
                <w:color w:val="auto"/>
              </w:rPr>
            </w:pPr>
            <w:r>
              <w:rPr>
                <w:rFonts w:ascii="Arial" w:cs="Arial" w:eastAsia="Arial" w:hAnsi="Arial"/>
                <w:sz w:val="14"/>
                <w:szCs w:val="14"/>
                <w:b w:val="1"/>
                <w:bCs w:val="1"/>
                <w:color w:val="auto"/>
                <w:w w:val="95"/>
              </w:rPr>
              <w:t>paid-in</w:t>
            </w:r>
          </w:p>
        </w:tc>
        <w:tc>
          <w:tcPr>
            <w:tcW w:w="1000" w:type="dxa"/>
            <w:vAlign w:val="bottom"/>
            <w:gridSpan w:val="3"/>
            <w:vMerge w:val="restart"/>
          </w:tcPr>
          <w:p>
            <w:pPr>
              <w:ind w:left="40"/>
              <w:spacing w:after="0" w:line="139" w:lineRule="exact"/>
              <w:rPr>
                <w:sz w:val="20"/>
                <w:szCs w:val="20"/>
                <w:color w:val="auto"/>
              </w:rPr>
            </w:pPr>
            <w:r>
              <w:rPr>
                <w:rFonts w:ascii="Arial" w:cs="Arial" w:eastAsia="Arial" w:hAnsi="Arial"/>
                <w:sz w:val="14"/>
                <w:szCs w:val="14"/>
                <w:b w:val="1"/>
                <w:bCs w:val="1"/>
                <w:color w:val="auto"/>
              </w:rPr>
              <w:t>Accumulated</w:t>
            </w:r>
          </w:p>
        </w:tc>
        <w:tc>
          <w:tcPr>
            <w:tcW w:w="5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880" w:type="dxa"/>
            <w:vAlign w:val="bottom"/>
            <w:gridSpan w:val="2"/>
            <w:vMerge w:val="restart"/>
          </w:tcPr>
          <w:p>
            <w:pPr>
              <w:jc w:val="center"/>
              <w:ind w:right="220"/>
              <w:spacing w:after="0" w:line="139" w:lineRule="exact"/>
              <w:rPr>
                <w:sz w:val="20"/>
                <w:szCs w:val="20"/>
                <w:color w:val="auto"/>
              </w:rPr>
            </w:pPr>
            <w:r>
              <w:rPr>
                <w:rFonts w:ascii="Arial" w:cs="Arial" w:eastAsia="Arial" w:hAnsi="Arial"/>
                <w:sz w:val="14"/>
                <w:szCs w:val="14"/>
                <w:b w:val="1"/>
                <w:bCs w:val="1"/>
                <w:color w:val="auto"/>
                <w:w w:val="86"/>
              </w:rPr>
              <w:t>Resources</w:t>
            </w:r>
          </w:p>
        </w:tc>
        <w:tc>
          <w:tcPr>
            <w:tcW w:w="120" w:type="dxa"/>
            <w:vAlign w:val="bottom"/>
          </w:tcPr>
          <w:p>
            <w:pPr>
              <w:spacing w:after="0"/>
              <w:rPr>
                <w:sz w:val="4"/>
                <w:szCs w:val="4"/>
                <w:color w:val="auto"/>
              </w:rPr>
            </w:pPr>
          </w:p>
        </w:tc>
        <w:tc>
          <w:tcPr>
            <w:tcW w:w="980" w:type="dxa"/>
            <w:vAlign w:val="bottom"/>
            <w:gridSpan w:val="2"/>
            <w:vMerge w:val="restart"/>
          </w:tcPr>
          <w:p>
            <w:pPr>
              <w:jc w:val="center"/>
              <w:ind w:right="240"/>
              <w:spacing w:after="0" w:line="139" w:lineRule="exact"/>
              <w:rPr>
                <w:sz w:val="20"/>
                <w:szCs w:val="20"/>
                <w:color w:val="auto"/>
              </w:rPr>
            </w:pPr>
            <w:r>
              <w:rPr>
                <w:rFonts w:ascii="Arial" w:cs="Arial" w:eastAsia="Arial" w:hAnsi="Arial"/>
                <w:sz w:val="14"/>
                <w:szCs w:val="14"/>
                <w:b w:val="1"/>
                <w:bCs w:val="1"/>
                <w:color w:val="auto"/>
                <w:w w:val="92"/>
              </w:rPr>
              <w:t>interest in</w:t>
            </w:r>
          </w:p>
        </w:tc>
        <w:tc>
          <w:tcPr>
            <w:tcW w:w="880" w:type="dxa"/>
            <w:vAlign w:val="bottom"/>
            <w:gridSpan w:val="2"/>
            <w:vMerge w:val="restart"/>
          </w:tcPr>
          <w:p>
            <w:pPr>
              <w:ind w:left="20"/>
              <w:spacing w:after="0" w:line="139" w:lineRule="exact"/>
              <w:rPr>
                <w:sz w:val="20"/>
                <w:szCs w:val="20"/>
                <w:color w:val="auto"/>
              </w:rPr>
            </w:pPr>
            <w:r>
              <w:rPr>
                <w:rFonts w:ascii="Arial" w:cs="Arial" w:eastAsia="Arial" w:hAnsi="Arial"/>
                <w:sz w:val="14"/>
                <w:szCs w:val="14"/>
                <w:b w:val="1"/>
                <w:bCs w:val="1"/>
                <w:color w:val="auto"/>
                <w:w w:val="91"/>
              </w:rPr>
              <w:t>shareholders’</w:t>
            </w:r>
          </w:p>
        </w:tc>
        <w:tc>
          <w:tcPr>
            <w:tcW w:w="0" w:type="dxa"/>
            <w:vAlign w:val="bottom"/>
          </w:tcPr>
          <w:p>
            <w:pPr>
              <w:spacing w:after="0"/>
              <w:rPr>
                <w:sz w:val="1"/>
                <w:szCs w:val="1"/>
                <w:color w:val="auto"/>
              </w:rPr>
            </w:pPr>
          </w:p>
        </w:tc>
      </w:tr>
      <w:tr>
        <w:trPr>
          <w:trHeight w:val="65"/>
        </w:trPr>
        <w:tc>
          <w:tcPr>
            <w:tcW w:w="3580" w:type="dxa"/>
            <w:vAlign w:val="bottom"/>
          </w:tcPr>
          <w:p>
            <w:pPr>
              <w:spacing w:after="0"/>
              <w:rPr>
                <w:sz w:val="5"/>
                <w:szCs w:val="5"/>
                <w:color w:val="auto"/>
              </w:rPr>
            </w:pPr>
          </w:p>
        </w:tc>
        <w:tc>
          <w:tcPr>
            <w:tcW w:w="72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Shares</w:t>
            </w:r>
          </w:p>
        </w:tc>
        <w:tc>
          <w:tcPr>
            <w:tcW w:w="6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Amount</w:t>
            </w:r>
          </w:p>
        </w:tc>
        <w:tc>
          <w:tcPr>
            <w:tcW w:w="900" w:type="dxa"/>
            <w:vAlign w:val="bottom"/>
            <w:gridSpan w:val="2"/>
            <w:vMerge w:val="continue"/>
          </w:tcPr>
          <w:p>
            <w:pPr>
              <w:spacing w:after="0"/>
              <w:rPr>
                <w:sz w:val="5"/>
                <w:szCs w:val="5"/>
                <w:color w:val="auto"/>
              </w:rPr>
            </w:pPr>
          </w:p>
        </w:tc>
        <w:tc>
          <w:tcPr>
            <w:tcW w:w="1000" w:type="dxa"/>
            <w:vAlign w:val="bottom"/>
            <w:gridSpan w:val="3"/>
            <w:vMerge w:val="continue"/>
          </w:tcPr>
          <w:p>
            <w:pPr>
              <w:spacing w:after="0"/>
              <w:rPr>
                <w:sz w:val="5"/>
                <w:szCs w:val="5"/>
                <w:color w:val="auto"/>
              </w:rPr>
            </w:pPr>
          </w:p>
        </w:tc>
        <w:tc>
          <w:tcPr>
            <w:tcW w:w="6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Shares</w:t>
            </w:r>
          </w:p>
        </w:tc>
        <w:tc>
          <w:tcPr>
            <w:tcW w:w="74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5"/>
                <w:szCs w:val="5"/>
                <w:color w:val="auto"/>
              </w:rPr>
            </w:pPr>
          </w:p>
        </w:tc>
        <w:tc>
          <w:tcPr>
            <w:tcW w:w="88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980" w:type="dxa"/>
            <w:vAlign w:val="bottom"/>
            <w:gridSpan w:val="2"/>
            <w:vMerge w:val="continue"/>
          </w:tcPr>
          <w:p>
            <w:pPr>
              <w:spacing w:after="0"/>
              <w:rPr>
                <w:sz w:val="5"/>
                <w:szCs w:val="5"/>
                <w:color w:val="auto"/>
              </w:rPr>
            </w:pPr>
          </w:p>
        </w:tc>
        <w:tc>
          <w:tcPr>
            <w:tcW w:w="88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358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660" w:type="dxa"/>
            <w:vAlign w:val="bottom"/>
            <w:gridSpan w:val="2"/>
            <w:vMerge w:val="continue"/>
          </w:tcPr>
          <w:p>
            <w:pPr>
              <w:spacing w:after="0"/>
              <w:rPr>
                <w:sz w:val="16"/>
                <w:szCs w:val="16"/>
                <w:color w:val="auto"/>
              </w:rPr>
            </w:pPr>
          </w:p>
        </w:tc>
        <w:tc>
          <w:tcPr>
            <w:tcW w:w="9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capital</w:t>
            </w:r>
          </w:p>
        </w:tc>
        <w:tc>
          <w:tcPr>
            <w:tcW w:w="180" w:type="dxa"/>
            <w:vAlign w:val="bottom"/>
          </w:tcPr>
          <w:p>
            <w:pPr>
              <w:spacing w:after="0"/>
              <w:rPr>
                <w:sz w:val="16"/>
                <w:szCs w:val="16"/>
                <w:color w:val="auto"/>
              </w:rPr>
            </w:pPr>
          </w:p>
        </w:tc>
        <w:tc>
          <w:tcPr>
            <w:tcW w:w="820" w:type="dxa"/>
            <w:vAlign w:val="bottom"/>
            <w:gridSpan w:val="2"/>
          </w:tcPr>
          <w:p>
            <w:pPr>
              <w:ind w:left="80"/>
              <w:spacing w:after="0"/>
              <w:rPr>
                <w:sz w:val="20"/>
                <w:szCs w:val="20"/>
                <w:color w:val="auto"/>
              </w:rPr>
            </w:pPr>
            <w:r>
              <w:rPr>
                <w:rFonts w:ascii="Arial" w:cs="Arial" w:eastAsia="Arial" w:hAnsi="Arial"/>
                <w:sz w:val="14"/>
                <w:szCs w:val="14"/>
                <w:b w:val="1"/>
                <w:bCs w:val="1"/>
                <w:color w:val="auto"/>
              </w:rPr>
              <w:t>deficit</w:t>
            </w:r>
          </w:p>
        </w:tc>
        <w:tc>
          <w:tcPr>
            <w:tcW w:w="660" w:type="dxa"/>
            <w:vAlign w:val="bottom"/>
            <w:gridSpan w:val="2"/>
            <w:vMerge w:val="continue"/>
          </w:tcPr>
          <w:p>
            <w:pPr>
              <w:spacing w:after="0"/>
              <w:rPr>
                <w:sz w:val="16"/>
                <w:szCs w:val="16"/>
                <w:color w:val="auto"/>
              </w:rPr>
            </w:pPr>
          </w:p>
        </w:tc>
        <w:tc>
          <w:tcPr>
            <w:tcW w:w="740" w:type="dxa"/>
            <w:vAlign w:val="bottom"/>
            <w:gridSpan w:val="3"/>
            <w:vMerge w:val="continue"/>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Company</w:t>
            </w:r>
          </w:p>
        </w:tc>
        <w:tc>
          <w:tcPr>
            <w:tcW w:w="120" w:type="dxa"/>
            <w:vAlign w:val="bottom"/>
          </w:tcPr>
          <w:p>
            <w:pPr>
              <w:spacing w:after="0"/>
              <w:rPr>
                <w:sz w:val="16"/>
                <w:szCs w:val="16"/>
                <w:color w:val="auto"/>
              </w:rPr>
            </w:pPr>
          </w:p>
        </w:tc>
        <w:tc>
          <w:tcPr>
            <w:tcW w:w="9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8"/>
              </w:rPr>
              <w:t>subsidiaries</w:t>
            </w:r>
          </w:p>
        </w:tc>
        <w:tc>
          <w:tcPr>
            <w:tcW w:w="140" w:type="dxa"/>
            <w:vAlign w:val="bottom"/>
          </w:tcPr>
          <w:p>
            <w:pPr>
              <w:spacing w:after="0"/>
              <w:rPr>
                <w:sz w:val="16"/>
                <w:szCs w:val="16"/>
                <w:color w:val="auto"/>
              </w:rPr>
            </w:pPr>
          </w:p>
        </w:tc>
        <w:tc>
          <w:tcPr>
            <w:tcW w:w="740" w:type="dxa"/>
            <w:vAlign w:val="bottom"/>
          </w:tcPr>
          <w:p>
            <w:pPr>
              <w:jc w:val="right"/>
              <w:ind w:right="168"/>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177"/>
        </w:trPr>
        <w:tc>
          <w:tcPr>
            <w:tcW w:w="358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Balance at January 1, 2019</w:t>
            </w:r>
          </w:p>
        </w:tc>
        <w:tc>
          <w:tcPr>
            <w:tcW w:w="620" w:type="dxa"/>
            <w:vAlign w:val="bottom"/>
            <w:tcBorders>
              <w:top w:val="single" w:sz="8" w:color="auto"/>
            </w:tcBorders>
            <w:vMerge w:val="restart"/>
            <w:shd w:val="clear" w:color="auto" w:fill="CCEEFF"/>
          </w:tcPr>
          <w:p>
            <w:pPr>
              <w:jc w:val="right"/>
              <w:ind w:right="48"/>
              <w:spacing w:after="0"/>
              <w:rPr>
                <w:sz w:val="20"/>
                <w:szCs w:val="20"/>
                <w:color w:val="auto"/>
              </w:rPr>
            </w:pPr>
            <w:r>
              <w:rPr>
                <w:rFonts w:ascii="Arial" w:cs="Arial" w:eastAsia="Arial" w:hAnsi="Arial"/>
                <w:sz w:val="14"/>
                <w:szCs w:val="14"/>
                <w:color w:val="auto"/>
                <w:w w:val="94"/>
              </w:rPr>
              <w:t>116,375</w:t>
            </w:r>
          </w:p>
        </w:tc>
        <w:tc>
          <w:tcPr>
            <w:tcW w:w="100" w:type="dxa"/>
            <w:vAlign w:val="bottom"/>
            <w:tcBorders>
              <w:top w:val="single" w:sz="8" w:color="CCEEFF"/>
            </w:tcBorders>
            <w:shd w:val="clear" w:color="auto" w:fill="CCEEFF"/>
          </w:tcPr>
          <w:p>
            <w:pPr>
              <w:spacing w:after="0"/>
              <w:rPr>
                <w:sz w:val="15"/>
                <w:szCs w:val="15"/>
                <w:color w:val="auto"/>
              </w:rPr>
            </w:pPr>
          </w:p>
        </w:tc>
        <w:tc>
          <w:tcPr>
            <w:tcW w:w="560" w:type="dxa"/>
            <w:vAlign w:val="bottom"/>
            <w:tcBorders>
              <w:top w:val="single" w:sz="8" w:color="auto"/>
            </w:tcBorders>
            <w:vMerge w:val="restart"/>
            <w:shd w:val="clear" w:color="auto" w:fill="CCEEFF"/>
          </w:tcPr>
          <w:p>
            <w:pPr>
              <w:jc w:val="right"/>
              <w:ind w:right="48"/>
              <w:spacing w:after="0"/>
              <w:rPr>
                <w:sz w:val="20"/>
                <w:szCs w:val="20"/>
                <w:color w:val="auto"/>
              </w:rPr>
            </w:pPr>
            <w:r>
              <w:rPr>
                <w:rFonts w:ascii="Arial" w:cs="Arial" w:eastAsia="Arial" w:hAnsi="Arial"/>
                <w:sz w:val="14"/>
                <w:szCs w:val="14"/>
                <w:color w:val="auto"/>
                <w:w w:val="89"/>
              </w:rPr>
              <w:t>$ 1,164</w:t>
            </w:r>
          </w:p>
        </w:tc>
        <w:tc>
          <w:tcPr>
            <w:tcW w:w="100" w:type="dxa"/>
            <w:vAlign w:val="bottom"/>
            <w:tcBorders>
              <w:top w:val="single" w:sz="8" w:color="CCEEFF"/>
            </w:tcBorders>
            <w:shd w:val="clear" w:color="auto" w:fill="CCEEFF"/>
          </w:tcPr>
          <w:p>
            <w:pPr>
              <w:spacing w:after="0"/>
              <w:rPr>
                <w:sz w:val="15"/>
                <w:szCs w:val="15"/>
                <w:color w:val="auto"/>
              </w:rPr>
            </w:pPr>
          </w:p>
        </w:tc>
        <w:tc>
          <w:tcPr>
            <w:tcW w:w="800" w:type="dxa"/>
            <w:vAlign w:val="bottom"/>
            <w:tcBorders>
              <w:top w:val="single" w:sz="8" w:color="auto"/>
            </w:tcBorders>
            <w:vMerge w:val="restart"/>
            <w:shd w:val="clear" w:color="auto" w:fill="CCEEFF"/>
          </w:tcPr>
          <w:p>
            <w:pPr>
              <w:jc w:val="right"/>
              <w:ind w:right="28"/>
              <w:spacing w:after="0"/>
              <w:rPr>
                <w:sz w:val="20"/>
                <w:szCs w:val="20"/>
                <w:color w:val="auto"/>
              </w:rPr>
            </w:pPr>
            <w:r>
              <w:rPr>
                <w:rFonts w:ascii="Arial" w:cs="Arial" w:eastAsia="Arial" w:hAnsi="Arial"/>
                <w:sz w:val="14"/>
                <w:szCs w:val="14"/>
                <w:color w:val="auto"/>
                <w:w w:val="96"/>
              </w:rPr>
              <w:t>$1,924,408</w:t>
            </w:r>
          </w:p>
        </w:tc>
        <w:tc>
          <w:tcPr>
            <w:tcW w:w="1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vMerge w:val="restart"/>
            <w:shd w:val="clear" w:color="auto" w:fill="CCEEFF"/>
          </w:tcPr>
          <w:p>
            <w:pPr>
              <w:ind w:left="40"/>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(236,277)</w:t>
            </w:r>
          </w:p>
        </w:tc>
        <w:tc>
          <w:tcPr>
            <w:tcW w:w="120" w:type="dxa"/>
            <w:vAlign w:val="bottom"/>
            <w:tcBorders>
              <w:top w:val="single" w:sz="8" w:color="CCEEFF"/>
            </w:tcBorders>
            <w:shd w:val="clear" w:color="auto" w:fill="CCEEFF"/>
          </w:tcPr>
          <w:p>
            <w:pPr>
              <w:spacing w:after="0"/>
              <w:rPr>
                <w:sz w:val="15"/>
                <w:szCs w:val="15"/>
                <w:color w:val="auto"/>
              </w:rPr>
            </w:pPr>
          </w:p>
        </w:tc>
        <w:tc>
          <w:tcPr>
            <w:tcW w:w="540" w:type="dxa"/>
            <w:vAlign w:val="bottom"/>
            <w:tcBorders>
              <w:top w:val="single" w:sz="8" w:color="auto"/>
            </w:tcBorders>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21</w:t>
            </w:r>
          </w:p>
        </w:tc>
        <w:tc>
          <w:tcPr>
            <w:tcW w:w="1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vMerge w:val="restart"/>
            <w:shd w:val="clear" w:color="auto" w:fill="CCEEFF"/>
          </w:tcPr>
          <w:p>
            <w:pPr>
              <w:ind w:left="20"/>
              <w:spacing w:after="0"/>
              <w:rPr>
                <w:sz w:val="20"/>
                <w:szCs w:val="20"/>
                <w:color w:val="auto"/>
              </w:rPr>
            </w:pPr>
            <w:r>
              <w:rPr>
                <w:rFonts w:ascii="Arial" w:cs="Arial" w:eastAsia="Arial" w:hAnsi="Arial"/>
                <w:sz w:val="14"/>
                <w:szCs w:val="14"/>
                <w:color w:val="auto"/>
              </w:rPr>
              <w:t>$</w:t>
            </w:r>
          </w:p>
        </w:tc>
        <w:tc>
          <w:tcPr>
            <w:tcW w:w="5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(415)</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tcBorders>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1,688,880</w:t>
            </w:r>
          </w:p>
        </w:tc>
        <w:tc>
          <w:tcPr>
            <w:tcW w:w="1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tcBorders>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90,777</w:t>
            </w: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vMerge w:val="restart"/>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tcBorders>
            <w:vMerge w:val="restart"/>
            <w:shd w:val="clear" w:color="auto" w:fill="CCEEFF"/>
          </w:tcPr>
          <w:p>
            <w:pPr>
              <w:jc w:val="right"/>
              <w:ind w:right="28"/>
              <w:spacing w:after="0"/>
              <w:rPr>
                <w:sz w:val="20"/>
                <w:szCs w:val="20"/>
                <w:color w:val="auto"/>
              </w:rPr>
            </w:pPr>
            <w:r>
              <w:rPr>
                <w:rFonts w:ascii="Arial" w:cs="Arial" w:eastAsia="Arial" w:hAnsi="Arial"/>
                <w:sz w:val="14"/>
                <w:szCs w:val="14"/>
                <w:color w:val="auto"/>
                <w:w w:val="99"/>
              </w:rPr>
              <w:t>1,779,657</w:t>
            </w:r>
          </w:p>
        </w:tc>
        <w:tc>
          <w:tcPr>
            <w:tcW w:w="0" w:type="dxa"/>
            <w:vAlign w:val="bottom"/>
          </w:tcPr>
          <w:p>
            <w:pPr>
              <w:spacing w:after="0"/>
              <w:rPr>
                <w:sz w:val="1"/>
                <w:szCs w:val="1"/>
                <w:color w:val="auto"/>
              </w:rPr>
            </w:pPr>
          </w:p>
        </w:tc>
      </w:tr>
      <w:tr>
        <w:trPr>
          <w:trHeight w:val="79"/>
        </w:trPr>
        <w:tc>
          <w:tcPr>
            <w:tcW w:w="3580" w:type="dxa"/>
            <w:vAlign w:val="bottom"/>
            <w:shd w:val="clear" w:color="auto" w:fill="CCEEFF"/>
          </w:tcPr>
          <w:p>
            <w:pPr>
              <w:spacing w:after="0"/>
              <w:rPr>
                <w:sz w:val="6"/>
                <w:szCs w:val="6"/>
                <w:color w:val="auto"/>
              </w:rPr>
            </w:pPr>
          </w:p>
        </w:tc>
        <w:tc>
          <w:tcPr>
            <w:tcW w:w="62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56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80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80" w:type="dxa"/>
            <w:vAlign w:val="bottom"/>
            <w:vMerge w:val="continue"/>
            <w:shd w:val="clear" w:color="auto" w:fill="CCEEFF"/>
          </w:tcPr>
          <w:p>
            <w:pPr>
              <w:spacing w:after="0"/>
              <w:rPr>
                <w:sz w:val="6"/>
                <w:szCs w:val="6"/>
                <w:color w:val="auto"/>
              </w:rPr>
            </w:pPr>
          </w:p>
        </w:tc>
        <w:tc>
          <w:tcPr>
            <w:tcW w:w="70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54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0" w:type="dxa"/>
            <w:vAlign w:val="bottom"/>
            <w:vMerge w:val="continue"/>
            <w:shd w:val="clear" w:color="auto" w:fill="CCEEFF"/>
          </w:tcPr>
          <w:p>
            <w:pPr>
              <w:spacing w:after="0"/>
              <w:rPr>
                <w:sz w:val="6"/>
                <w:szCs w:val="6"/>
                <w:color w:val="auto"/>
              </w:rPr>
            </w:pPr>
          </w:p>
        </w:tc>
        <w:tc>
          <w:tcPr>
            <w:tcW w:w="52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vMerge w:val="continue"/>
            <w:shd w:val="clear" w:color="auto" w:fill="CCEEFF"/>
          </w:tcPr>
          <w:p>
            <w:pPr>
              <w:spacing w:after="0"/>
              <w:rPr>
                <w:sz w:val="6"/>
                <w:szCs w:val="6"/>
                <w:color w:val="auto"/>
              </w:rPr>
            </w:pPr>
          </w:p>
        </w:tc>
        <w:tc>
          <w:tcPr>
            <w:tcW w:w="76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0" w:type="dxa"/>
            <w:vAlign w:val="bottom"/>
            <w:vMerge w:val="continue"/>
            <w:shd w:val="clear" w:color="auto" w:fill="CCEEFF"/>
          </w:tcPr>
          <w:p>
            <w:pPr>
              <w:spacing w:after="0"/>
              <w:rPr>
                <w:sz w:val="6"/>
                <w:szCs w:val="6"/>
                <w:color w:val="auto"/>
              </w:rPr>
            </w:pPr>
          </w:p>
        </w:tc>
        <w:tc>
          <w:tcPr>
            <w:tcW w:w="88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 w:type="dxa"/>
            <w:vAlign w:val="bottom"/>
            <w:vMerge w:val="continue"/>
            <w:shd w:val="clear" w:color="auto" w:fill="CCEEFF"/>
          </w:tcPr>
          <w:p>
            <w:pPr>
              <w:spacing w:after="0"/>
              <w:rPr>
                <w:sz w:val="6"/>
                <w:szCs w:val="6"/>
                <w:color w:val="auto"/>
              </w:rPr>
            </w:pPr>
          </w:p>
        </w:tc>
        <w:tc>
          <w:tcPr>
            <w:tcW w:w="74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57"/>
        </w:trPr>
        <w:tc>
          <w:tcPr>
            <w:tcW w:w="3580" w:type="dxa"/>
            <w:vAlign w:val="bottom"/>
          </w:tcPr>
          <w:p>
            <w:pPr>
              <w:ind w:left="40"/>
              <w:spacing w:after="0" w:line="157" w:lineRule="exact"/>
              <w:rPr>
                <w:sz w:val="20"/>
                <w:szCs w:val="20"/>
                <w:color w:val="auto"/>
              </w:rPr>
            </w:pPr>
            <w:r>
              <w:rPr>
                <w:rFonts w:ascii="Arial" w:cs="Arial" w:eastAsia="Arial" w:hAnsi="Arial"/>
                <w:sz w:val="14"/>
                <w:szCs w:val="14"/>
                <w:color w:val="auto"/>
              </w:rPr>
              <w:t>Issuance of common stock pursuant to employee stock</w:t>
            </w: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3580" w:type="dxa"/>
            <w:vAlign w:val="bottom"/>
          </w:tcPr>
          <w:p>
            <w:pPr>
              <w:ind w:left="40"/>
              <w:spacing w:after="0"/>
              <w:rPr>
                <w:sz w:val="20"/>
                <w:szCs w:val="20"/>
                <w:color w:val="auto"/>
              </w:rPr>
            </w:pPr>
            <w:r>
              <w:rPr>
                <w:rFonts w:ascii="Arial" w:cs="Arial" w:eastAsia="Arial" w:hAnsi="Arial"/>
                <w:sz w:val="14"/>
                <w:szCs w:val="14"/>
                <w:color w:val="auto"/>
              </w:rPr>
              <w:t>compensation plan</w:t>
            </w:r>
          </w:p>
        </w:tc>
        <w:tc>
          <w:tcPr>
            <w:tcW w:w="620" w:type="dxa"/>
            <w:vAlign w:val="bottom"/>
          </w:tcPr>
          <w:p>
            <w:pPr>
              <w:jc w:val="right"/>
              <w:ind w:right="48"/>
              <w:spacing w:after="0"/>
              <w:rPr>
                <w:sz w:val="20"/>
                <w:szCs w:val="20"/>
                <w:color w:val="auto"/>
              </w:rPr>
            </w:pPr>
            <w:r>
              <w:rPr>
                <w:rFonts w:ascii="Arial" w:cs="Arial" w:eastAsia="Arial" w:hAnsi="Arial"/>
                <w:sz w:val="14"/>
                <w:szCs w:val="14"/>
                <w:color w:val="auto"/>
              </w:rPr>
              <w:t>6</w:t>
            </w:r>
          </w:p>
        </w:tc>
        <w:tc>
          <w:tcPr>
            <w:tcW w:w="100" w:type="dxa"/>
            <w:vAlign w:val="bottom"/>
          </w:tcPr>
          <w:p>
            <w:pPr>
              <w:spacing w:after="0"/>
              <w:rPr>
                <w:sz w:val="16"/>
                <w:szCs w:val="16"/>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3"/>
        </w:trPr>
        <w:tc>
          <w:tcPr>
            <w:tcW w:w="3580" w:type="dxa"/>
            <w:vAlign w:val="bottom"/>
            <w:shd w:val="clear" w:color="auto" w:fill="CCEEFF"/>
          </w:tcPr>
          <w:p>
            <w:pPr>
              <w:ind w:left="40"/>
              <w:spacing w:after="0"/>
              <w:rPr>
                <w:sz w:val="20"/>
                <w:szCs w:val="20"/>
                <w:color w:val="auto"/>
              </w:rPr>
            </w:pPr>
            <w:r>
              <w:rPr>
                <w:rFonts w:ascii="Arial" w:cs="Arial" w:eastAsia="Arial" w:hAnsi="Arial"/>
                <w:sz w:val="14"/>
                <w:szCs w:val="14"/>
                <w:color w:val="auto"/>
              </w:rPr>
              <w:t>Issuance of common stock pursuant to directors’ and</w:t>
            </w:r>
          </w:p>
        </w:tc>
        <w:tc>
          <w:tcPr>
            <w:tcW w:w="6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3580" w:type="dxa"/>
            <w:vAlign w:val="bottom"/>
            <w:shd w:val="clear" w:color="auto" w:fill="CCEEFF"/>
          </w:tcPr>
          <w:p>
            <w:pPr>
              <w:ind w:left="40"/>
              <w:spacing w:after="0"/>
              <w:rPr>
                <w:sz w:val="20"/>
                <w:szCs w:val="20"/>
                <w:color w:val="auto"/>
              </w:rPr>
            </w:pPr>
            <w:r>
              <w:rPr>
                <w:rFonts w:ascii="Arial" w:cs="Arial" w:eastAsia="Arial" w:hAnsi="Arial"/>
                <w:sz w:val="14"/>
                <w:szCs w:val="14"/>
                <w:color w:val="auto"/>
              </w:rPr>
              <w:t>advisors’ compensation plan</w:t>
            </w:r>
          </w:p>
        </w:tc>
        <w:tc>
          <w:tcPr>
            <w:tcW w:w="6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w:t>
            </w:r>
          </w:p>
        </w:tc>
        <w:tc>
          <w:tcPr>
            <w:tcW w:w="10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7"/>
        </w:trPr>
        <w:tc>
          <w:tcPr>
            <w:tcW w:w="3580" w:type="dxa"/>
            <w:vAlign w:val="bottom"/>
          </w:tcPr>
          <w:p>
            <w:pPr>
              <w:ind w:left="40"/>
              <w:spacing w:after="0" w:line="157" w:lineRule="exact"/>
              <w:rPr>
                <w:sz w:val="20"/>
                <w:szCs w:val="20"/>
                <w:color w:val="auto"/>
              </w:rPr>
            </w:pPr>
            <w:r>
              <w:rPr>
                <w:rFonts w:ascii="Arial" w:cs="Arial" w:eastAsia="Arial" w:hAnsi="Arial"/>
                <w:sz w:val="14"/>
                <w:szCs w:val="14"/>
                <w:color w:val="auto"/>
                <w:w w:val="94"/>
              </w:rPr>
              <w:t>Stock-based compensation expense related to equity-based</w:t>
            </w: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3580" w:type="dxa"/>
            <w:vAlign w:val="bottom"/>
          </w:tcPr>
          <w:p>
            <w:pPr>
              <w:ind w:left="40"/>
              <w:spacing w:after="0"/>
              <w:rPr>
                <w:sz w:val="20"/>
                <w:szCs w:val="20"/>
                <w:color w:val="auto"/>
              </w:rPr>
            </w:pPr>
            <w:r>
              <w:rPr>
                <w:rFonts w:ascii="Arial" w:cs="Arial" w:eastAsia="Arial" w:hAnsi="Arial"/>
                <w:sz w:val="14"/>
                <w:szCs w:val="14"/>
                <w:color w:val="auto"/>
              </w:rPr>
              <w:t>awards including amounts capitalized</w:t>
            </w:r>
          </w:p>
        </w:tc>
        <w:tc>
          <w:tcPr>
            <w:tcW w:w="7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5,802</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5,802</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5,802</w:t>
            </w:r>
          </w:p>
        </w:tc>
        <w:tc>
          <w:tcPr>
            <w:tcW w:w="0" w:type="dxa"/>
            <w:vAlign w:val="bottom"/>
          </w:tcPr>
          <w:p>
            <w:pPr>
              <w:spacing w:after="0"/>
              <w:rPr>
                <w:sz w:val="1"/>
                <w:szCs w:val="1"/>
                <w:color w:val="auto"/>
              </w:rPr>
            </w:pPr>
          </w:p>
        </w:tc>
      </w:tr>
      <w:tr>
        <w:trPr>
          <w:trHeight w:val="163"/>
        </w:trPr>
        <w:tc>
          <w:tcPr>
            <w:tcW w:w="3580" w:type="dxa"/>
            <w:vAlign w:val="bottom"/>
            <w:shd w:val="clear" w:color="auto" w:fill="CCEEFF"/>
          </w:tcPr>
          <w:p>
            <w:pPr>
              <w:ind w:left="40"/>
              <w:spacing w:after="0"/>
              <w:rPr>
                <w:sz w:val="20"/>
                <w:szCs w:val="20"/>
                <w:color w:val="auto"/>
              </w:rPr>
            </w:pPr>
            <w:r>
              <w:rPr>
                <w:rFonts w:ascii="Arial" w:cs="Arial" w:eastAsia="Arial" w:hAnsi="Arial"/>
                <w:sz w:val="14"/>
                <w:szCs w:val="14"/>
                <w:color w:val="auto"/>
                <w:w w:val="94"/>
              </w:rPr>
              <w:t>Stock options exercised, net of options forfeited in net share</w:t>
            </w:r>
          </w:p>
        </w:tc>
        <w:tc>
          <w:tcPr>
            <w:tcW w:w="6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3580" w:type="dxa"/>
            <w:vAlign w:val="bottom"/>
            <w:shd w:val="clear" w:color="auto" w:fill="CCEEFF"/>
          </w:tcPr>
          <w:p>
            <w:pPr>
              <w:ind w:left="40"/>
              <w:spacing w:after="0"/>
              <w:rPr>
                <w:sz w:val="20"/>
                <w:szCs w:val="20"/>
                <w:color w:val="auto"/>
              </w:rPr>
            </w:pPr>
            <w:r>
              <w:rPr>
                <w:rFonts w:ascii="Arial" w:cs="Arial" w:eastAsia="Arial" w:hAnsi="Arial"/>
                <w:sz w:val="14"/>
                <w:szCs w:val="14"/>
                <w:color w:val="auto"/>
              </w:rPr>
              <w:t>settlements</w:t>
            </w:r>
          </w:p>
        </w:tc>
        <w:tc>
          <w:tcPr>
            <w:tcW w:w="6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210</w:t>
            </w: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3,109</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3,111</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3,111</w:t>
            </w:r>
          </w:p>
        </w:tc>
        <w:tc>
          <w:tcPr>
            <w:tcW w:w="0" w:type="dxa"/>
            <w:vAlign w:val="bottom"/>
          </w:tcPr>
          <w:p>
            <w:pPr>
              <w:spacing w:after="0"/>
              <w:rPr>
                <w:sz w:val="1"/>
                <w:szCs w:val="1"/>
                <w:color w:val="auto"/>
              </w:rPr>
            </w:pPr>
          </w:p>
        </w:tc>
      </w:tr>
      <w:tr>
        <w:trPr>
          <w:trHeight w:val="190"/>
        </w:trPr>
        <w:tc>
          <w:tcPr>
            <w:tcW w:w="3580" w:type="dxa"/>
            <w:vAlign w:val="bottom"/>
          </w:tcPr>
          <w:p>
            <w:pPr>
              <w:ind w:left="40"/>
              <w:spacing w:after="0"/>
              <w:rPr>
                <w:sz w:val="20"/>
                <w:szCs w:val="20"/>
                <w:color w:val="auto"/>
              </w:rPr>
            </w:pPr>
            <w:r>
              <w:rPr>
                <w:rFonts w:ascii="Arial" w:cs="Arial" w:eastAsia="Arial" w:hAnsi="Arial"/>
                <w:sz w:val="14"/>
                <w:szCs w:val="14"/>
                <w:color w:val="auto"/>
              </w:rPr>
              <w:t>Restricted stock forfeited</w:t>
            </w:r>
          </w:p>
        </w:tc>
        <w:tc>
          <w:tcPr>
            <w:tcW w:w="72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66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90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82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540" w:type="dxa"/>
            <w:vAlign w:val="bottom"/>
            <w:vMerge w:val="restart"/>
          </w:tcPr>
          <w:p>
            <w:pPr>
              <w:jc w:val="right"/>
              <w:ind w:right="28"/>
              <w:spacing w:after="0"/>
              <w:rPr>
                <w:sz w:val="20"/>
                <w:szCs w:val="20"/>
                <w:color w:val="auto"/>
              </w:rPr>
            </w:pPr>
            <w:r>
              <w:rPr>
                <w:rFonts w:ascii="Arial" w:cs="Arial" w:eastAsia="Arial" w:hAnsi="Arial"/>
                <w:sz w:val="14"/>
                <w:szCs w:val="14"/>
                <w:color w:val="auto"/>
              </w:rPr>
              <w:t>184</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vMerge w:val="restart"/>
          </w:tcPr>
          <w:p>
            <w:pPr>
              <w:jc w:val="right"/>
              <w:spacing w:after="0"/>
              <w:rPr>
                <w:sz w:val="20"/>
                <w:szCs w:val="20"/>
                <w:color w:val="auto"/>
              </w:rPr>
            </w:pPr>
            <w:r>
              <w:rPr>
                <w:rFonts w:ascii="Arial" w:cs="Arial" w:eastAsia="Arial" w:hAnsi="Arial"/>
                <w:sz w:val="14"/>
                <w:szCs w:val="14"/>
                <w:color w:val="auto"/>
                <w:w w:val="99"/>
              </w:rPr>
              <w:t>(3,170)</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(3,170)</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(3,170)</w:t>
            </w:r>
          </w:p>
        </w:tc>
        <w:tc>
          <w:tcPr>
            <w:tcW w:w="0" w:type="dxa"/>
            <w:vAlign w:val="bottom"/>
          </w:tcPr>
          <w:p>
            <w:pPr>
              <w:spacing w:after="0"/>
              <w:rPr>
                <w:sz w:val="1"/>
                <w:szCs w:val="1"/>
                <w:color w:val="auto"/>
              </w:rPr>
            </w:pPr>
          </w:p>
        </w:tc>
      </w:tr>
      <w:tr>
        <w:trPr>
          <w:trHeight w:val="73"/>
        </w:trPr>
        <w:tc>
          <w:tcPr>
            <w:tcW w:w="3580" w:type="dxa"/>
            <w:vAlign w:val="bottom"/>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660" w:type="dxa"/>
            <w:vAlign w:val="bottom"/>
            <w:gridSpan w:val="2"/>
            <w:vMerge w:val="continue"/>
          </w:tcPr>
          <w:p>
            <w:pPr>
              <w:spacing w:after="0"/>
              <w:rPr>
                <w:sz w:val="6"/>
                <w:szCs w:val="6"/>
                <w:color w:val="auto"/>
              </w:rPr>
            </w:pPr>
          </w:p>
        </w:tc>
        <w:tc>
          <w:tcPr>
            <w:tcW w:w="900" w:type="dxa"/>
            <w:vAlign w:val="bottom"/>
            <w:gridSpan w:val="2"/>
            <w:vMerge w:val="continue"/>
          </w:tcPr>
          <w:p>
            <w:pPr>
              <w:spacing w:after="0"/>
              <w:rPr>
                <w:sz w:val="6"/>
                <w:szCs w:val="6"/>
                <w:color w:val="auto"/>
              </w:rPr>
            </w:pPr>
          </w:p>
        </w:tc>
        <w:tc>
          <w:tcPr>
            <w:tcW w:w="180" w:type="dxa"/>
            <w:vAlign w:val="bottom"/>
          </w:tcPr>
          <w:p>
            <w:pPr>
              <w:spacing w:after="0"/>
              <w:rPr>
                <w:sz w:val="6"/>
                <w:szCs w:val="6"/>
                <w:color w:val="auto"/>
              </w:rPr>
            </w:pPr>
          </w:p>
        </w:tc>
        <w:tc>
          <w:tcPr>
            <w:tcW w:w="820" w:type="dxa"/>
            <w:vAlign w:val="bottom"/>
            <w:gridSpan w:val="2"/>
            <w:vMerge w:val="continue"/>
          </w:tcPr>
          <w:p>
            <w:pPr>
              <w:spacing w:after="0"/>
              <w:rPr>
                <w:sz w:val="6"/>
                <w:szCs w:val="6"/>
                <w:color w:val="auto"/>
              </w:rPr>
            </w:pPr>
          </w:p>
        </w:tc>
        <w:tc>
          <w:tcPr>
            <w:tcW w:w="5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5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98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7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63"/>
        </w:trPr>
        <w:tc>
          <w:tcPr>
            <w:tcW w:w="3580" w:type="dxa"/>
            <w:vAlign w:val="bottom"/>
            <w:shd w:val="clear" w:color="auto" w:fill="CCEEFF"/>
          </w:tcPr>
          <w:p>
            <w:pPr>
              <w:ind w:left="40"/>
              <w:spacing w:after="0"/>
              <w:rPr>
                <w:sz w:val="20"/>
                <w:szCs w:val="20"/>
                <w:color w:val="auto"/>
              </w:rPr>
            </w:pPr>
            <w:r>
              <w:rPr>
                <w:rFonts w:ascii="Arial" w:cs="Arial" w:eastAsia="Arial" w:hAnsi="Arial"/>
                <w:sz w:val="14"/>
                <w:szCs w:val="14"/>
                <w:color w:val="auto"/>
                <w:w w:val="97"/>
              </w:rPr>
              <w:t>Contribution related to formation of San Mateo I, net of tax</w:t>
            </w:r>
          </w:p>
        </w:tc>
        <w:tc>
          <w:tcPr>
            <w:tcW w:w="6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3580" w:type="dxa"/>
            <w:vAlign w:val="bottom"/>
            <w:shd w:val="clear" w:color="auto" w:fill="CCEEFF"/>
          </w:tcPr>
          <w:p>
            <w:pPr>
              <w:ind w:left="40"/>
              <w:spacing w:after="0"/>
              <w:rPr>
                <w:sz w:val="20"/>
                <w:szCs w:val="20"/>
                <w:color w:val="auto"/>
              </w:rPr>
            </w:pPr>
            <w:r>
              <w:rPr>
                <w:rFonts w:ascii="Arial" w:cs="Arial" w:eastAsia="Arial" w:hAnsi="Arial"/>
                <w:sz w:val="14"/>
                <w:szCs w:val="14"/>
                <w:color w:val="auto"/>
              </w:rPr>
              <w:t>of $3.1 million (see Note 6)</w:t>
            </w: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11,613</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11,613</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11,613</w:t>
            </w:r>
          </w:p>
        </w:tc>
        <w:tc>
          <w:tcPr>
            <w:tcW w:w="0" w:type="dxa"/>
            <w:vAlign w:val="bottom"/>
          </w:tcPr>
          <w:p>
            <w:pPr>
              <w:spacing w:after="0"/>
              <w:rPr>
                <w:sz w:val="1"/>
                <w:szCs w:val="1"/>
                <w:color w:val="auto"/>
              </w:rPr>
            </w:pPr>
          </w:p>
        </w:tc>
      </w:tr>
      <w:tr>
        <w:trPr>
          <w:trHeight w:val="157"/>
        </w:trPr>
        <w:tc>
          <w:tcPr>
            <w:tcW w:w="3580" w:type="dxa"/>
            <w:vAlign w:val="bottom"/>
          </w:tcPr>
          <w:p>
            <w:pPr>
              <w:ind w:left="40"/>
              <w:spacing w:after="0" w:line="157" w:lineRule="exact"/>
              <w:rPr>
                <w:sz w:val="20"/>
                <w:szCs w:val="20"/>
                <w:color w:val="auto"/>
              </w:rPr>
            </w:pPr>
            <w:r>
              <w:rPr>
                <w:rFonts w:ascii="Arial" w:cs="Arial" w:eastAsia="Arial" w:hAnsi="Arial"/>
                <w:sz w:val="14"/>
                <w:szCs w:val="14"/>
                <w:color w:val="auto"/>
                <w:w w:val="98"/>
              </w:rPr>
              <w:t>Contribution of property related to formation of San Mateo</w:t>
            </w: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3580" w:type="dxa"/>
            <w:vAlign w:val="bottom"/>
          </w:tcPr>
          <w:p>
            <w:pPr>
              <w:ind w:left="40"/>
              <w:spacing w:after="0"/>
              <w:rPr>
                <w:sz w:val="20"/>
                <w:szCs w:val="20"/>
                <w:color w:val="auto"/>
              </w:rPr>
            </w:pPr>
            <w:r>
              <w:rPr>
                <w:rFonts w:ascii="Arial" w:cs="Arial" w:eastAsia="Arial" w:hAnsi="Arial"/>
                <w:sz w:val="14"/>
                <w:szCs w:val="14"/>
                <w:color w:val="auto"/>
              </w:rPr>
              <w:t>II (see Note 6)</w:t>
            </w:r>
          </w:p>
        </w:tc>
        <w:tc>
          <w:tcPr>
            <w:tcW w:w="7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(506)</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(506)</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506</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3"/>
        </w:trPr>
        <w:tc>
          <w:tcPr>
            <w:tcW w:w="3580" w:type="dxa"/>
            <w:vAlign w:val="bottom"/>
            <w:shd w:val="clear" w:color="auto" w:fill="CCEEFF"/>
          </w:tcPr>
          <w:p>
            <w:pPr>
              <w:ind w:left="40"/>
              <w:spacing w:after="0"/>
              <w:rPr>
                <w:sz w:val="20"/>
                <w:szCs w:val="20"/>
                <w:color w:val="auto"/>
              </w:rPr>
            </w:pPr>
            <w:r>
              <w:rPr>
                <w:rFonts w:ascii="Arial" w:cs="Arial" w:eastAsia="Arial" w:hAnsi="Arial"/>
                <w:sz w:val="14"/>
                <w:szCs w:val="14"/>
                <w:color w:val="auto"/>
                <w:w w:val="98"/>
              </w:rPr>
              <w:t>Contributions from non-controlling interest owners of less-</w:t>
            </w:r>
          </w:p>
        </w:tc>
        <w:tc>
          <w:tcPr>
            <w:tcW w:w="6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3580" w:type="dxa"/>
            <w:vAlign w:val="bottom"/>
            <w:shd w:val="clear" w:color="auto" w:fill="CCEEFF"/>
          </w:tcPr>
          <w:p>
            <w:pPr>
              <w:ind w:left="40"/>
              <w:spacing w:after="0"/>
              <w:rPr>
                <w:sz w:val="20"/>
                <w:szCs w:val="20"/>
                <w:color w:val="auto"/>
              </w:rPr>
            </w:pPr>
            <w:r>
              <w:rPr>
                <w:rFonts w:ascii="Arial" w:cs="Arial" w:eastAsia="Arial" w:hAnsi="Arial"/>
                <w:sz w:val="14"/>
                <w:szCs w:val="14"/>
                <w:color w:val="auto"/>
              </w:rPr>
              <w:t>than-wholly-owned subsidiaries</w:t>
            </w: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2,040</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2,040</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10,291</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12,331</w:t>
            </w:r>
          </w:p>
        </w:tc>
        <w:tc>
          <w:tcPr>
            <w:tcW w:w="0" w:type="dxa"/>
            <w:vAlign w:val="bottom"/>
          </w:tcPr>
          <w:p>
            <w:pPr>
              <w:spacing w:after="0"/>
              <w:rPr>
                <w:sz w:val="1"/>
                <w:szCs w:val="1"/>
                <w:color w:val="auto"/>
              </w:rPr>
            </w:pPr>
          </w:p>
        </w:tc>
      </w:tr>
      <w:tr>
        <w:trPr>
          <w:trHeight w:val="157"/>
        </w:trPr>
        <w:tc>
          <w:tcPr>
            <w:tcW w:w="3580" w:type="dxa"/>
            <w:vAlign w:val="bottom"/>
          </w:tcPr>
          <w:p>
            <w:pPr>
              <w:ind w:left="40"/>
              <w:spacing w:after="0" w:line="157" w:lineRule="exact"/>
              <w:rPr>
                <w:sz w:val="20"/>
                <w:szCs w:val="20"/>
                <w:color w:val="auto"/>
              </w:rPr>
            </w:pPr>
            <w:r>
              <w:rPr>
                <w:rFonts w:ascii="Arial" w:cs="Arial" w:eastAsia="Arial" w:hAnsi="Arial"/>
                <w:sz w:val="14"/>
                <w:szCs w:val="14"/>
                <w:color w:val="auto"/>
                <w:w w:val="95"/>
              </w:rPr>
              <w:t>Distributions to non-controlling interest owners of less-than-</w:t>
            </w: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3580" w:type="dxa"/>
            <w:vAlign w:val="bottom"/>
          </w:tcPr>
          <w:p>
            <w:pPr>
              <w:ind w:left="40"/>
              <w:spacing w:after="0"/>
              <w:rPr>
                <w:sz w:val="20"/>
                <w:szCs w:val="20"/>
                <w:color w:val="auto"/>
              </w:rPr>
            </w:pPr>
            <w:r>
              <w:rPr>
                <w:rFonts w:ascii="Arial" w:cs="Arial" w:eastAsia="Arial" w:hAnsi="Arial"/>
                <w:sz w:val="14"/>
                <w:szCs w:val="14"/>
                <w:color w:val="auto"/>
              </w:rPr>
              <w:t>wholly-owned subsidiaries</w:t>
            </w:r>
          </w:p>
        </w:tc>
        <w:tc>
          <w:tcPr>
            <w:tcW w:w="7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(8,330)</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(8,330)</w:t>
            </w:r>
          </w:p>
        </w:tc>
        <w:tc>
          <w:tcPr>
            <w:tcW w:w="0" w:type="dxa"/>
            <w:vAlign w:val="bottom"/>
          </w:tcPr>
          <w:p>
            <w:pPr>
              <w:spacing w:after="0"/>
              <w:rPr>
                <w:sz w:val="1"/>
                <w:szCs w:val="1"/>
                <w:color w:val="auto"/>
              </w:rPr>
            </w:pPr>
          </w:p>
        </w:tc>
      </w:tr>
      <w:tr>
        <w:trPr>
          <w:trHeight w:val="197"/>
        </w:trPr>
        <w:tc>
          <w:tcPr>
            <w:tcW w:w="3580" w:type="dxa"/>
            <w:vAlign w:val="bottom"/>
            <w:shd w:val="clear" w:color="auto" w:fill="CCEEFF"/>
          </w:tcPr>
          <w:p>
            <w:pPr>
              <w:ind w:left="40"/>
              <w:spacing w:after="0"/>
              <w:rPr>
                <w:sz w:val="20"/>
                <w:szCs w:val="20"/>
                <w:color w:val="auto"/>
              </w:rPr>
            </w:pPr>
            <w:r>
              <w:rPr>
                <w:rFonts w:ascii="Arial" w:cs="Arial" w:eastAsia="Arial" w:hAnsi="Arial"/>
                <w:sz w:val="14"/>
                <w:szCs w:val="14"/>
                <w:color w:val="auto"/>
              </w:rPr>
              <w:t>Current period net (loss) income</w:t>
            </w:r>
          </w:p>
        </w:tc>
        <w:tc>
          <w:tcPr>
            <w:tcW w:w="72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66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90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7"/>
                <w:szCs w:val="17"/>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(16,947)</w:t>
            </w:r>
          </w:p>
        </w:tc>
        <w:tc>
          <w:tcPr>
            <w:tcW w:w="120" w:type="dxa"/>
            <w:vAlign w:val="bottom"/>
            <w:shd w:val="clear" w:color="auto" w:fill="CCEEFF"/>
          </w:tcPr>
          <w:p>
            <w:pPr>
              <w:spacing w:after="0"/>
              <w:rPr>
                <w:sz w:val="17"/>
                <w:szCs w:val="17"/>
                <w:color w:val="auto"/>
              </w:rPr>
            </w:pPr>
          </w:p>
        </w:tc>
        <w:tc>
          <w:tcPr>
            <w:tcW w:w="66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62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(16,947)</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7,462</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(9,485)</w:t>
            </w:r>
          </w:p>
        </w:tc>
        <w:tc>
          <w:tcPr>
            <w:tcW w:w="0" w:type="dxa"/>
            <w:vAlign w:val="bottom"/>
          </w:tcPr>
          <w:p>
            <w:pPr>
              <w:spacing w:after="0"/>
              <w:rPr>
                <w:sz w:val="1"/>
                <w:szCs w:val="1"/>
                <w:color w:val="auto"/>
              </w:rPr>
            </w:pPr>
          </w:p>
        </w:tc>
      </w:tr>
      <w:tr>
        <w:trPr>
          <w:trHeight w:val="79"/>
        </w:trPr>
        <w:tc>
          <w:tcPr>
            <w:tcW w:w="3580" w:type="dxa"/>
            <w:vAlign w:val="bottom"/>
            <w:shd w:val="clear" w:color="auto" w:fill="CCEEFF"/>
          </w:tcPr>
          <w:p>
            <w:pPr>
              <w:spacing w:after="0"/>
              <w:rPr>
                <w:sz w:val="6"/>
                <w:szCs w:val="6"/>
                <w:color w:val="auto"/>
              </w:rPr>
            </w:pPr>
          </w:p>
        </w:tc>
        <w:tc>
          <w:tcPr>
            <w:tcW w:w="720" w:type="dxa"/>
            <w:vAlign w:val="bottom"/>
            <w:gridSpan w:val="2"/>
            <w:vMerge w:val="continue"/>
            <w:shd w:val="clear" w:color="auto" w:fill="CCEEFF"/>
          </w:tcPr>
          <w:p>
            <w:pPr>
              <w:spacing w:after="0"/>
              <w:rPr>
                <w:sz w:val="6"/>
                <w:szCs w:val="6"/>
                <w:color w:val="auto"/>
              </w:rPr>
            </w:pPr>
          </w:p>
        </w:tc>
        <w:tc>
          <w:tcPr>
            <w:tcW w:w="660" w:type="dxa"/>
            <w:vAlign w:val="bottom"/>
            <w:gridSpan w:val="2"/>
            <w:vMerge w:val="continue"/>
            <w:shd w:val="clear" w:color="auto" w:fill="CCEEFF"/>
          </w:tcPr>
          <w:p>
            <w:pPr>
              <w:spacing w:after="0"/>
              <w:rPr>
                <w:sz w:val="6"/>
                <w:szCs w:val="6"/>
                <w:color w:val="auto"/>
              </w:rPr>
            </w:pPr>
          </w:p>
        </w:tc>
        <w:tc>
          <w:tcPr>
            <w:tcW w:w="900" w:type="dxa"/>
            <w:vAlign w:val="bottom"/>
            <w:gridSpan w:val="2"/>
            <w:vMerge w:val="continue"/>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70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660" w:type="dxa"/>
            <w:vAlign w:val="bottom"/>
            <w:gridSpan w:val="2"/>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620" w:type="dxa"/>
            <w:vAlign w:val="bottom"/>
            <w:gridSpan w:val="2"/>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76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88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74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1"/>
        </w:trPr>
        <w:tc>
          <w:tcPr>
            <w:tcW w:w="3580" w:type="dxa"/>
            <w:vAlign w:val="bottom"/>
          </w:tcPr>
          <w:p>
            <w:pPr>
              <w:ind w:left="40"/>
              <w:spacing w:after="0"/>
              <w:rPr>
                <w:sz w:val="20"/>
                <w:szCs w:val="20"/>
                <w:color w:val="auto"/>
              </w:rPr>
            </w:pPr>
            <w:r>
              <w:rPr>
                <w:rFonts w:ascii="Arial" w:cs="Arial" w:eastAsia="Arial" w:hAnsi="Arial"/>
                <w:sz w:val="14"/>
                <w:szCs w:val="14"/>
                <w:b w:val="1"/>
                <w:bCs w:val="1"/>
                <w:color w:val="auto"/>
              </w:rPr>
              <w:t>Balance at March 31, 2019</w:t>
            </w:r>
          </w:p>
        </w:tc>
        <w:tc>
          <w:tcPr>
            <w:tcW w:w="620" w:type="dxa"/>
            <w:vAlign w:val="bottom"/>
            <w:tcBorders>
              <w:top w:val="single" w:sz="8" w:color="auto"/>
            </w:tcBorders>
            <w:vMerge w:val="restart"/>
          </w:tcPr>
          <w:p>
            <w:pPr>
              <w:jc w:val="right"/>
              <w:ind w:right="48"/>
              <w:spacing w:after="0"/>
              <w:rPr>
                <w:sz w:val="20"/>
                <w:szCs w:val="20"/>
                <w:color w:val="auto"/>
              </w:rPr>
            </w:pPr>
            <w:r>
              <w:rPr>
                <w:rFonts w:ascii="Arial" w:cs="Arial" w:eastAsia="Arial" w:hAnsi="Arial"/>
                <w:sz w:val="14"/>
                <w:szCs w:val="14"/>
                <w:color w:val="auto"/>
                <w:w w:val="94"/>
              </w:rPr>
              <w:t>116,594</w:t>
            </w:r>
          </w:p>
        </w:tc>
        <w:tc>
          <w:tcPr>
            <w:tcW w:w="100" w:type="dxa"/>
            <w:vAlign w:val="bottom"/>
          </w:tcPr>
          <w:p>
            <w:pPr>
              <w:spacing w:after="0"/>
              <w:rPr>
                <w:sz w:val="14"/>
                <w:szCs w:val="14"/>
                <w:color w:val="auto"/>
              </w:rPr>
            </w:pPr>
          </w:p>
        </w:tc>
        <w:tc>
          <w:tcPr>
            <w:tcW w:w="560" w:type="dxa"/>
            <w:vAlign w:val="bottom"/>
            <w:tcBorders>
              <w:top w:val="single" w:sz="8" w:color="auto"/>
            </w:tcBorders>
            <w:vMerge w:val="restart"/>
          </w:tcPr>
          <w:p>
            <w:pPr>
              <w:jc w:val="right"/>
              <w:ind w:right="48"/>
              <w:spacing w:after="0"/>
              <w:rPr>
                <w:sz w:val="20"/>
                <w:szCs w:val="20"/>
                <w:color w:val="auto"/>
              </w:rPr>
            </w:pPr>
            <w:r>
              <w:rPr>
                <w:rFonts w:ascii="Arial" w:cs="Arial" w:eastAsia="Arial" w:hAnsi="Arial"/>
                <w:sz w:val="14"/>
                <w:szCs w:val="14"/>
                <w:color w:val="auto"/>
                <w:w w:val="89"/>
              </w:rPr>
              <w:t>$ 1,166</w:t>
            </w:r>
          </w:p>
        </w:tc>
        <w:tc>
          <w:tcPr>
            <w:tcW w:w="100" w:type="dxa"/>
            <w:vAlign w:val="bottom"/>
          </w:tcPr>
          <w:p>
            <w:pPr>
              <w:spacing w:after="0"/>
              <w:rPr>
                <w:sz w:val="14"/>
                <w:szCs w:val="14"/>
                <w:color w:val="auto"/>
              </w:rPr>
            </w:pPr>
          </w:p>
        </w:tc>
        <w:tc>
          <w:tcPr>
            <w:tcW w:w="800" w:type="dxa"/>
            <w:vAlign w:val="bottom"/>
            <w:tcBorders>
              <w:top w:val="single" w:sz="8" w:color="auto"/>
            </w:tcBorders>
            <w:vMerge w:val="restart"/>
          </w:tcPr>
          <w:p>
            <w:pPr>
              <w:jc w:val="right"/>
              <w:ind w:right="28"/>
              <w:spacing w:after="0"/>
              <w:rPr>
                <w:sz w:val="20"/>
                <w:szCs w:val="20"/>
                <w:color w:val="auto"/>
              </w:rPr>
            </w:pPr>
            <w:r>
              <w:rPr>
                <w:rFonts w:ascii="Arial" w:cs="Arial" w:eastAsia="Arial" w:hAnsi="Arial"/>
                <w:sz w:val="14"/>
                <w:szCs w:val="14"/>
                <w:color w:val="auto"/>
                <w:w w:val="96"/>
              </w:rPr>
              <w:t>$1,946,466</w:t>
            </w:r>
          </w:p>
        </w:tc>
        <w:tc>
          <w:tcPr>
            <w:tcW w:w="100" w:type="dxa"/>
            <w:vAlign w:val="bottom"/>
          </w:tcPr>
          <w:p>
            <w:pPr>
              <w:spacing w:after="0"/>
              <w:rPr>
                <w:sz w:val="14"/>
                <w:szCs w:val="14"/>
                <w:color w:val="auto"/>
              </w:rPr>
            </w:pPr>
          </w:p>
        </w:tc>
        <w:tc>
          <w:tcPr>
            <w:tcW w:w="180" w:type="dxa"/>
            <w:vAlign w:val="bottom"/>
            <w:tcBorders>
              <w:top w:val="single" w:sz="8" w:color="auto"/>
            </w:tcBorders>
            <w:vMerge w:val="restart"/>
          </w:tcPr>
          <w:p>
            <w:pPr>
              <w:ind w:left="40"/>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(253,224)</w:t>
            </w:r>
          </w:p>
        </w:tc>
        <w:tc>
          <w:tcPr>
            <w:tcW w:w="120" w:type="dxa"/>
            <w:vAlign w:val="bottom"/>
          </w:tcPr>
          <w:p>
            <w:pPr>
              <w:spacing w:after="0"/>
              <w:rPr>
                <w:sz w:val="14"/>
                <w:szCs w:val="14"/>
                <w:color w:val="auto"/>
              </w:rPr>
            </w:pPr>
          </w:p>
        </w:tc>
        <w:tc>
          <w:tcPr>
            <w:tcW w:w="540" w:type="dxa"/>
            <w:vAlign w:val="bottom"/>
            <w:tcBorders>
              <w:top w:val="single" w:sz="8" w:color="auto"/>
            </w:tcBorders>
            <w:vMerge w:val="restart"/>
          </w:tcPr>
          <w:p>
            <w:pPr>
              <w:jc w:val="right"/>
              <w:ind w:right="28"/>
              <w:spacing w:after="0"/>
              <w:rPr>
                <w:sz w:val="20"/>
                <w:szCs w:val="20"/>
                <w:color w:val="auto"/>
              </w:rPr>
            </w:pPr>
            <w:r>
              <w:rPr>
                <w:rFonts w:ascii="Arial" w:cs="Arial" w:eastAsia="Arial" w:hAnsi="Arial"/>
                <w:sz w:val="14"/>
                <w:szCs w:val="14"/>
                <w:color w:val="auto"/>
              </w:rPr>
              <w:t>205</w:t>
            </w:r>
          </w:p>
        </w:tc>
        <w:tc>
          <w:tcPr>
            <w:tcW w:w="120" w:type="dxa"/>
            <w:vAlign w:val="bottom"/>
          </w:tcPr>
          <w:p>
            <w:pPr>
              <w:spacing w:after="0"/>
              <w:rPr>
                <w:sz w:val="14"/>
                <w:szCs w:val="14"/>
                <w:color w:val="auto"/>
              </w:rPr>
            </w:pPr>
          </w:p>
        </w:tc>
        <w:tc>
          <w:tcPr>
            <w:tcW w:w="120" w:type="dxa"/>
            <w:vAlign w:val="bottom"/>
            <w:tcBorders>
              <w:top w:val="single" w:sz="8" w:color="auto"/>
            </w:tcBorders>
            <w:vMerge w:val="restart"/>
          </w:tcPr>
          <w:p>
            <w:pPr>
              <w:ind w:left="20"/>
              <w:spacing w:after="0"/>
              <w:rPr>
                <w:sz w:val="20"/>
                <w:szCs w:val="20"/>
                <w:color w:val="auto"/>
              </w:rPr>
            </w:pPr>
            <w:r>
              <w:rPr>
                <w:rFonts w:ascii="Arial" w:cs="Arial" w:eastAsia="Arial" w:hAnsi="Arial"/>
                <w:sz w:val="14"/>
                <w:szCs w:val="14"/>
                <w:color w:val="auto"/>
              </w:rPr>
              <w:t>$</w:t>
            </w:r>
          </w:p>
        </w:tc>
        <w:tc>
          <w:tcPr>
            <w:tcW w:w="52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w w:val="99"/>
              </w:rPr>
              <w:t>(3,585)</w:t>
            </w:r>
          </w:p>
        </w:tc>
        <w:tc>
          <w:tcPr>
            <w:tcW w:w="100" w:type="dxa"/>
            <w:vAlign w:val="bottom"/>
          </w:tcPr>
          <w:p>
            <w:pPr>
              <w:spacing w:after="0"/>
              <w:rPr>
                <w:sz w:val="14"/>
                <w:szCs w:val="14"/>
                <w:color w:val="auto"/>
              </w:rPr>
            </w:pPr>
          </w:p>
        </w:tc>
        <w:tc>
          <w:tcPr>
            <w:tcW w:w="12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tcBorders>
            <w:vMerge w:val="restart"/>
          </w:tcPr>
          <w:p>
            <w:pPr>
              <w:jc w:val="right"/>
              <w:ind w:right="28"/>
              <w:spacing w:after="0"/>
              <w:rPr>
                <w:sz w:val="20"/>
                <w:szCs w:val="20"/>
                <w:color w:val="auto"/>
              </w:rPr>
            </w:pPr>
            <w:r>
              <w:rPr>
                <w:rFonts w:ascii="Arial" w:cs="Arial" w:eastAsia="Arial" w:hAnsi="Arial"/>
                <w:sz w:val="14"/>
                <w:szCs w:val="14"/>
                <w:color w:val="auto"/>
              </w:rPr>
              <w:t>1,690,823</w:t>
            </w:r>
          </w:p>
        </w:tc>
        <w:tc>
          <w:tcPr>
            <w:tcW w:w="120" w:type="dxa"/>
            <w:vAlign w:val="bottom"/>
          </w:tcPr>
          <w:p>
            <w:pPr>
              <w:spacing w:after="0"/>
              <w:rPr>
                <w:sz w:val="14"/>
                <w:szCs w:val="14"/>
                <w:color w:val="auto"/>
              </w:rPr>
            </w:pPr>
          </w:p>
        </w:tc>
        <w:tc>
          <w:tcPr>
            <w:tcW w:w="12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tcBorders>
            <w:vMerge w:val="restart"/>
          </w:tcPr>
          <w:p>
            <w:pPr>
              <w:jc w:val="right"/>
              <w:ind w:right="48"/>
              <w:spacing w:after="0"/>
              <w:rPr>
                <w:sz w:val="20"/>
                <w:szCs w:val="20"/>
                <w:color w:val="auto"/>
              </w:rPr>
            </w:pPr>
            <w:r>
              <w:rPr>
                <w:rFonts w:ascii="Arial" w:cs="Arial" w:eastAsia="Arial" w:hAnsi="Arial"/>
                <w:sz w:val="14"/>
                <w:szCs w:val="14"/>
                <w:color w:val="auto"/>
              </w:rPr>
              <w:t>100,706</w:t>
            </w:r>
          </w:p>
        </w:tc>
        <w:tc>
          <w:tcPr>
            <w:tcW w:w="100" w:type="dxa"/>
            <w:vAlign w:val="bottom"/>
          </w:tcPr>
          <w:p>
            <w:pPr>
              <w:spacing w:after="0"/>
              <w:rPr>
                <w:sz w:val="14"/>
                <w:szCs w:val="14"/>
                <w:color w:val="auto"/>
              </w:rPr>
            </w:pPr>
          </w:p>
        </w:tc>
        <w:tc>
          <w:tcPr>
            <w:tcW w:w="140" w:type="dxa"/>
            <w:vAlign w:val="bottom"/>
            <w:tcBorders>
              <w:top w:val="single" w:sz="8" w:color="auto"/>
            </w:tcBorders>
            <w:vMerge w:val="restart"/>
          </w:tcPr>
          <w:p>
            <w:pPr>
              <w:ind w:left="20"/>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tcBorders>
            <w:vMerge w:val="restart"/>
          </w:tcPr>
          <w:p>
            <w:pPr>
              <w:jc w:val="right"/>
              <w:ind w:right="28"/>
              <w:spacing w:after="0"/>
              <w:rPr>
                <w:sz w:val="20"/>
                <w:szCs w:val="20"/>
                <w:color w:val="auto"/>
              </w:rPr>
            </w:pPr>
            <w:r>
              <w:rPr>
                <w:rFonts w:ascii="Arial" w:cs="Arial" w:eastAsia="Arial" w:hAnsi="Arial"/>
                <w:sz w:val="14"/>
                <w:szCs w:val="14"/>
                <w:color w:val="auto"/>
                <w:w w:val="99"/>
              </w:rPr>
              <w:t>1,791,529</w:t>
            </w:r>
          </w:p>
        </w:tc>
        <w:tc>
          <w:tcPr>
            <w:tcW w:w="0" w:type="dxa"/>
            <w:vAlign w:val="bottom"/>
          </w:tcPr>
          <w:p>
            <w:pPr>
              <w:spacing w:after="0"/>
              <w:rPr>
                <w:sz w:val="1"/>
                <w:szCs w:val="1"/>
                <w:color w:val="auto"/>
              </w:rPr>
            </w:pPr>
          </w:p>
        </w:tc>
      </w:tr>
      <w:tr>
        <w:trPr>
          <w:trHeight w:val="65"/>
        </w:trPr>
        <w:tc>
          <w:tcPr>
            <w:tcW w:w="3580" w:type="dxa"/>
            <w:vAlign w:val="bottom"/>
          </w:tcPr>
          <w:p>
            <w:pPr>
              <w:spacing w:after="0"/>
              <w:rPr>
                <w:sz w:val="5"/>
                <w:szCs w:val="5"/>
                <w:color w:val="auto"/>
              </w:rPr>
            </w:pPr>
          </w:p>
        </w:tc>
        <w:tc>
          <w:tcPr>
            <w:tcW w:w="620" w:type="dxa"/>
            <w:vAlign w:val="bottom"/>
            <w:tcBorders>
              <w:bottom w:val="single" w:sz="8" w:color="auto"/>
            </w:tcBorders>
            <w:vMerge w:val="continue"/>
          </w:tcPr>
          <w:p>
            <w:pPr>
              <w:spacing w:after="0"/>
              <w:rPr>
                <w:sz w:val="5"/>
                <w:szCs w:val="5"/>
                <w:color w:val="auto"/>
              </w:rPr>
            </w:pPr>
          </w:p>
        </w:tc>
        <w:tc>
          <w:tcPr>
            <w:tcW w:w="100" w:type="dxa"/>
            <w:vAlign w:val="bottom"/>
          </w:tcPr>
          <w:p>
            <w:pPr>
              <w:spacing w:after="0"/>
              <w:rPr>
                <w:sz w:val="5"/>
                <w:szCs w:val="5"/>
                <w:color w:val="auto"/>
              </w:rPr>
            </w:pPr>
          </w:p>
        </w:tc>
        <w:tc>
          <w:tcPr>
            <w:tcW w:w="560" w:type="dxa"/>
            <w:vAlign w:val="bottom"/>
            <w:tcBorders>
              <w:bottom w:val="single" w:sz="8" w:color="auto"/>
            </w:tcBorders>
            <w:vMerge w:val="continue"/>
          </w:tcPr>
          <w:p>
            <w:pPr>
              <w:spacing w:after="0"/>
              <w:rPr>
                <w:sz w:val="5"/>
                <w:szCs w:val="5"/>
                <w:color w:val="auto"/>
              </w:rPr>
            </w:pPr>
          </w:p>
        </w:tc>
        <w:tc>
          <w:tcPr>
            <w:tcW w:w="100" w:type="dxa"/>
            <w:vAlign w:val="bottom"/>
          </w:tcPr>
          <w:p>
            <w:pPr>
              <w:spacing w:after="0"/>
              <w:rPr>
                <w:sz w:val="5"/>
                <w:szCs w:val="5"/>
                <w:color w:val="auto"/>
              </w:rPr>
            </w:pPr>
          </w:p>
        </w:tc>
        <w:tc>
          <w:tcPr>
            <w:tcW w:w="800" w:type="dxa"/>
            <w:vAlign w:val="bottom"/>
            <w:tcBorders>
              <w:bottom w:val="single" w:sz="8" w:color="auto"/>
            </w:tcBorders>
            <w:vMerge w:val="continue"/>
          </w:tcPr>
          <w:p>
            <w:pPr>
              <w:spacing w:after="0"/>
              <w:rPr>
                <w:sz w:val="5"/>
                <w:szCs w:val="5"/>
                <w:color w:val="auto"/>
              </w:rPr>
            </w:pPr>
          </w:p>
        </w:tc>
        <w:tc>
          <w:tcPr>
            <w:tcW w:w="100" w:type="dxa"/>
            <w:vAlign w:val="bottom"/>
          </w:tcPr>
          <w:p>
            <w:pPr>
              <w:spacing w:after="0"/>
              <w:rPr>
                <w:sz w:val="5"/>
                <w:szCs w:val="5"/>
                <w:color w:val="auto"/>
              </w:rPr>
            </w:pPr>
          </w:p>
        </w:tc>
        <w:tc>
          <w:tcPr>
            <w:tcW w:w="180" w:type="dxa"/>
            <w:vAlign w:val="bottom"/>
            <w:tcBorders>
              <w:bottom w:val="single" w:sz="8" w:color="auto"/>
            </w:tcBorders>
            <w:vMerge w:val="continue"/>
          </w:tcPr>
          <w:p>
            <w:pPr>
              <w:spacing w:after="0"/>
              <w:rPr>
                <w:sz w:val="5"/>
                <w:szCs w:val="5"/>
                <w:color w:val="auto"/>
              </w:rPr>
            </w:pPr>
          </w:p>
        </w:tc>
        <w:tc>
          <w:tcPr>
            <w:tcW w:w="700" w:type="dxa"/>
            <w:vAlign w:val="bottom"/>
            <w:tcBorders>
              <w:bottom w:val="single" w:sz="8" w:color="auto"/>
            </w:tcBorders>
            <w:vMerge w:val="continue"/>
          </w:tcPr>
          <w:p>
            <w:pPr>
              <w:spacing w:after="0"/>
              <w:rPr>
                <w:sz w:val="5"/>
                <w:szCs w:val="5"/>
                <w:color w:val="auto"/>
              </w:rPr>
            </w:pPr>
          </w:p>
        </w:tc>
        <w:tc>
          <w:tcPr>
            <w:tcW w:w="120" w:type="dxa"/>
            <w:vAlign w:val="bottom"/>
          </w:tcPr>
          <w:p>
            <w:pPr>
              <w:spacing w:after="0"/>
              <w:rPr>
                <w:sz w:val="5"/>
                <w:szCs w:val="5"/>
                <w:color w:val="auto"/>
              </w:rPr>
            </w:pPr>
          </w:p>
        </w:tc>
        <w:tc>
          <w:tcPr>
            <w:tcW w:w="540" w:type="dxa"/>
            <w:vAlign w:val="bottom"/>
            <w:tcBorders>
              <w:bottom w:val="single" w:sz="8" w:color="auto"/>
            </w:tcBorders>
            <w:vMerge w:val="continue"/>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Borders>
              <w:bottom w:val="single" w:sz="8" w:color="auto"/>
            </w:tcBorders>
            <w:vMerge w:val="continue"/>
          </w:tcPr>
          <w:p>
            <w:pPr>
              <w:spacing w:after="0"/>
              <w:rPr>
                <w:sz w:val="5"/>
                <w:szCs w:val="5"/>
                <w:color w:val="auto"/>
              </w:rPr>
            </w:pPr>
          </w:p>
        </w:tc>
        <w:tc>
          <w:tcPr>
            <w:tcW w:w="520" w:type="dxa"/>
            <w:vAlign w:val="bottom"/>
            <w:tcBorders>
              <w:bottom w:val="single" w:sz="8" w:color="auto"/>
            </w:tcBorders>
            <w:vMerge w:val="continue"/>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Borders>
              <w:bottom w:val="single" w:sz="8" w:color="auto"/>
            </w:tcBorders>
            <w:vMerge w:val="continue"/>
          </w:tcPr>
          <w:p>
            <w:pPr>
              <w:spacing w:after="0"/>
              <w:rPr>
                <w:sz w:val="5"/>
                <w:szCs w:val="5"/>
                <w:color w:val="auto"/>
              </w:rPr>
            </w:pPr>
          </w:p>
        </w:tc>
        <w:tc>
          <w:tcPr>
            <w:tcW w:w="760" w:type="dxa"/>
            <w:vAlign w:val="bottom"/>
            <w:tcBorders>
              <w:bottom w:val="single" w:sz="8" w:color="auto"/>
            </w:tcBorders>
            <w:vMerge w:val="continue"/>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Borders>
              <w:bottom w:val="single" w:sz="8" w:color="auto"/>
            </w:tcBorders>
            <w:vMerge w:val="continue"/>
          </w:tcPr>
          <w:p>
            <w:pPr>
              <w:spacing w:after="0"/>
              <w:rPr>
                <w:sz w:val="5"/>
                <w:szCs w:val="5"/>
                <w:color w:val="auto"/>
              </w:rPr>
            </w:pPr>
          </w:p>
        </w:tc>
        <w:tc>
          <w:tcPr>
            <w:tcW w:w="880" w:type="dxa"/>
            <w:vAlign w:val="bottom"/>
            <w:tcBorders>
              <w:bottom w:val="single" w:sz="8" w:color="auto"/>
            </w:tcBorders>
            <w:vMerge w:val="continue"/>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Borders>
              <w:bottom w:val="single" w:sz="8" w:color="auto"/>
            </w:tcBorders>
            <w:vMerge w:val="continue"/>
          </w:tcPr>
          <w:p>
            <w:pPr>
              <w:spacing w:after="0"/>
              <w:rPr>
                <w:sz w:val="5"/>
                <w:szCs w:val="5"/>
                <w:color w:val="auto"/>
              </w:rPr>
            </w:pPr>
          </w:p>
        </w:tc>
        <w:tc>
          <w:tcPr>
            <w:tcW w:w="74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358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40"/>
          </w:cols>
          <w:pgMar w:left="320" w:top="125" w:right="33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3820"/>
        <w:spacing w:after="0"/>
        <w:rPr>
          <w:sz w:val="20"/>
          <w:szCs w:val="20"/>
          <w:color w:val="auto"/>
        </w:rPr>
      </w:pPr>
      <w:r>
        <w:rPr>
          <w:rFonts w:ascii="Arial" w:cs="Arial" w:eastAsia="Arial" w:hAnsi="Arial"/>
          <w:sz w:val="18"/>
          <w:szCs w:val="18"/>
          <w:b w:val="1"/>
          <w:bCs w:val="1"/>
          <w:color w:val="auto"/>
        </w:rPr>
        <w:t>Matador Resources Company and Subsidiaries</w:t>
      </w:r>
    </w:p>
    <w:p>
      <w:pPr>
        <w:spacing w:after="0" w:line="171" w:lineRule="exact"/>
        <w:rPr>
          <w:sz w:val="20"/>
          <w:szCs w:val="20"/>
          <w:color w:val="auto"/>
        </w:rPr>
      </w:pPr>
    </w:p>
    <w:p>
      <w:pPr>
        <w:ind w:left="2240"/>
        <w:spacing w:after="0"/>
        <w:rPr>
          <w:sz w:val="20"/>
          <w:szCs w:val="20"/>
          <w:color w:val="auto"/>
        </w:rPr>
      </w:pPr>
      <w:r>
        <w:rPr>
          <w:rFonts w:ascii="Arial" w:cs="Arial" w:eastAsia="Arial" w:hAnsi="Arial"/>
          <w:sz w:val="18"/>
          <w:szCs w:val="18"/>
          <w:b w:val="1"/>
          <w:bCs w:val="1"/>
          <w:color w:val="auto"/>
        </w:rPr>
        <w:t>CONDENSED CONSOLIDATED STATEMENTS OF CASH FLOWS — UNAUDITED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153" w:lineRule="exact"/>
        <w:rPr>
          <w:sz w:val="20"/>
          <w:szCs w:val="20"/>
          <w:color w:val="auto"/>
        </w:rPr>
      </w:pPr>
    </w:p>
    <w:p>
      <w:pPr>
        <w:jc w:val="right"/>
        <w:ind w:right="260"/>
        <w:spacing w:after="0"/>
        <w:rPr>
          <w:sz w:val="20"/>
          <w:szCs w:val="20"/>
          <w:color w:val="auto"/>
        </w:rPr>
      </w:pPr>
      <w:r>
        <w:rPr>
          <w:rFonts w:ascii="Arial" w:cs="Arial" w:eastAsia="Arial" w:hAnsi="Arial"/>
          <w:sz w:val="18"/>
          <w:szCs w:val="18"/>
          <w:b w:val="1"/>
          <w:bCs w:val="1"/>
          <w:color w:val="auto"/>
        </w:rPr>
        <w:t>Three Months Ended</w:t>
      </w:r>
    </w:p>
    <w:p>
      <w:pPr>
        <w:spacing w:after="0" w:line="27" w:lineRule="exact"/>
        <w:rPr>
          <w:sz w:val="20"/>
          <w:szCs w:val="20"/>
          <w:color w:val="auto"/>
        </w:rPr>
      </w:pPr>
    </w:p>
    <w:p>
      <w:pPr>
        <w:ind w:left="9820"/>
        <w:spacing w:after="0"/>
        <w:rPr>
          <w:sz w:val="20"/>
          <w:szCs w:val="20"/>
          <w:color w:val="auto"/>
        </w:rPr>
      </w:pPr>
      <w:r>
        <w:rPr>
          <w:rFonts w:ascii="Arial" w:cs="Arial" w:eastAsia="Arial" w:hAnsi="Arial"/>
          <w:sz w:val="18"/>
          <w:szCs w:val="18"/>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5782945</wp:posOffset>
            </wp:positionH>
            <wp:positionV relativeFrom="paragraph">
              <wp:posOffset>22860</wp:posOffset>
            </wp:positionV>
            <wp:extent cx="135445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354455" cy="825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p>
      <w:pPr>
        <w:spacing w:after="0" w:line="3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-106680</wp:posOffset>
            </wp:positionV>
            <wp:extent cx="7132320" cy="1797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103" w:lineRule="exact"/>
        <w:rPr>
          <w:sz w:val="20"/>
          <w:szCs w:val="20"/>
          <w:color w:val="auto"/>
        </w:rPr>
      </w:pPr>
    </w:p>
    <w:p>
      <w:pPr>
        <w:ind w:left="380"/>
        <w:spacing w:after="0"/>
        <w:rPr>
          <w:sz w:val="20"/>
          <w:szCs w:val="20"/>
          <w:color w:val="auto"/>
        </w:rPr>
      </w:pPr>
      <w:r>
        <w:rPr>
          <w:rFonts w:ascii="Arial" w:cs="Arial" w:eastAsia="Arial" w:hAnsi="Arial"/>
          <w:sz w:val="14"/>
          <w:szCs w:val="14"/>
          <w:color w:val="auto"/>
        </w:rPr>
        <w:t>Net income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132320" cy="1714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89" w:lineRule="exact"/>
        <w:rPr>
          <w:sz w:val="20"/>
          <w:szCs w:val="20"/>
          <w:color w:val="auto"/>
        </w:rPr>
      </w:pPr>
    </w:p>
    <w:p>
      <w:pPr>
        <w:ind w:left="720" w:right="3020" w:hanging="323"/>
        <w:spacing w:after="0" w:line="402" w:lineRule="auto"/>
        <w:rPr>
          <w:sz w:val="20"/>
          <w:szCs w:val="20"/>
          <w:color w:val="auto"/>
        </w:rPr>
      </w:pPr>
      <w:r>
        <w:rPr>
          <w:rFonts w:ascii="Arial" w:cs="Arial" w:eastAsia="Arial" w:hAnsi="Arial"/>
          <w:sz w:val="14"/>
          <w:szCs w:val="14"/>
          <w:color w:val="auto"/>
        </w:rPr>
        <w:t>Adjustments to reconcile net income (loss) to net cash provided by operating activities Unrealized (gain) loss on derivatives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132320" cy="1714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ind w:left="720"/>
        <w:spacing w:after="0"/>
        <w:rPr>
          <w:sz w:val="20"/>
          <w:szCs w:val="20"/>
          <w:color w:val="auto"/>
        </w:rPr>
      </w:pPr>
      <w:r>
        <w:rPr>
          <w:rFonts w:ascii="Arial" w:cs="Arial" w:eastAsia="Arial" w:hAnsi="Arial"/>
          <w:sz w:val="14"/>
          <w:szCs w:val="14"/>
          <w:color w:val="auto"/>
        </w:rPr>
        <w:t>Depletion, depreciation and amortization</w:t>
      </w:r>
    </w:p>
    <w:p>
      <w:pPr>
        <w:spacing w:after="0" w:line="109" w:lineRule="exact"/>
        <w:rPr>
          <w:sz w:val="20"/>
          <w:szCs w:val="20"/>
          <w:color w:val="auto"/>
        </w:rPr>
      </w:pPr>
    </w:p>
    <w:p>
      <w:pPr>
        <w:ind w:left="720"/>
        <w:spacing w:after="0"/>
        <w:rPr>
          <w:sz w:val="20"/>
          <w:szCs w:val="20"/>
          <w:color w:val="auto"/>
        </w:rPr>
      </w:pPr>
      <w:r>
        <w:rPr>
          <w:rFonts w:ascii="Arial" w:cs="Arial" w:eastAsia="Arial" w:hAnsi="Arial"/>
          <w:sz w:val="14"/>
          <w:szCs w:val="14"/>
          <w:color w:val="auto"/>
        </w:rPr>
        <w:t>Accretion of asset retirement obligations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132320" cy="1714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89" w:lineRule="exact"/>
        <w:rPr>
          <w:sz w:val="20"/>
          <w:szCs w:val="20"/>
          <w:color w:val="auto"/>
        </w:rPr>
      </w:pPr>
    </w:p>
    <w:p>
      <w:pPr>
        <w:ind w:left="720"/>
        <w:spacing w:after="0"/>
        <w:rPr>
          <w:sz w:val="20"/>
          <w:szCs w:val="20"/>
          <w:color w:val="auto"/>
        </w:rPr>
      </w:pPr>
      <w:r>
        <w:rPr>
          <w:rFonts w:ascii="Arial" w:cs="Arial" w:eastAsia="Arial" w:hAnsi="Arial"/>
          <w:sz w:val="14"/>
          <w:szCs w:val="14"/>
          <w:color w:val="auto"/>
        </w:rPr>
        <w:t>Stock-based compensation expense</w:t>
      </w:r>
    </w:p>
    <w:p>
      <w:pPr>
        <w:spacing w:after="0" w:line="109" w:lineRule="exact"/>
        <w:rPr>
          <w:sz w:val="20"/>
          <w:szCs w:val="20"/>
          <w:color w:val="auto"/>
        </w:rPr>
      </w:pPr>
    </w:p>
    <w:p>
      <w:pPr>
        <w:ind w:left="720"/>
        <w:spacing w:after="0"/>
        <w:rPr>
          <w:sz w:val="20"/>
          <w:szCs w:val="20"/>
          <w:color w:val="auto"/>
        </w:rPr>
      </w:pPr>
      <w:r>
        <w:rPr>
          <w:rFonts w:ascii="Arial" w:cs="Arial" w:eastAsia="Arial" w:hAnsi="Arial"/>
          <w:sz w:val="14"/>
          <w:szCs w:val="14"/>
          <w:color w:val="auto"/>
        </w:rPr>
        <w:t>Deferred income tax provision (benefit)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132320" cy="1714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89" w:lineRule="exact"/>
        <w:rPr>
          <w:sz w:val="20"/>
          <w:szCs w:val="20"/>
          <w:color w:val="auto"/>
        </w:rPr>
      </w:pPr>
    </w:p>
    <w:p>
      <w:pPr>
        <w:ind w:left="720"/>
        <w:spacing w:after="0"/>
        <w:rPr>
          <w:sz w:val="20"/>
          <w:szCs w:val="20"/>
          <w:color w:val="auto"/>
        </w:rPr>
      </w:pPr>
      <w:r>
        <w:rPr>
          <w:rFonts w:ascii="Arial" w:cs="Arial" w:eastAsia="Arial" w:hAnsi="Arial"/>
          <w:sz w:val="14"/>
          <w:szCs w:val="14"/>
          <w:color w:val="auto"/>
        </w:rPr>
        <w:t>Amortization of debt issuance cost</w:t>
      </w:r>
    </w:p>
    <w:p>
      <w:pPr>
        <w:spacing w:after="0" w:line="109" w:lineRule="exact"/>
        <w:rPr>
          <w:sz w:val="20"/>
          <w:szCs w:val="20"/>
          <w:color w:val="auto"/>
        </w:rPr>
      </w:pPr>
    </w:p>
    <w:p>
      <w:pPr>
        <w:ind w:left="720"/>
        <w:spacing w:after="0"/>
        <w:rPr>
          <w:sz w:val="20"/>
          <w:szCs w:val="20"/>
          <w:color w:val="auto"/>
        </w:rPr>
      </w:pPr>
      <w:r>
        <w:rPr>
          <w:rFonts w:ascii="Arial" w:cs="Arial" w:eastAsia="Arial" w:hAnsi="Arial"/>
          <w:sz w:val="14"/>
          <w:szCs w:val="14"/>
          <w:color w:val="auto"/>
        </w:rPr>
        <w:t>Changes in operating assets and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132320" cy="1714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89" w:lineRule="exact"/>
        <w:rPr>
          <w:sz w:val="20"/>
          <w:szCs w:val="20"/>
          <w:color w:val="auto"/>
        </w:rPr>
      </w:pPr>
    </w:p>
    <w:p>
      <w:pPr>
        <w:ind w:left="1140"/>
        <w:spacing w:after="0"/>
        <w:rPr>
          <w:sz w:val="20"/>
          <w:szCs w:val="20"/>
          <w:color w:val="auto"/>
        </w:rPr>
      </w:pPr>
      <w:r>
        <w:rPr>
          <w:rFonts w:ascii="Arial" w:cs="Arial" w:eastAsia="Arial" w:hAnsi="Arial"/>
          <w:sz w:val="14"/>
          <w:szCs w:val="14"/>
          <w:color w:val="auto"/>
        </w:rPr>
        <w:t>Accounts receivable</w:t>
      </w:r>
    </w:p>
    <w:p>
      <w:pPr>
        <w:spacing w:after="0" w:line="109" w:lineRule="exact"/>
        <w:rPr>
          <w:sz w:val="20"/>
          <w:szCs w:val="20"/>
          <w:color w:val="auto"/>
        </w:rPr>
      </w:pPr>
    </w:p>
    <w:p>
      <w:pPr>
        <w:ind w:left="1140"/>
        <w:spacing w:after="0"/>
        <w:rPr>
          <w:sz w:val="20"/>
          <w:szCs w:val="20"/>
          <w:color w:val="auto"/>
        </w:rPr>
      </w:pPr>
      <w:r>
        <w:rPr>
          <w:rFonts w:ascii="Arial" w:cs="Arial" w:eastAsia="Arial" w:hAnsi="Arial"/>
          <w:sz w:val="14"/>
          <w:szCs w:val="14"/>
          <w:color w:val="auto"/>
        </w:rPr>
        <w:t>Lease and well equipment inventory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132320" cy="1714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89" w:lineRule="exact"/>
        <w:rPr>
          <w:sz w:val="20"/>
          <w:szCs w:val="20"/>
          <w:color w:val="auto"/>
        </w:rPr>
      </w:pPr>
    </w:p>
    <w:p>
      <w:pPr>
        <w:ind w:left="1140"/>
        <w:spacing w:after="0"/>
        <w:rPr>
          <w:sz w:val="20"/>
          <w:szCs w:val="20"/>
          <w:color w:val="auto"/>
        </w:rPr>
      </w:pPr>
      <w:r>
        <w:rPr>
          <w:rFonts w:ascii="Arial" w:cs="Arial" w:eastAsia="Arial" w:hAnsi="Arial"/>
          <w:sz w:val="14"/>
          <w:szCs w:val="14"/>
          <w:color w:val="auto"/>
        </w:rPr>
        <w:t>Prepaid expenses and other current assets</w:t>
      </w:r>
    </w:p>
    <w:p>
      <w:pPr>
        <w:spacing w:after="0" w:line="109" w:lineRule="exact"/>
        <w:rPr>
          <w:sz w:val="20"/>
          <w:szCs w:val="20"/>
          <w:color w:val="auto"/>
        </w:rPr>
      </w:pPr>
    </w:p>
    <w:p>
      <w:pPr>
        <w:ind w:left="1140"/>
        <w:spacing w:after="0"/>
        <w:rPr>
          <w:sz w:val="20"/>
          <w:szCs w:val="20"/>
          <w:color w:val="auto"/>
        </w:rPr>
      </w:pPr>
      <w:r>
        <w:rPr>
          <w:rFonts w:ascii="Arial" w:cs="Arial" w:eastAsia="Arial" w:hAnsi="Arial"/>
          <w:sz w:val="14"/>
          <w:szCs w:val="14"/>
          <w:color w:val="auto"/>
        </w:rPr>
        <w:t>Other long-term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132320" cy="1714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89" w:lineRule="exact"/>
        <w:rPr>
          <w:sz w:val="20"/>
          <w:szCs w:val="20"/>
          <w:color w:val="auto"/>
        </w:rPr>
      </w:pPr>
    </w:p>
    <w:p>
      <w:pPr>
        <w:ind w:left="1140"/>
        <w:spacing w:after="0"/>
        <w:rPr>
          <w:sz w:val="20"/>
          <w:szCs w:val="20"/>
          <w:color w:val="auto"/>
        </w:rPr>
      </w:pPr>
      <w:r>
        <w:rPr>
          <w:rFonts w:ascii="Arial" w:cs="Arial" w:eastAsia="Arial" w:hAnsi="Arial"/>
          <w:sz w:val="14"/>
          <w:szCs w:val="14"/>
          <w:color w:val="auto"/>
        </w:rPr>
        <w:t>Accounts payable, accrued liabilities and other current liabilities</w:t>
      </w:r>
    </w:p>
    <w:p>
      <w:pPr>
        <w:spacing w:after="0" w:line="109" w:lineRule="exact"/>
        <w:rPr>
          <w:sz w:val="20"/>
          <w:szCs w:val="20"/>
          <w:color w:val="auto"/>
        </w:rPr>
      </w:pPr>
    </w:p>
    <w:p>
      <w:pPr>
        <w:ind w:left="1140"/>
        <w:spacing w:after="0"/>
        <w:rPr>
          <w:sz w:val="20"/>
          <w:szCs w:val="20"/>
          <w:color w:val="auto"/>
        </w:rPr>
      </w:pPr>
      <w:r>
        <w:rPr>
          <w:rFonts w:ascii="Arial" w:cs="Arial" w:eastAsia="Arial" w:hAnsi="Arial"/>
          <w:sz w:val="14"/>
          <w:szCs w:val="14"/>
          <w:color w:val="auto"/>
        </w:rPr>
        <w:t>Royalties payable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132320" cy="1714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89" w:lineRule="exact"/>
        <w:rPr>
          <w:sz w:val="20"/>
          <w:szCs w:val="20"/>
          <w:color w:val="auto"/>
        </w:rPr>
      </w:pPr>
    </w:p>
    <w:p>
      <w:pPr>
        <w:ind w:left="1140"/>
        <w:spacing w:after="0"/>
        <w:rPr>
          <w:sz w:val="20"/>
          <w:szCs w:val="20"/>
          <w:color w:val="auto"/>
        </w:rPr>
      </w:pPr>
      <w:r>
        <w:rPr>
          <w:rFonts w:ascii="Arial" w:cs="Arial" w:eastAsia="Arial" w:hAnsi="Arial"/>
          <w:sz w:val="14"/>
          <w:szCs w:val="14"/>
          <w:color w:val="auto"/>
        </w:rPr>
        <w:t>Advances from joint interest owners</w:t>
      </w:r>
    </w:p>
    <w:p>
      <w:pPr>
        <w:spacing w:after="0" w:line="109" w:lineRule="exact"/>
        <w:rPr>
          <w:sz w:val="20"/>
          <w:szCs w:val="20"/>
          <w:color w:val="auto"/>
        </w:rPr>
      </w:pPr>
    </w:p>
    <w:p>
      <w:pPr>
        <w:ind w:left="1140"/>
        <w:spacing w:after="0"/>
        <w:rPr>
          <w:sz w:val="20"/>
          <w:szCs w:val="20"/>
          <w:color w:val="auto"/>
        </w:rPr>
      </w:pPr>
      <w:r>
        <w:rPr>
          <w:rFonts w:ascii="Arial" w:cs="Arial" w:eastAsia="Arial" w:hAnsi="Arial"/>
          <w:sz w:val="14"/>
          <w:szCs w:val="14"/>
          <w:color w:val="auto"/>
        </w:rPr>
        <w:t>Other long-term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132320" cy="1714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89" w:lineRule="exact"/>
        <w:rPr>
          <w:sz w:val="20"/>
          <w:szCs w:val="20"/>
          <w:color w:val="auto"/>
        </w:rPr>
      </w:pPr>
    </w:p>
    <w:p>
      <w:pPr>
        <w:ind w:left="1460"/>
        <w:spacing w:after="0"/>
        <w:rPr>
          <w:sz w:val="20"/>
          <w:szCs w:val="20"/>
          <w:color w:val="auto"/>
        </w:rPr>
      </w:pPr>
      <w:r>
        <w:rPr>
          <w:rFonts w:ascii="Arial" w:cs="Arial" w:eastAsia="Arial" w:hAnsi="Arial"/>
          <w:sz w:val="14"/>
          <w:szCs w:val="14"/>
          <w:color w:val="auto"/>
        </w:rPr>
        <w:t>Net cash provided by operating activities</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132320" cy="1714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8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Oil and natural gas properties capital expenditures</w:t>
      </w:r>
    </w:p>
    <w:p>
      <w:pPr>
        <w:spacing w:after="0" w:line="10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Midstream capital expenditures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132320" cy="1714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8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Expenditures for other property and equipment</w:t>
      </w:r>
    </w:p>
    <w:p>
      <w:pPr>
        <w:spacing w:after="0" w:line="10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Proceeds from sale of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132320" cy="1714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89" w:lineRule="exact"/>
        <w:rPr>
          <w:sz w:val="20"/>
          <w:szCs w:val="20"/>
          <w:color w:val="auto"/>
        </w:rPr>
      </w:pPr>
    </w:p>
    <w:p>
      <w:pPr>
        <w:ind w:left="1460"/>
        <w:spacing w:after="0"/>
        <w:rPr>
          <w:sz w:val="20"/>
          <w:szCs w:val="20"/>
          <w:color w:val="auto"/>
        </w:rPr>
      </w:pPr>
      <w:r>
        <w:rPr>
          <w:rFonts w:ascii="Arial" w:cs="Arial" w:eastAsia="Arial" w:hAnsi="Arial"/>
          <w:sz w:val="14"/>
          <w:szCs w:val="14"/>
          <w:color w:val="auto"/>
        </w:rPr>
        <w:t>Net cash used in investing activities</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132320" cy="1714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8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Borrowings under Credit Agreement</w:t>
      </w:r>
    </w:p>
    <w:p>
      <w:pPr>
        <w:spacing w:after="0" w:line="10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Borrowings under San Mateo Credit Facility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132320" cy="1714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8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Cost to amend Credit Agreement</w:t>
      </w:r>
    </w:p>
    <w:p>
      <w:pPr>
        <w:spacing w:after="0" w:line="10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Proceeds from stock options exercised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132320" cy="1714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8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Contributions related to formation of San Mateo I</w:t>
      </w:r>
    </w:p>
    <w:p>
      <w:pPr>
        <w:spacing w:after="0" w:line="109" w:lineRule="exact"/>
        <w:rPr>
          <w:sz w:val="20"/>
          <w:szCs w:val="20"/>
          <w:color w:val="auto"/>
        </w:rPr>
      </w:pPr>
    </w:p>
    <w:p>
      <w:pPr>
        <w:ind w:left="380"/>
        <w:spacing w:after="0"/>
        <w:rPr>
          <w:sz w:val="20"/>
          <w:szCs w:val="20"/>
          <w:color w:val="auto"/>
        </w:rPr>
      </w:pPr>
      <w:r>
        <w:rPr>
          <w:rFonts w:ascii="Arial" w:cs="Arial" w:eastAsia="Arial" w:hAnsi="Arial"/>
          <w:sz w:val="13"/>
          <w:szCs w:val="13"/>
          <w:color w:val="auto"/>
        </w:rPr>
        <w:t>Contributions from non-controlling interest owners of less-than-wholly-owned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71120</wp:posOffset>
            </wp:positionV>
            <wp:extent cx="7132320" cy="1714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101" w:lineRule="exact"/>
        <w:rPr>
          <w:sz w:val="20"/>
          <w:szCs w:val="20"/>
          <w:color w:val="auto"/>
        </w:rPr>
      </w:pPr>
    </w:p>
    <w:p>
      <w:pPr>
        <w:ind w:left="380"/>
        <w:spacing w:after="0"/>
        <w:rPr>
          <w:sz w:val="20"/>
          <w:szCs w:val="20"/>
          <w:color w:val="auto"/>
        </w:rPr>
      </w:pPr>
      <w:r>
        <w:rPr>
          <w:rFonts w:ascii="Arial" w:cs="Arial" w:eastAsia="Arial" w:hAnsi="Arial"/>
          <w:sz w:val="13"/>
          <w:szCs w:val="13"/>
          <w:color w:val="auto"/>
        </w:rPr>
        <w:t>Distributions to non-controlling interest owners of less-than-wholly-owned subsidiaries</w:t>
      </w:r>
    </w:p>
    <w:p>
      <w:pPr>
        <w:spacing w:after="0" w:line="121" w:lineRule="exact"/>
        <w:rPr>
          <w:sz w:val="20"/>
          <w:szCs w:val="20"/>
          <w:color w:val="auto"/>
        </w:rPr>
      </w:pPr>
    </w:p>
    <w:p>
      <w:pPr>
        <w:ind w:left="380"/>
        <w:spacing w:after="0"/>
        <w:rPr>
          <w:sz w:val="20"/>
          <w:szCs w:val="20"/>
          <w:color w:val="auto"/>
        </w:rPr>
      </w:pPr>
      <w:r>
        <w:rPr>
          <w:rFonts w:ascii="Arial" w:cs="Arial" w:eastAsia="Arial" w:hAnsi="Arial"/>
          <w:sz w:val="14"/>
          <w:szCs w:val="14"/>
          <w:color w:val="auto"/>
        </w:rPr>
        <w:t>Taxes paid related to net share settlement of stock-based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132320" cy="1714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8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Cash paid under financing lease obligations</w:t>
      </w:r>
    </w:p>
    <w:p>
      <w:pPr>
        <w:spacing w:after="0" w:line="109" w:lineRule="exact"/>
        <w:rPr>
          <w:sz w:val="20"/>
          <w:szCs w:val="20"/>
          <w:color w:val="auto"/>
        </w:rPr>
      </w:pPr>
    </w:p>
    <w:p>
      <w:pPr>
        <w:ind w:left="1460"/>
        <w:spacing w:after="0"/>
        <w:rPr>
          <w:sz w:val="20"/>
          <w:szCs w:val="20"/>
          <w:color w:val="auto"/>
        </w:rPr>
      </w:pPr>
      <w:r>
        <w:rPr>
          <w:rFonts w:ascii="Arial" w:cs="Arial" w:eastAsia="Arial" w:hAnsi="Arial"/>
          <w:sz w:val="14"/>
          <w:szCs w:val="14"/>
          <w:color w:val="auto"/>
        </w:rPr>
        <w:t>Net cash provided by 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132320" cy="1714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89" w:lineRule="exact"/>
        <w:rPr>
          <w:sz w:val="20"/>
          <w:szCs w:val="20"/>
          <w:color w:val="auto"/>
        </w:rPr>
      </w:pPr>
    </w:p>
    <w:p>
      <w:pPr>
        <w:ind w:left="40"/>
        <w:spacing w:after="0"/>
        <w:rPr>
          <w:sz w:val="20"/>
          <w:szCs w:val="20"/>
          <w:color w:val="auto"/>
        </w:rPr>
      </w:pPr>
      <w:r>
        <w:rPr>
          <w:rFonts w:ascii="Arial" w:cs="Arial" w:eastAsia="Arial" w:hAnsi="Arial"/>
          <w:sz w:val="14"/>
          <w:szCs w:val="14"/>
          <w:color w:val="auto"/>
        </w:rPr>
        <w:t>Decrease in cash and restricted cash</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Cash and restricted cash at beginning of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132320" cy="1714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89" w:lineRule="exact"/>
        <w:rPr>
          <w:sz w:val="20"/>
          <w:szCs w:val="20"/>
          <w:color w:val="auto"/>
        </w:rPr>
      </w:pPr>
    </w:p>
    <w:p>
      <w:pPr>
        <w:ind w:left="40"/>
        <w:spacing w:after="0"/>
        <w:rPr>
          <w:sz w:val="20"/>
          <w:szCs w:val="20"/>
          <w:color w:val="auto"/>
        </w:rPr>
      </w:pPr>
      <w:r>
        <w:rPr>
          <w:rFonts w:ascii="Arial" w:cs="Arial" w:eastAsia="Arial" w:hAnsi="Arial"/>
          <w:sz w:val="14"/>
          <w:szCs w:val="14"/>
          <w:color w:val="auto"/>
        </w:rPr>
        <w:t>Cash and restricted cash at end of period</w:t>
      </w:r>
    </w:p>
    <w:p>
      <w:pPr>
        <w:spacing w:after="0" w:line="20" w:lineRule="exact"/>
        <w:rPr>
          <w:sz w:val="20"/>
          <w:szCs w:val="20"/>
          <w:color w:val="auto"/>
        </w:rPr>
      </w:pPr>
      <w:r>
        <w:rPr>
          <w:sz w:val="20"/>
          <w:szCs w:val="20"/>
          <w:color w:val="auto"/>
        </w:rPr>
        <w:br w:type="column"/>
      </w:r>
    </w:p>
    <w:p>
      <w:pPr>
        <w:spacing w:after="0" w:line="38" w:lineRule="exact"/>
        <w:rPr>
          <w:sz w:val="20"/>
          <w:szCs w:val="20"/>
          <w:color w:val="auto"/>
        </w:rPr>
      </w:pPr>
    </w:p>
    <w:p>
      <w:pPr>
        <w:ind w:left="340"/>
        <w:spacing w:after="0"/>
        <w:tabs>
          <w:tab w:leader="none" w:pos="1440" w:val="left"/>
        </w:tabs>
        <w:rPr>
          <w:sz w:val="20"/>
          <w:szCs w:val="20"/>
          <w:color w:val="auto"/>
        </w:rPr>
      </w:pPr>
      <w:r>
        <w:rPr>
          <w:rFonts w:ascii="Arial" w:cs="Arial" w:eastAsia="Arial" w:hAnsi="Arial"/>
          <w:sz w:val="18"/>
          <w:szCs w:val="18"/>
          <w:b w:val="1"/>
          <w:bCs w:val="1"/>
          <w:color w:val="auto"/>
        </w:rPr>
        <w:t>2020</w:t>
      </w:r>
      <w:r>
        <w:rPr>
          <w:sz w:val="20"/>
          <w:szCs w:val="20"/>
          <w:color w:val="auto"/>
        </w:rPr>
        <w:tab/>
      </w:r>
      <w:r>
        <w:rPr>
          <w:rFonts w:ascii="Arial" w:cs="Arial" w:eastAsia="Arial" w:hAnsi="Arial"/>
          <w:sz w:val="18"/>
          <w:szCs w:val="18"/>
          <w:b w:val="1"/>
          <w:bCs w:val="1"/>
          <w:color w:val="auto"/>
        </w:rPr>
        <w:t>2019</w:t>
      </w:r>
    </w:p>
    <w:p>
      <w:pPr>
        <w:spacing w:after="0" w:line="200" w:lineRule="exact"/>
        <w:rPr>
          <w:sz w:val="20"/>
          <w:szCs w:val="20"/>
          <w:color w:val="auto"/>
        </w:rPr>
      </w:pPr>
    </w:p>
    <w:p>
      <w:pPr>
        <w:spacing w:after="0" w:line="214" w:lineRule="exact"/>
        <w:rPr>
          <w:sz w:val="20"/>
          <w:szCs w:val="20"/>
          <w:color w:val="auto"/>
        </w:rPr>
      </w:pPr>
    </w:p>
    <w:p>
      <w:pPr>
        <w:ind w:left="40"/>
        <w:spacing w:after="0"/>
        <w:tabs>
          <w:tab w:leader="none" w:pos="440" w:val="left"/>
          <w:tab w:leader="none" w:pos="1140" w:val="left"/>
          <w:tab w:leader="none" w:pos="1640" w:val="left"/>
        </w:tabs>
        <w:rPr>
          <w:sz w:val="20"/>
          <w:szCs w:val="20"/>
          <w:color w:val="auto"/>
        </w:rPr>
      </w:pPr>
      <w:r>
        <w:rPr>
          <w:rFonts w:ascii="Arial" w:cs="Arial" w:eastAsia="Arial" w:hAnsi="Arial"/>
          <w:sz w:val="14"/>
          <w:szCs w:val="14"/>
          <w:color w:val="auto"/>
        </w:rPr>
        <w:t>$</w:t>
      </w:r>
      <w:r>
        <w:rPr>
          <w:sz w:val="20"/>
          <w:szCs w:val="20"/>
          <w:color w:val="auto"/>
        </w:rPr>
        <w:tab/>
      </w:r>
      <w:r>
        <w:rPr>
          <w:rFonts w:ascii="Arial" w:cs="Arial" w:eastAsia="Arial" w:hAnsi="Arial"/>
          <w:sz w:val="14"/>
          <w:szCs w:val="14"/>
          <w:color w:val="auto"/>
        </w:rPr>
        <w:t>135,083</w:t>
      </w:r>
      <w:r>
        <w:rPr>
          <w:sz w:val="20"/>
          <w:szCs w:val="20"/>
          <w:color w:val="auto"/>
        </w:rPr>
        <w:tab/>
      </w:r>
      <w:r>
        <w:rPr>
          <w:rFonts w:ascii="Arial" w:cs="Arial" w:eastAsia="Arial" w:hAnsi="Arial"/>
          <w:sz w:val="14"/>
          <w:szCs w:val="14"/>
          <w:color w:val="auto"/>
        </w:rPr>
        <w:t>$</w:t>
      </w:r>
      <w:r>
        <w:rPr>
          <w:sz w:val="20"/>
          <w:szCs w:val="20"/>
          <w:color w:val="auto"/>
        </w:rPr>
        <w:tab/>
      </w:r>
      <w:r>
        <w:rPr>
          <w:rFonts w:ascii="Arial" w:cs="Arial" w:eastAsia="Arial" w:hAnsi="Arial"/>
          <w:sz w:val="13"/>
          <w:szCs w:val="13"/>
          <w:color w:val="auto"/>
        </w:rPr>
        <w:t>(9,485)</w:t>
      </w:r>
    </w:p>
    <w:p>
      <w:pPr>
        <w:spacing w:after="0" w:line="379" w:lineRule="exact"/>
        <w:rPr>
          <w:sz w:val="20"/>
          <w:szCs w:val="20"/>
          <w:color w:val="auto"/>
        </w:rPr>
      </w:pPr>
    </w:p>
    <w:p>
      <w:pPr>
        <w:ind w:left="400"/>
        <w:spacing w:after="0"/>
        <w:tabs>
          <w:tab w:leader="none" w:pos="1620" w:val="left"/>
        </w:tabs>
        <w:rPr>
          <w:sz w:val="20"/>
          <w:szCs w:val="20"/>
          <w:color w:val="auto"/>
        </w:rPr>
      </w:pPr>
      <w:r>
        <w:rPr>
          <w:rFonts w:ascii="Arial" w:cs="Arial" w:eastAsia="Arial" w:hAnsi="Arial"/>
          <w:sz w:val="14"/>
          <w:szCs w:val="14"/>
          <w:color w:val="auto"/>
        </w:rPr>
        <w:t>(136,430)</w:t>
      </w:r>
      <w:r>
        <w:rPr>
          <w:sz w:val="20"/>
          <w:szCs w:val="20"/>
          <w:color w:val="auto"/>
        </w:rPr>
        <w:tab/>
      </w:r>
      <w:r>
        <w:rPr>
          <w:rFonts w:ascii="Arial" w:cs="Arial" w:eastAsia="Arial" w:hAnsi="Arial"/>
          <w:sz w:val="14"/>
          <w:szCs w:val="14"/>
          <w:color w:val="auto"/>
        </w:rPr>
        <w:t>45,719</w:t>
      </w:r>
    </w:p>
    <w:p>
      <w:pPr>
        <w:spacing w:after="0" w:line="109" w:lineRule="exact"/>
        <w:rPr>
          <w:sz w:val="20"/>
          <w:szCs w:val="20"/>
          <w:color w:val="auto"/>
        </w:rPr>
      </w:pPr>
    </w:p>
    <w:p>
      <w:pPr>
        <w:ind w:left="520"/>
        <w:spacing w:after="0"/>
        <w:tabs>
          <w:tab w:leader="none" w:pos="1620" w:val="left"/>
        </w:tabs>
        <w:rPr>
          <w:sz w:val="20"/>
          <w:szCs w:val="20"/>
          <w:color w:val="auto"/>
        </w:rPr>
      </w:pPr>
      <w:r>
        <w:rPr>
          <w:rFonts w:ascii="Arial" w:cs="Arial" w:eastAsia="Arial" w:hAnsi="Arial"/>
          <w:sz w:val="14"/>
          <w:szCs w:val="14"/>
          <w:color w:val="auto"/>
        </w:rPr>
        <w:t>90,707</w:t>
      </w:r>
      <w:r>
        <w:rPr>
          <w:sz w:val="20"/>
          <w:szCs w:val="20"/>
          <w:color w:val="auto"/>
        </w:rPr>
        <w:tab/>
      </w:r>
      <w:r>
        <w:rPr>
          <w:rFonts w:ascii="Arial" w:cs="Arial" w:eastAsia="Arial" w:hAnsi="Arial"/>
          <w:sz w:val="14"/>
          <w:szCs w:val="14"/>
          <w:color w:val="auto"/>
        </w:rPr>
        <w:t>76,866</w:t>
      </w:r>
    </w:p>
    <w:p>
      <w:pPr>
        <w:spacing w:after="0" w:line="109" w:lineRule="exact"/>
        <w:rPr>
          <w:sz w:val="20"/>
          <w:szCs w:val="20"/>
          <w:color w:val="auto"/>
        </w:rPr>
      </w:pPr>
    </w:p>
    <w:p>
      <w:pPr>
        <w:ind w:left="1820" w:hanging="1111"/>
        <w:spacing w:after="0"/>
        <w:tabs>
          <w:tab w:leader="none" w:pos="1820" w:val="left"/>
        </w:tabs>
        <w:numPr>
          <w:ilvl w:val="0"/>
          <w:numId w:val="3"/>
        </w:numPr>
        <w:rPr>
          <w:rFonts w:ascii="Arial" w:cs="Arial" w:eastAsia="Arial" w:hAnsi="Arial"/>
          <w:sz w:val="14"/>
          <w:szCs w:val="14"/>
          <w:color w:val="auto"/>
        </w:rPr>
      </w:pPr>
      <w:r>
        <w:rPr>
          <w:rFonts w:ascii="Arial" w:cs="Arial" w:eastAsia="Arial" w:hAnsi="Arial"/>
          <w:sz w:val="14"/>
          <w:szCs w:val="14"/>
          <w:color w:val="auto"/>
        </w:rPr>
        <w:t>414</w:t>
      </w:r>
    </w:p>
    <w:p>
      <w:pPr>
        <w:spacing w:after="0" w:line="109" w:lineRule="exact"/>
        <w:rPr>
          <w:rFonts w:ascii="Arial" w:cs="Arial" w:eastAsia="Arial" w:hAnsi="Arial"/>
          <w:sz w:val="14"/>
          <w:szCs w:val="14"/>
          <w:color w:val="auto"/>
        </w:rPr>
      </w:pPr>
    </w:p>
    <w:p>
      <w:pPr>
        <w:ind w:left="600"/>
        <w:spacing w:after="0"/>
        <w:rPr>
          <w:rFonts w:ascii="Arial" w:cs="Arial" w:eastAsia="Arial" w:hAnsi="Arial"/>
          <w:sz w:val="14"/>
          <w:szCs w:val="14"/>
          <w:color w:val="auto"/>
        </w:rPr>
      </w:pPr>
      <w:r>
        <w:rPr>
          <w:rFonts w:ascii="Arial" w:cs="Arial" w:eastAsia="Arial" w:hAnsi="Arial"/>
          <w:sz w:val="14"/>
          <w:szCs w:val="14"/>
          <w:color w:val="auto"/>
        </w:rPr>
        <w:t>3,794</w:t>
      </w:r>
      <w:r>
        <w:rPr>
          <w:rFonts w:ascii="Arial" w:cs="Arial" w:eastAsia="Arial" w:hAnsi="Arial"/>
          <w:sz w:val="13"/>
          <w:szCs w:val="13"/>
          <w:color w:val="auto"/>
        </w:rPr>
        <w:t>4,587</w:t>
      </w:r>
    </w:p>
    <w:p>
      <w:pPr>
        <w:spacing w:after="0" w:line="109" w:lineRule="exact"/>
        <w:rPr>
          <w:sz w:val="20"/>
          <w:szCs w:val="20"/>
          <w:color w:val="auto"/>
        </w:rPr>
      </w:pPr>
    </w:p>
    <w:tbl>
      <w:tblPr>
        <w:tblLayout w:type="fixed"/>
        <w:tblInd w:w="520" w:type="dxa"/>
        <w:tblCellMar>
          <w:top w:w="0" w:type="dxa"/>
          <w:left w:w="0" w:type="dxa"/>
          <w:bottom w:w="0" w:type="dxa"/>
          <w:right w:w="0" w:type="dxa"/>
        </w:tblCellMar>
      </w:tblPr>
      <w:tr>
        <w:trPr>
          <w:trHeight w:val="182"/>
        </w:trPr>
        <w:tc>
          <w:tcPr>
            <w:tcW w:w="780" w:type="dxa"/>
            <w:vAlign w:val="bottom"/>
          </w:tcPr>
          <w:p>
            <w:pPr>
              <w:jc w:val="right"/>
              <w:ind w:right="308"/>
              <w:spacing w:after="0"/>
              <w:rPr>
                <w:sz w:val="20"/>
                <w:szCs w:val="20"/>
                <w:color w:val="auto"/>
              </w:rPr>
            </w:pPr>
            <w:r>
              <w:rPr>
                <w:rFonts w:ascii="Arial" w:cs="Arial" w:eastAsia="Arial" w:hAnsi="Arial"/>
                <w:sz w:val="14"/>
                <w:szCs w:val="14"/>
                <w:color w:val="auto"/>
                <w:w w:val="88"/>
              </w:rPr>
              <w:t>39,957</w:t>
            </w:r>
          </w:p>
        </w:tc>
        <w:tc>
          <w:tcPr>
            <w:tcW w:w="780" w:type="dxa"/>
            <w:vAlign w:val="bottom"/>
          </w:tcPr>
          <w:p>
            <w:pPr>
              <w:jc w:val="right"/>
              <w:spacing w:after="0"/>
              <w:rPr>
                <w:sz w:val="20"/>
                <w:szCs w:val="20"/>
                <w:color w:val="auto"/>
              </w:rPr>
            </w:pPr>
            <w:r>
              <w:rPr>
                <w:rFonts w:ascii="Arial" w:cs="Arial" w:eastAsia="Arial" w:hAnsi="Arial"/>
                <w:sz w:val="14"/>
                <w:szCs w:val="14"/>
                <w:color w:val="auto"/>
              </w:rPr>
              <w:t>(1,013)</w:t>
            </w:r>
          </w:p>
        </w:tc>
      </w:tr>
      <w:tr>
        <w:trPr>
          <w:trHeight w:val="270"/>
        </w:trPr>
        <w:tc>
          <w:tcPr>
            <w:tcW w:w="780" w:type="dxa"/>
            <w:vAlign w:val="bottom"/>
          </w:tcPr>
          <w:p>
            <w:pPr>
              <w:jc w:val="right"/>
              <w:ind w:right="308"/>
              <w:spacing w:after="0"/>
              <w:rPr>
                <w:sz w:val="20"/>
                <w:szCs w:val="20"/>
                <w:color w:val="auto"/>
              </w:rPr>
            </w:pPr>
            <w:r>
              <w:rPr>
                <w:rFonts w:ascii="Arial" w:cs="Arial" w:eastAsia="Arial" w:hAnsi="Arial"/>
                <w:sz w:val="14"/>
                <w:szCs w:val="14"/>
                <w:color w:val="auto"/>
              </w:rPr>
              <w:t>684</w:t>
            </w:r>
          </w:p>
        </w:tc>
        <w:tc>
          <w:tcPr>
            <w:tcW w:w="780" w:type="dxa"/>
            <w:vAlign w:val="bottom"/>
          </w:tcPr>
          <w:p>
            <w:pPr>
              <w:jc w:val="right"/>
              <w:spacing w:after="0"/>
              <w:rPr>
                <w:sz w:val="20"/>
                <w:szCs w:val="20"/>
                <w:color w:val="auto"/>
              </w:rPr>
            </w:pPr>
            <w:r>
              <w:rPr>
                <w:rFonts w:ascii="Arial" w:cs="Arial" w:eastAsia="Arial" w:hAnsi="Arial"/>
                <w:sz w:val="14"/>
                <w:szCs w:val="14"/>
                <w:color w:val="auto"/>
              </w:rPr>
              <w:t>643</w:t>
            </w:r>
          </w:p>
        </w:tc>
      </w:tr>
    </w:tbl>
    <w:p>
      <w:pPr>
        <w:spacing w:after="0" w:line="358" w:lineRule="exact"/>
        <w:rPr>
          <w:sz w:val="20"/>
          <w:szCs w:val="20"/>
          <w:color w:val="auto"/>
        </w:rPr>
      </w:pPr>
    </w:p>
    <w:p>
      <w:pPr>
        <w:jc w:val="both"/>
        <w:ind w:left="520"/>
        <w:spacing w:after="0"/>
        <w:tabs>
          <w:tab w:leader="none" w:pos="1640" w:val="left"/>
        </w:tabs>
        <w:rPr>
          <w:sz w:val="20"/>
          <w:szCs w:val="20"/>
          <w:color w:val="auto"/>
        </w:rPr>
      </w:pPr>
      <w:r>
        <w:rPr>
          <w:rFonts w:ascii="Arial" w:cs="Arial" w:eastAsia="Arial" w:hAnsi="Arial"/>
          <w:sz w:val="14"/>
          <w:szCs w:val="14"/>
          <w:color w:val="auto"/>
        </w:rPr>
        <w:t>36,342</w:t>
      </w:r>
      <w:r>
        <w:rPr>
          <w:sz w:val="20"/>
          <w:szCs w:val="20"/>
          <w:color w:val="auto"/>
        </w:rPr>
        <w:tab/>
      </w:r>
      <w:r>
        <w:rPr>
          <w:rFonts w:ascii="Arial" w:cs="Arial" w:eastAsia="Arial" w:hAnsi="Arial"/>
          <w:sz w:val="14"/>
          <w:szCs w:val="14"/>
          <w:color w:val="auto"/>
        </w:rPr>
        <w:t>(3,873)</w:t>
      </w:r>
    </w:p>
    <w:p>
      <w:pPr>
        <w:spacing w:after="0" w:line="109" w:lineRule="exact"/>
        <w:rPr>
          <w:sz w:val="20"/>
          <w:szCs w:val="20"/>
          <w:color w:val="auto"/>
        </w:rPr>
      </w:pPr>
    </w:p>
    <w:p>
      <w:pPr>
        <w:jc w:val="both"/>
        <w:ind w:left="560"/>
        <w:spacing w:after="0"/>
        <w:tabs>
          <w:tab w:leader="none" w:pos="1640" w:val="left"/>
        </w:tabs>
        <w:rPr>
          <w:sz w:val="20"/>
          <w:szCs w:val="20"/>
          <w:color w:val="auto"/>
        </w:rPr>
      </w:pPr>
      <w:r>
        <w:rPr>
          <w:rFonts w:ascii="Arial" w:cs="Arial" w:eastAsia="Arial" w:hAnsi="Arial"/>
          <w:sz w:val="14"/>
          <w:szCs w:val="14"/>
          <w:color w:val="auto"/>
        </w:rPr>
        <w:t>(1,296)</w:t>
      </w:r>
      <w:r>
        <w:rPr>
          <w:sz w:val="20"/>
          <w:szCs w:val="20"/>
          <w:color w:val="auto"/>
        </w:rPr>
        <w:tab/>
      </w:r>
      <w:r>
        <w:rPr>
          <w:rFonts w:ascii="Arial" w:cs="Arial" w:eastAsia="Arial" w:hAnsi="Arial"/>
          <w:sz w:val="14"/>
          <w:szCs w:val="14"/>
          <w:color w:val="auto"/>
        </w:rPr>
        <w:t>(1,465)</w:t>
      </w:r>
    </w:p>
    <w:p>
      <w:pPr>
        <w:spacing w:after="0" w:line="109" w:lineRule="exact"/>
        <w:rPr>
          <w:sz w:val="20"/>
          <w:szCs w:val="20"/>
          <w:color w:val="auto"/>
        </w:rPr>
      </w:pPr>
    </w:p>
    <w:p>
      <w:pPr>
        <w:ind w:left="1760" w:hanging="1051"/>
        <w:spacing w:after="0"/>
        <w:tabs>
          <w:tab w:leader="none" w:pos="1760" w:val="left"/>
        </w:tabs>
        <w:numPr>
          <w:ilvl w:val="0"/>
          <w:numId w:val="4"/>
        </w:numPr>
        <w:rPr>
          <w:rFonts w:ascii="Arial" w:cs="Arial" w:eastAsia="Arial" w:hAnsi="Arial"/>
          <w:sz w:val="14"/>
          <w:szCs w:val="14"/>
          <w:color w:val="auto"/>
        </w:rPr>
      </w:pPr>
      <w:r>
        <w:rPr>
          <w:rFonts w:ascii="Arial" w:cs="Arial" w:eastAsia="Arial" w:hAnsi="Arial"/>
          <w:sz w:val="14"/>
          <w:szCs w:val="14"/>
          <w:color w:val="auto"/>
        </w:rPr>
        <w:t>(936)</w:t>
      </w:r>
    </w:p>
    <w:p>
      <w:pPr>
        <w:spacing w:after="0" w:line="109" w:lineRule="exact"/>
        <w:rPr>
          <w:rFonts w:ascii="Arial" w:cs="Arial" w:eastAsia="Arial" w:hAnsi="Arial"/>
          <w:sz w:val="14"/>
          <w:szCs w:val="14"/>
          <w:color w:val="auto"/>
        </w:rPr>
      </w:pPr>
    </w:p>
    <w:p>
      <w:pPr>
        <w:ind w:left="600"/>
        <w:spacing w:after="0"/>
        <w:rPr>
          <w:rFonts w:ascii="Arial" w:cs="Arial" w:eastAsia="Arial" w:hAnsi="Arial"/>
          <w:sz w:val="14"/>
          <w:szCs w:val="14"/>
          <w:color w:val="auto"/>
        </w:rPr>
      </w:pPr>
      <w:r>
        <w:rPr>
          <w:rFonts w:ascii="Arial" w:cs="Arial" w:eastAsia="Arial" w:hAnsi="Arial"/>
          <w:sz w:val="14"/>
          <w:szCs w:val="14"/>
          <w:color w:val="auto"/>
        </w:rPr>
        <w:t>1,749</w:t>
      </w:r>
      <w:r>
        <w:rPr>
          <w:rFonts w:ascii="Arial" w:cs="Arial" w:eastAsia="Arial" w:hAnsi="Arial"/>
          <w:sz w:val="13"/>
          <w:szCs w:val="13"/>
          <w:color w:val="auto"/>
        </w:rPr>
        <w:t>9,809</w:t>
      </w:r>
    </w:p>
    <w:p>
      <w:pPr>
        <w:spacing w:after="0" w:line="109" w:lineRule="exact"/>
        <w:rPr>
          <w:sz w:val="20"/>
          <w:szCs w:val="20"/>
          <w:color w:val="auto"/>
        </w:rPr>
      </w:pPr>
    </w:p>
    <w:tbl>
      <w:tblPr>
        <w:tblLayout w:type="fixed"/>
        <w:tblInd w:w="480" w:type="dxa"/>
        <w:tblCellMar>
          <w:top w:w="0" w:type="dxa"/>
          <w:left w:w="0" w:type="dxa"/>
          <w:bottom w:w="0" w:type="dxa"/>
          <w:right w:w="0" w:type="dxa"/>
        </w:tblCellMar>
      </w:tblPr>
      <w:tr>
        <w:trPr>
          <w:trHeight w:val="182"/>
        </w:trPr>
        <w:tc>
          <w:tcPr>
            <w:tcW w:w="800" w:type="dxa"/>
            <w:vAlign w:val="bottom"/>
          </w:tcPr>
          <w:p>
            <w:pPr>
              <w:jc w:val="right"/>
              <w:ind w:right="228"/>
              <w:spacing w:after="0"/>
              <w:rPr>
                <w:sz w:val="20"/>
                <w:szCs w:val="20"/>
                <w:color w:val="auto"/>
              </w:rPr>
            </w:pPr>
            <w:r>
              <w:rPr>
                <w:rFonts w:ascii="Arial" w:cs="Arial" w:eastAsia="Arial" w:hAnsi="Arial"/>
                <w:sz w:val="14"/>
                <w:szCs w:val="14"/>
                <w:color w:val="auto"/>
                <w:w w:val="91"/>
              </w:rPr>
              <w:t>(58,562)</w:t>
            </w:r>
          </w:p>
        </w:tc>
        <w:tc>
          <w:tcPr>
            <w:tcW w:w="800" w:type="dxa"/>
            <w:vAlign w:val="bottom"/>
          </w:tcPr>
          <w:p>
            <w:pPr>
              <w:jc w:val="right"/>
              <w:spacing w:after="0"/>
              <w:rPr>
                <w:sz w:val="20"/>
                <w:szCs w:val="20"/>
                <w:color w:val="auto"/>
              </w:rPr>
            </w:pPr>
            <w:r>
              <w:rPr>
                <w:rFonts w:ascii="Arial" w:cs="Arial" w:eastAsia="Arial" w:hAnsi="Arial"/>
                <w:sz w:val="14"/>
                <w:szCs w:val="14"/>
                <w:color w:val="auto"/>
              </w:rPr>
              <w:t>(41,621)</w:t>
            </w:r>
          </w:p>
        </w:tc>
      </w:tr>
      <w:tr>
        <w:trPr>
          <w:trHeight w:val="270"/>
        </w:trPr>
        <w:tc>
          <w:tcPr>
            <w:tcW w:w="800" w:type="dxa"/>
            <w:vAlign w:val="bottom"/>
          </w:tcPr>
          <w:p>
            <w:pPr>
              <w:jc w:val="right"/>
              <w:ind w:right="288"/>
              <w:spacing w:after="0"/>
              <w:rPr>
                <w:sz w:val="20"/>
                <w:szCs w:val="20"/>
                <w:color w:val="auto"/>
              </w:rPr>
            </w:pPr>
            <w:r>
              <w:rPr>
                <w:rFonts w:ascii="Arial" w:cs="Arial" w:eastAsia="Arial" w:hAnsi="Arial"/>
                <w:sz w:val="14"/>
                <w:szCs w:val="14"/>
                <w:color w:val="auto"/>
              </w:rPr>
              <w:t>384</w:t>
            </w:r>
          </w:p>
        </w:tc>
        <w:tc>
          <w:tcPr>
            <w:tcW w:w="800" w:type="dxa"/>
            <w:vAlign w:val="bottom"/>
          </w:tcPr>
          <w:p>
            <w:pPr>
              <w:jc w:val="right"/>
              <w:spacing w:after="0"/>
              <w:rPr>
                <w:sz w:val="20"/>
                <w:szCs w:val="20"/>
                <w:color w:val="auto"/>
              </w:rPr>
            </w:pPr>
            <w:r>
              <w:rPr>
                <w:rFonts w:ascii="Arial" w:cs="Arial" w:eastAsia="Arial" w:hAnsi="Arial"/>
                <w:sz w:val="14"/>
                <w:szCs w:val="14"/>
                <w:color w:val="auto"/>
              </w:rPr>
              <w:t>(7,500)</w:t>
            </w:r>
          </w:p>
        </w:tc>
      </w:tr>
      <w:tr>
        <w:trPr>
          <w:trHeight w:val="270"/>
        </w:trPr>
        <w:tc>
          <w:tcPr>
            <w:tcW w:w="800" w:type="dxa"/>
            <w:vAlign w:val="bottom"/>
          </w:tcPr>
          <w:p>
            <w:pPr>
              <w:jc w:val="right"/>
              <w:ind w:right="228"/>
              <w:spacing w:after="0"/>
              <w:rPr>
                <w:sz w:val="20"/>
                <w:szCs w:val="20"/>
                <w:color w:val="auto"/>
              </w:rPr>
            </w:pPr>
            <w:r>
              <w:rPr>
                <w:rFonts w:ascii="Arial" w:cs="Arial" w:eastAsia="Arial" w:hAnsi="Arial"/>
                <w:sz w:val="14"/>
                <w:szCs w:val="14"/>
                <w:color w:val="auto"/>
              </w:rPr>
              <w:t>(3,598)</w:t>
            </w:r>
          </w:p>
        </w:tc>
        <w:tc>
          <w:tcPr>
            <w:tcW w:w="800" w:type="dxa"/>
            <w:vAlign w:val="bottom"/>
          </w:tcPr>
          <w:p>
            <w:pPr>
              <w:jc w:val="right"/>
              <w:spacing w:after="0"/>
              <w:rPr>
                <w:sz w:val="20"/>
                <w:szCs w:val="20"/>
                <w:color w:val="auto"/>
              </w:rPr>
            </w:pPr>
            <w:r>
              <w:rPr>
                <w:rFonts w:ascii="Arial" w:cs="Arial" w:eastAsia="Arial" w:hAnsi="Arial"/>
                <w:sz w:val="14"/>
                <w:szCs w:val="14"/>
                <w:color w:val="auto"/>
              </w:rPr>
              <w:t>(6,297)</w:t>
            </w:r>
          </w:p>
        </w:tc>
      </w:tr>
    </w:tbl>
    <w:p>
      <w:pPr>
        <w:spacing w:after="0" w:line="88" w:lineRule="exact"/>
        <w:rPr>
          <w:sz w:val="20"/>
          <w:szCs w:val="20"/>
          <w:color w:val="auto"/>
        </w:rPr>
      </w:pPr>
    </w:p>
    <w:p>
      <w:pPr>
        <w:ind w:left="1660" w:hanging="927"/>
        <w:spacing w:after="0"/>
        <w:tabs>
          <w:tab w:leader="none" w:pos="1660" w:val="left"/>
        </w:tabs>
        <w:numPr>
          <w:ilvl w:val="0"/>
          <w:numId w:val="5"/>
        </w:numPr>
        <w:rPr>
          <w:rFonts w:ascii="Arial" w:cs="Arial" w:eastAsia="Arial" w:hAnsi="Arial"/>
          <w:sz w:val="14"/>
          <w:szCs w:val="14"/>
          <w:color w:val="auto"/>
        </w:rPr>
      </w:pPr>
      <w:r>
        <w:rPr>
          <w:rFonts w:ascii="Arial" w:cs="Arial" w:eastAsia="Arial" w:hAnsi="Arial"/>
          <w:sz w:val="14"/>
          <w:szCs w:val="14"/>
          <w:color w:val="auto"/>
        </w:rPr>
        <w:t>(6,608)</w:t>
      </w:r>
    </w:p>
    <w:p>
      <w:pPr>
        <w:spacing w:after="0" w:line="109" w:lineRule="exact"/>
        <w:rPr>
          <w:rFonts w:ascii="Arial" w:cs="Arial" w:eastAsia="Arial" w:hAnsi="Arial"/>
          <w:sz w:val="14"/>
          <w:szCs w:val="14"/>
          <w:color w:val="auto"/>
        </w:rPr>
      </w:pPr>
    </w:p>
    <w:p>
      <w:pPr>
        <w:ind w:left="460"/>
        <w:spacing w:after="0"/>
        <w:rPr>
          <w:rFonts w:ascii="Arial" w:cs="Arial" w:eastAsia="Arial" w:hAnsi="Arial"/>
          <w:sz w:val="14"/>
          <w:szCs w:val="14"/>
          <w:color w:val="auto"/>
        </w:rPr>
      </w:pPr>
      <w:r>
        <w:rPr>
          <w:rFonts w:ascii="Arial" w:cs="Arial" w:eastAsia="Arial" w:hAnsi="Arial"/>
          <w:sz w:val="14"/>
          <w:szCs w:val="14"/>
          <w:color w:val="auto"/>
        </w:rPr>
        <w:t>109,372</w:t>
      </w:r>
      <w:r>
        <w:rPr>
          <w:rFonts w:ascii="Arial" w:cs="Arial" w:eastAsia="Arial" w:hAnsi="Arial"/>
          <w:sz w:val="13"/>
          <w:szCs w:val="13"/>
          <w:color w:val="auto"/>
        </w:rPr>
        <w:t>59,240</w:t>
      </w:r>
    </w:p>
    <w:p>
      <w:pPr>
        <w:spacing w:after="0" w:line="379" w:lineRule="exact"/>
        <w:rPr>
          <w:sz w:val="20"/>
          <w:szCs w:val="20"/>
          <w:color w:val="auto"/>
        </w:rPr>
      </w:pPr>
    </w:p>
    <w:p>
      <w:pPr>
        <w:jc w:val="both"/>
        <w:ind w:left="400"/>
        <w:spacing w:after="0"/>
        <w:tabs>
          <w:tab w:leader="none" w:pos="1500" w:val="left"/>
        </w:tabs>
        <w:rPr>
          <w:sz w:val="20"/>
          <w:szCs w:val="20"/>
          <w:color w:val="auto"/>
        </w:rPr>
      </w:pPr>
      <w:r>
        <w:rPr>
          <w:rFonts w:ascii="Arial" w:cs="Arial" w:eastAsia="Arial" w:hAnsi="Arial"/>
          <w:sz w:val="14"/>
          <w:szCs w:val="14"/>
          <w:color w:val="auto"/>
        </w:rPr>
        <w:t>(173,994)</w:t>
      </w:r>
      <w:r>
        <w:rPr>
          <w:sz w:val="20"/>
          <w:szCs w:val="20"/>
          <w:color w:val="auto"/>
        </w:rPr>
        <w:tab/>
      </w:r>
      <w:r>
        <w:rPr>
          <w:rFonts w:ascii="Arial" w:cs="Arial" w:eastAsia="Arial" w:hAnsi="Arial"/>
          <w:sz w:val="14"/>
          <w:szCs w:val="14"/>
          <w:color w:val="auto"/>
        </w:rPr>
        <w:t>(182,288)</w:t>
      </w:r>
    </w:p>
    <w:p>
      <w:pPr>
        <w:spacing w:after="0" w:line="109" w:lineRule="exact"/>
        <w:rPr>
          <w:sz w:val="20"/>
          <w:szCs w:val="20"/>
          <w:color w:val="auto"/>
        </w:rPr>
      </w:pPr>
    </w:p>
    <w:p>
      <w:pPr>
        <w:jc w:val="both"/>
        <w:ind w:left="480"/>
        <w:spacing w:after="0"/>
        <w:tabs>
          <w:tab w:leader="none" w:pos="1560" w:val="left"/>
        </w:tabs>
        <w:rPr>
          <w:sz w:val="20"/>
          <w:szCs w:val="20"/>
          <w:color w:val="auto"/>
        </w:rPr>
      </w:pPr>
      <w:r>
        <w:rPr>
          <w:rFonts w:ascii="Arial" w:cs="Arial" w:eastAsia="Arial" w:hAnsi="Arial"/>
          <w:sz w:val="14"/>
          <w:szCs w:val="14"/>
          <w:color w:val="auto"/>
        </w:rPr>
        <w:t>(73,439)</w:t>
      </w:r>
      <w:r>
        <w:rPr>
          <w:sz w:val="20"/>
          <w:szCs w:val="20"/>
          <w:color w:val="auto"/>
        </w:rPr>
        <w:tab/>
      </w:r>
      <w:r>
        <w:rPr>
          <w:rFonts w:ascii="Arial" w:cs="Arial" w:eastAsia="Arial" w:hAnsi="Arial"/>
          <w:sz w:val="14"/>
          <w:szCs w:val="14"/>
          <w:color w:val="auto"/>
        </w:rPr>
        <w:t>(33,340)</w:t>
      </w:r>
    </w:p>
    <w:p>
      <w:pPr>
        <w:spacing w:after="0" w:line="109" w:lineRule="exact"/>
        <w:rPr>
          <w:sz w:val="20"/>
          <w:szCs w:val="20"/>
          <w:color w:val="auto"/>
        </w:rPr>
      </w:pPr>
    </w:p>
    <w:p>
      <w:pPr>
        <w:ind w:left="1760" w:hanging="1099"/>
        <w:spacing w:after="0"/>
        <w:tabs>
          <w:tab w:leader="none" w:pos="1760" w:val="left"/>
        </w:tabs>
        <w:numPr>
          <w:ilvl w:val="0"/>
          <w:numId w:val="6"/>
        </w:numPr>
        <w:rPr>
          <w:rFonts w:ascii="Arial" w:cs="Arial" w:eastAsia="Arial" w:hAnsi="Arial"/>
          <w:sz w:val="14"/>
          <w:szCs w:val="14"/>
          <w:color w:val="auto"/>
        </w:rPr>
      </w:pPr>
      <w:r>
        <w:rPr>
          <w:rFonts w:ascii="Arial" w:cs="Arial" w:eastAsia="Arial" w:hAnsi="Arial"/>
          <w:sz w:val="14"/>
          <w:szCs w:val="14"/>
          <w:color w:val="auto"/>
        </w:rPr>
        <w:t>(807)</w:t>
      </w:r>
    </w:p>
    <w:p>
      <w:pPr>
        <w:spacing w:after="0" w:line="109" w:lineRule="exact"/>
        <w:rPr>
          <w:rFonts w:ascii="Arial" w:cs="Arial" w:eastAsia="Arial" w:hAnsi="Arial"/>
          <w:sz w:val="14"/>
          <w:szCs w:val="14"/>
          <w:color w:val="auto"/>
        </w:rPr>
      </w:pPr>
    </w:p>
    <w:p>
      <w:pPr>
        <w:ind w:left="780"/>
        <w:spacing w:after="0"/>
        <w:rPr>
          <w:rFonts w:ascii="Arial" w:cs="Arial" w:eastAsia="Arial" w:hAnsi="Arial"/>
          <w:sz w:val="14"/>
          <w:szCs w:val="14"/>
          <w:color w:val="auto"/>
        </w:rPr>
      </w:pPr>
      <w:r>
        <w:rPr>
          <w:rFonts w:ascii="Arial" w:cs="Arial" w:eastAsia="Arial" w:hAnsi="Arial"/>
          <w:sz w:val="14"/>
          <w:szCs w:val="14"/>
          <w:color w:val="auto"/>
        </w:rPr>
        <w:t>—</w:t>
      </w:r>
      <w:r>
        <w:rPr>
          <w:rFonts w:ascii="Arial" w:cs="Arial" w:eastAsia="Arial" w:hAnsi="Arial"/>
          <w:sz w:val="13"/>
          <w:szCs w:val="13"/>
          <w:color w:val="auto"/>
        </w:rPr>
        <w:t>1,555</w:t>
      </w:r>
    </w:p>
    <w:p>
      <w:pPr>
        <w:spacing w:after="0" w:line="109" w:lineRule="exact"/>
        <w:rPr>
          <w:sz w:val="20"/>
          <w:szCs w:val="20"/>
          <w:color w:val="auto"/>
        </w:rPr>
      </w:pPr>
    </w:p>
    <w:p>
      <w:pPr>
        <w:jc w:val="both"/>
        <w:ind w:left="400"/>
        <w:spacing w:after="0"/>
        <w:tabs>
          <w:tab w:leader="none" w:pos="1500" w:val="left"/>
        </w:tabs>
        <w:rPr>
          <w:sz w:val="20"/>
          <w:szCs w:val="20"/>
          <w:color w:val="auto"/>
        </w:rPr>
      </w:pPr>
      <w:r>
        <w:rPr>
          <w:rFonts w:ascii="Arial" w:cs="Arial" w:eastAsia="Arial" w:hAnsi="Arial"/>
          <w:sz w:val="14"/>
          <w:szCs w:val="14"/>
          <w:color w:val="auto"/>
        </w:rPr>
        <w:t>(248,220)</w:t>
      </w:r>
      <w:r>
        <w:rPr>
          <w:sz w:val="20"/>
          <w:szCs w:val="20"/>
          <w:color w:val="auto"/>
        </w:rPr>
        <w:tab/>
      </w:r>
      <w:r>
        <w:rPr>
          <w:rFonts w:ascii="Arial" w:cs="Arial" w:eastAsia="Arial" w:hAnsi="Arial"/>
          <w:sz w:val="14"/>
          <w:szCs w:val="14"/>
          <w:color w:val="auto"/>
        </w:rPr>
        <w:t>(214,880)</w:t>
      </w:r>
    </w:p>
    <w:p>
      <w:pPr>
        <w:spacing w:after="0" w:line="379" w:lineRule="exact"/>
        <w:rPr>
          <w:sz w:val="20"/>
          <w:szCs w:val="20"/>
          <w:color w:val="auto"/>
        </w:rPr>
      </w:pPr>
    </w:p>
    <w:tbl>
      <w:tblPr>
        <w:tblLayout w:type="fixed"/>
        <w:tblInd w:w="520" w:type="dxa"/>
        <w:tblCellMar>
          <w:top w:w="0" w:type="dxa"/>
          <w:left w:w="0" w:type="dxa"/>
          <w:bottom w:w="0" w:type="dxa"/>
          <w:right w:w="0" w:type="dxa"/>
        </w:tblCellMar>
      </w:tblPr>
      <w:tr>
        <w:trPr>
          <w:trHeight w:val="182"/>
        </w:trPr>
        <w:tc>
          <w:tcPr>
            <w:tcW w:w="720" w:type="dxa"/>
            <w:vAlign w:val="bottom"/>
          </w:tcPr>
          <w:p>
            <w:pPr>
              <w:jc w:val="right"/>
              <w:ind w:right="248"/>
              <w:spacing w:after="0"/>
              <w:rPr>
                <w:sz w:val="20"/>
                <w:szCs w:val="20"/>
                <w:color w:val="auto"/>
              </w:rPr>
            </w:pPr>
            <w:r>
              <w:rPr>
                <w:rFonts w:ascii="Arial" w:cs="Arial" w:eastAsia="Arial" w:hAnsi="Arial"/>
                <w:sz w:val="14"/>
                <w:szCs w:val="14"/>
                <w:color w:val="auto"/>
                <w:w w:val="88"/>
              </w:rPr>
              <w:t>60,000</w:t>
            </w:r>
          </w:p>
        </w:tc>
        <w:tc>
          <w:tcPr>
            <w:tcW w:w="800" w:type="dxa"/>
            <w:vAlign w:val="bottom"/>
          </w:tcPr>
          <w:p>
            <w:pPr>
              <w:jc w:val="right"/>
              <w:spacing w:after="0"/>
              <w:rPr>
                <w:sz w:val="20"/>
                <w:szCs w:val="20"/>
                <w:color w:val="auto"/>
              </w:rPr>
            </w:pPr>
            <w:r>
              <w:rPr>
                <w:rFonts w:ascii="Arial" w:cs="Arial" w:eastAsia="Arial" w:hAnsi="Arial"/>
                <w:sz w:val="14"/>
                <w:szCs w:val="14"/>
                <w:color w:val="auto"/>
              </w:rPr>
              <w:t>100,000</w:t>
            </w:r>
          </w:p>
        </w:tc>
      </w:tr>
      <w:tr>
        <w:trPr>
          <w:trHeight w:val="270"/>
        </w:trPr>
        <w:tc>
          <w:tcPr>
            <w:tcW w:w="720" w:type="dxa"/>
            <w:vAlign w:val="bottom"/>
          </w:tcPr>
          <w:p>
            <w:pPr>
              <w:jc w:val="right"/>
              <w:ind w:right="248"/>
              <w:spacing w:after="0"/>
              <w:rPr>
                <w:sz w:val="20"/>
                <w:szCs w:val="20"/>
                <w:color w:val="auto"/>
              </w:rPr>
            </w:pPr>
            <w:r>
              <w:rPr>
                <w:rFonts w:ascii="Arial" w:cs="Arial" w:eastAsia="Arial" w:hAnsi="Arial"/>
                <w:sz w:val="14"/>
                <w:szCs w:val="14"/>
                <w:color w:val="auto"/>
                <w:w w:val="88"/>
              </w:rPr>
              <w:t>19,500</w:t>
            </w: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r>
    </w:tbl>
    <w:p>
      <w:pPr>
        <w:spacing w:after="0" w:line="88" w:lineRule="exact"/>
        <w:rPr>
          <w:sz w:val="20"/>
          <w:szCs w:val="20"/>
          <w:color w:val="auto"/>
        </w:rPr>
      </w:pPr>
    </w:p>
    <w:p>
      <w:pPr>
        <w:ind w:left="1880" w:hanging="1219"/>
        <w:spacing w:after="0"/>
        <w:tabs>
          <w:tab w:leader="none" w:pos="1880" w:val="left"/>
        </w:tabs>
        <w:numPr>
          <w:ilvl w:val="0"/>
          <w:numId w:val="7"/>
        </w:numPr>
        <w:rPr>
          <w:rFonts w:ascii="Arial" w:cs="Arial" w:eastAsia="Arial" w:hAnsi="Arial"/>
          <w:sz w:val="14"/>
          <w:szCs w:val="14"/>
          <w:color w:val="auto"/>
        </w:rPr>
      </w:pPr>
      <w:r>
        <w:rPr>
          <w:rFonts w:ascii="Arial" w:cs="Arial" w:eastAsia="Arial" w:hAnsi="Arial"/>
          <w:sz w:val="14"/>
          <w:szCs w:val="14"/>
          <w:color w:val="auto"/>
        </w:rPr>
        <w:t>—</w:t>
      </w:r>
    </w:p>
    <w:p>
      <w:pPr>
        <w:spacing w:after="0" w:line="109" w:lineRule="exact"/>
        <w:rPr>
          <w:rFonts w:ascii="Arial" w:cs="Arial" w:eastAsia="Arial" w:hAnsi="Arial"/>
          <w:sz w:val="14"/>
          <w:szCs w:val="14"/>
          <w:color w:val="auto"/>
        </w:rPr>
      </w:pPr>
    </w:p>
    <w:p>
      <w:pPr>
        <w:ind w:left="780"/>
        <w:spacing w:after="0"/>
        <w:rPr>
          <w:rFonts w:ascii="Arial" w:cs="Arial" w:eastAsia="Arial" w:hAnsi="Arial"/>
          <w:sz w:val="14"/>
          <w:szCs w:val="14"/>
          <w:color w:val="auto"/>
        </w:rPr>
      </w:pPr>
      <w:r>
        <w:rPr>
          <w:rFonts w:ascii="Arial" w:cs="Arial" w:eastAsia="Arial" w:hAnsi="Arial"/>
          <w:sz w:val="14"/>
          <w:szCs w:val="14"/>
          <w:color w:val="auto"/>
        </w:rPr>
        <w:t>45</w:t>
      </w:r>
      <w:r>
        <w:rPr>
          <w:rFonts w:ascii="Arial" w:cs="Arial" w:eastAsia="Arial" w:hAnsi="Arial"/>
          <w:sz w:val="13"/>
          <w:szCs w:val="13"/>
          <w:color w:val="auto"/>
        </w:rPr>
        <w:t>3,150</w:t>
      </w:r>
    </w:p>
    <w:p>
      <w:pPr>
        <w:spacing w:after="0" w:line="109" w:lineRule="exact"/>
        <w:rPr>
          <w:sz w:val="20"/>
          <w:szCs w:val="20"/>
          <w:color w:val="auto"/>
        </w:rPr>
      </w:pPr>
    </w:p>
    <w:p>
      <w:pPr>
        <w:ind w:left="520"/>
        <w:spacing w:after="0"/>
        <w:tabs>
          <w:tab w:leader="none" w:pos="1620" w:val="left"/>
        </w:tabs>
        <w:rPr>
          <w:sz w:val="20"/>
          <w:szCs w:val="20"/>
          <w:color w:val="auto"/>
        </w:rPr>
      </w:pPr>
      <w:r>
        <w:rPr>
          <w:rFonts w:ascii="Arial" w:cs="Arial" w:eastAsia="Arial" w:hAnsi="Arial"/>
          <w:sz w:val="14"/>
          <w:szCs w:val="14"/>
          <w:color w:val="auto"/>
        </w:rPr>
        <w:t>14,700</w:t>
      </w:r>
      <w:r>
        <w:rPr>
          <w:sz w:val="20"/>
          <w:szCs w:val="20"/>
          <w:color w:val="auto"/>
        </w:rPr>
        <w:tab/>
      </w:r>
      <w:r>
        <w:rPr>
          <w:rFonts w:ascii="Arial" w:cs="Arial" w:eastAsia="Arial" w:hAnsi="Arial"/>
          <w:sz w:val="14"/>
          <w:szCs w:val="14"/>
          <w:color w:val="auto"/>
        </w:rPr>
        <w:t>14,700</w:t>
      </w:r>
    </w:p>
    <w:p>
      <w:pPr>
        <w:spacing w:after="0" w:line="109" w:lineRule="exact"/>
        <w:rPr>
          <w:sz w:val="20"/>
          <w:szCs w:val="20"/>
          <w:color w:val="auto"/>
        </w:rPr>
      </w:pPr>
    </w:p>
    <w:p>
      <w:pPr>
        <w:ind w:left="520"/>
        <w:spacing w:after="0"/>
        <w:tabs>
          <w:tab w:leader="none" w:pos="1620" w:val="left"/>
        </w:tabs>
        <w:rPr>
          <w:sz w:val="20"/>
          <w:szCs w:val="20"/>
          <w:color w:val="auto"/>
        </w:rPr>
      </w:pPr>
      <w:r>
        <w:rPr>
          <w:rFonts w:ascii="Arial" w:cs="Arial" w:eastAsia="Arial" w:hAnsi="Arial"/>
          <w:sz w:val="14"/>
          <w:szCs w:val="14"/>
          <w:color w:val="auto"/>
        </w:rPr>
        <w:t>50,000</w:t>
      </w:r>
      <w:r>
        <w:rPr>
          <w:sz w:val="20"/>
          <w:szCs w:val="20"/>
          <w:color w:val="auto"/>
        </w:rPr>
        <w:tab/>
      </w:r>
      <w:r>
        <w:rPr>
          <w:rFonts w:ascii="Arial" w:cs="Arial" w:eastAsia="Arial" w:hAnsi="Arial"/>
          <w:sz w:val="14"/>
          <w:szCs w:val="14"/>
          <w:color w:val="auto"/>
        </w:rPr>
        <w:t>12,330</w:t>
      </w:r>
    </w:p>
    <w:p>
      <w:pPr>
        <w:spacing w:after="0" w:line="109" w:lineRule="exact"/>
        <w:rPr>
          <w:sz w:val="20"/>
          <w:szCs w:val="20"/>
          <w:color w:val="auto"/>
        </w:rPr>
      </w:pPr>
    </w:p>
    <w:p>
      <w:pPr>
        <w:jc w:val="both"/>
        <w:ind w:left="480"/>
        <w:spacing w:after="0"/>
        <w:tabs>
          <w:tab w:leader="none" w:pos="1640" w:val="left"/>
        </w:tabs>
        <w:rPr>
          <w:sz w:val="20"/>
          <w:szCs w:val="20"/>
          <w:color w:val="auto"/>
        </w:rPr>
      </w:pPr>
      <w:r>
        <w:rPr>
          <w:rFonts w:ascii="Arial" w:cs="Arial" w:eastAsia="Arial" w:hAnsi="Arial"/>
          <w:sz w:val="14"/>
          <w:szCs w:val="14"/>
          <w:color w:val="auto"/>
        </w:rPr>
        <w:t>(11,515)</w:t>
      </w:r>
      <w:r>
        <w:rPr>
          <w:sz w:val="20"/>
          <w:szCs w:val="20"/>
          <w:color w:val="auto"/>
        </w:rPr>
        <w:tab/>
      </w:r>
      <w:r>
        <w:rPr>
          <w:rFonts w:ascii="Arial" w:cs="Arial" w:eastAsia="Arial" w:hAnsi="Arial"/>
          <w:sz w:val="14"/>
          <w:szCs w:val="14"/>
          <w:color w:val="auto"/>
        </w:rPr>
        <w:t>(8,330)</w:t>
      </w:r>
    </w:p>
    <w:p>
      <w:pPr>
        <w:spacing w:after="0" w:line="109" w:lineRule="exact"/>
        <w:rPr>
          <w:sz w:val="20"/>
          <w:szCs w:val="20"/>
          <w:color w:val="auto"/>
        </w:rPr>
      </w:pPr>
    </w:p>
    <w:p>
      <w:pPr>
        <w:jc w:val="both"/>
        <w:ind w:left="560"/>
        <w:spacing w:after="0"/>
        <w:tabs>
          <w:tab w:leader="none" w:pos="1640" w:val="left"/>
        </w:tabs>
        <w:rPr>
          <w:sz w:val="20"/>
          <w:szCs w:val="20"/>
          <w:color w:val="auto"/>
        </w:rPr>
      </w:pPr>
      <w:r>
        <w:rPr>
          <w:rFonts w:ascii="Arial" w:cs="Arial" w:eastAsia="Arial" w:hAnsi="Arial"/>
          <w:sz w:val="14"/>
          <w:szCs w:val="14"/>
          <w:color w:val="auto"/>
        </w:rPr>
        <w:t>(1,336)</w:t>
      </w:r>
      <w:r>
        <w:rPr>
          <w:sz w:val="20"/>
          <w:szCs w:val="20"/>
          <w:color w:val="auto"/>
        </w:rPr>
        <w:tab/>
      </w:r>
      <w:r>
        <w:rPr>
          <w:rFonts w:ascii="Arial" w:cs="Arial" w:eastAsia="Arial" w:hAnsi="Arial"/>
          <w:sz w:val="14"/>
          <w:szCs w:val="14"/>
          <w:color w:val="auto"/>
        </w:rPr>
        <w:t>(3,208)</w:t>
      </w:r>
    </w:p>
    <w:p>
      <w:pPr>
        <w:spacing w:after="0" w:line="109" w:lineRule="exact"/>
        <w:rPr>
          <w:sz w:val="20"/>
          <w:szCs w:val="20"/>
          <w:color w:val="auto"/>
        </w:rPr>
      </w:pPr>
    </w:p>
    <w:p>
      <w:pPr>
        <w:ind w:left="1760" w:hanging="1099"/>
        <w:spacing w:after="0"/>
        <w:tabs>
          <w:tab w:leader="none" w:pos="1760" w:val="left"/>
        </w:tabs>
        <w:numPr>
          <w:ilvl w:val="0"/>
          <w:numId w:val="8"/>
        </w:numPr>
        <w:rPr>
          <w:rFonts w:ascii="Arial" w:cs="Arial" w:eastAsia="Arial" w:hAnsi="Arial"/>
          <w:sz w:val="14"/>
          <w:szCs w:val="14"/>
          <w:color w:val="auto"/>
        </w:rPr>
      </w:pPr>
      <w:r>
        <w:rPr>
          <w:rFonts w:ascii="Arial" w:cs="Arial" w:eastAsia="Arial" w:hAnsi="Arial"/>
          <w:sz w:val="14"/>
          <w:szCs w:val="14"/>
          <w:color w:val="auto"/>
        </w:rPr>
        <w:t>(274)</w:t>
      </w:r>
    </w:p>
    <w:p>
      <w:pPr>
        <w:spacing w:after="0" w:line="109" w:lineRule="exact"/>
        <w:rPr>
          <w:rFonts w:ascii="Arial" w:cs="Arial" w:eastAsia="Arial" w:hAnsi="Arial"/>
          <w:sz w:val="14"/>
          <w:szCs w:val="14"/>
          <w:color w:val="auto"/>
        </w:rPr>
      </w:pPr>
    </w:p>
    <w:p>
      <w:pPr>
        <w:ind w:left="460"/>
        <w:spacing w:after="0"/>
        <w:rPr>
          <w:rFonts w:ascii="Arial" w:cs="Arial" w:eastAsia="Arial" w:hAnsi="Arial"/>
          <w:sz w:val="14"/>
          <w:szCs w:val="14"/>
          <w:color w:val="auto"/>
        </w:rPr>
      </w:pPr>
      <w:r>
        <w:rPr>
          <w:rFonts w:ascii="Arial" w:cs="Arial" w:eastAsia="Arial" w:hAnsi="Arial"/>
          <w:sz w:val="14"/>
          <w:szCs w:val="14"/>
          <w:color w:val="auto"/>
        </w:rPr>
        <w:t>130,515</w:t>
      </w:r>
      <w:r>
        <w:rPr>
          <w:rFonts w:ascii="Arial" w:cs="Arial" w:eastAsia="Arial" w:hAnsi="Arial"/>
          <w:sz w:val="13"/>
          <w:szCs w:val="13"/>
          <w:color w:val="auto"/>
        </w:rPr>
        <w:t>118,368</w:t>
      </w:r>
    </w:p>
    <w:p>
      <w:pPr>
        <w:spacing w:after="0" w:line="109" w:lineRule="exact"/>
        <w:rPr>
          <w:rFonts w:ascii="Arial" w:cs="Arial" w:eastAsia="Arial" w:hAnsi="Arial"/>
          <w:sz w:val="14"/>
          <w:szCs w:val="14"/>
          <w:color w:val="auto"/>
        </w:rPr>
      </w:pPr>
    </w:p>
    <w:p>
      <w:pPr>
        <w:ind w:left="560"/>
        <w:spacing w:after="0"/>
        <w:rPr>
          <w:rFonts w:ascii="Arial" w:cs="Arial" w:eastAsia="Arial" w:hAnsi="Arial"/>
          <w:sz w:val="14"/>
          <w:szCs w:val="14"/>
          <w:color w:val="auto"/>
        </w:rPr>
      </w:pPr>
      <w:r>
        <w:rPr>
          <w:rFonts w:ascii="Arial" w:cs="Arial" w:eastAsia="Arial" w:hAnsi="Arial"/>
          <w:sz w:val="14"/>
          <w:szCs w:val="14"/>
          <w:color w:val="auto"/>
        </w:rPr>
        <w:t>(8,333)</w:t>
      </w:r>
      <w:r>
        <w:rPr>
          <w:rFonts w:ascii="Arial" w:cs="Arial" w:eastAsia="Arial" w:hAnsi="Arial"/>
          <w:sz w:val="13"/>
          <w:szCs w:val="13"/>
          <w:color w:val="auto"/>
        </w:rPr>
        <w:t>(37,272)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-321310</wp:posOffset>
            </wp:positionV>
            <wp:extent cx="135445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354455" cy="8890"/>
                    </a:xfrm>
                    <a:prstGeom prst="rect">
                      <a:avLst/>
                    </a:prstGeom>
                    <a:noFill/>
                  </pic:spPr>
                </pic:pic>
              </a:graphicData>
            </a:graphic>
          </wp:anchor>
        </w:drawing>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3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65,128</w:t>
            </w: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83,984</w:t>
            </w:r>
          </w:p>
        </w:tc>
      </w:tr>
      <w:tr>
        <w:trPr>
          <w:trHeight w:val="236"/>
        </w:trPr>
        <w:tc>
          <w:tcPr>
            <w:tcW w:w="3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56,795</w:t>
            </w:r>
          </w:p>
        </w:tc>
        <w:tc>
          <w:tcPr>
            <w:tcW w:w="100" w:type="dxa"/>
            <w:vAlign w:val="bottom"/>
          </w:tcPr>
          <w:p>
            <w:pPr>
              <w:spacing w:after="0"/>
              <w:rPr>
                <w:sz w:val="20"/>
                <w:szCs w:val="20"/>
                <w:color w:val="auto"/>
              </w:rPr>
            </w:pPr>
          </w:p>
        </w:tc>
        <w:tc>
          <w:tcPr>
            <w:tcW w:w="3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46,712</w:t>
            </w:r>
          </w:p>
        </w:tc>
      </w:tr>
      <w:tr>
        <w:trPr>
          <w:trHeight w:val="20"/>
        </w:trPr>
        <w:tc>
          <w:tcPr>
            <w:tcW w:w="3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170" w:lineRule="exact"/>
        <w:rPr>
          <w:sz w:val="20"/>
          <w:szCs w:val="20"/>
          <w:color w:val="auto"/>
        </w:rPr>
      </w:pPr>
    </w:p>
    <w:p>
      <w:pPr>
        <w:sectPr>
          <w:pgSz w:w="11900" w:h="16838" w:orient="portrait"/>
          <w:cols w:equalWidth="0" w:num="2">
            <w:col w:w="8380" w:space="720"/>
            <w:col w:w="2140"/>
          </w:cols>
          <w:pgMar w:left="320" w:top="125" w:right="339" w:bottom="1440" w:gutter="0" w:footer="0" w:header="0"/>
          <w:type w:val="continuous"/>
        </w:sectPr>
      </w:pPr>
    </w:p>
    <w:p>
      <w:pPr>
        <w:ind w:left="40"/>
        <w:spacing w:after="0"/>
        <w:rPr>
          <w:sz w:val="20"/>
          <w:szCs w:val="20"/>
          <w:color w:val="auto"/>
        </w:rPr>
      </w:pPr>
      <w:r>
        <w:rPr>
          <w:rFonts w:ascii="Arial" w:cs="Arial" w:eastAsia="Arial" w:hAnsi="Arial"/>
          <w:sz w:val="14"/>
          <w:szCs w:val="14"/>
          <w:color w:val="auto"/>
        </w:rPr>
        <w:t>Supplemental disclosures of cash flow information (Note 10)</w:t>
      </w: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accompanying notes are an integral part of these financial statements.</w:t>
      </w:r>
    </w:p>
    <w:p>
      <w:pPr>
        <w:sectPr>
          <w:pgSz w:w="11900" w:h="16838" w:orient="portrait"/>
          <w:cols w:equalWidth="0" w:num="1">
            <w:col w:w="11240"/>
          </w:cols>
          <w:pgMar w:left="320" w:top="125" w:right="339" w:bottom="1440" w:gutter="0" w:footer="0" w:header="0"/>
          <w:type w:val="continuous"/>
        </w:sectPr>
      </w:pPr>
    </w:p>
    <w:p>
      <w:pPr>
        <w:spacing w:after="0" w:line="8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7</w:t>
      </w:r>
    </w:p>
    <w:p>
      <w:pPr>
        <w:sectPr>
          <w:pgSz w:w="11900" w:h="16838" w:orient="portrait"/>
          <w:cols w:equalWidth="0" w:num="1">
            <w:col w:w="11240"/>
          </w:cols>
          <w:pgMar w:left="320" w:top="125" w:right="339" w:bottom="1440" w:gutter="0" w:footer="0" w:header="0"/>
          <w:type w:val="continuous"/>
        </w:sectPr>
      </w:pPr>
    </w:p>
    <w:bookmarkStart w:id="8" w:name="page9"/>
    <w:bookmarkEnd w:id="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ind w:left="3820"/>
        <w:spacing w:after="0"/>
        <w:rPr>
          <w:sz w:val="20"/>
          <w:szCs w:val="20"/>
          <w:color w:val="auto"/>
        </w:rPr>
      </w:pPr>
      <w:r>
        <w:rPr>
          <w:rFonts w:ascii="Arial" w:cs="Arial" w:eastAsia="Arial" w:hAnsi="Arial"/>
          <w:sz w:val="18"/>
          <w:szCs w:val="18"/>
          <w:b w:val="1"/>
          <w:bCs w:val="1"/>
          <w:color w:val="auto"/>
        </w:rPr>
        <w:t>Matador Resources Company and Subsidiaries</w:t>
      </w:r>
    </w:p>
    <w:p>
      <w:pPr>
        <w:spacing w:after="0" w:line="72" w:lineRule="exact"/>
        <w:rPr>
          <w:sz w:val="20"/>
          <w:szCs w:val="20"/>
          <w:color w:val="auto"/>
        </w:rPr>
      </w:pPr>
    </w:p>
    <w:p>
      <w:pPr>
        <w:ind w:left="2560"/>
        <w:spacing w:after="0"/>
        <w:rPr>
          <w:sz w:val="20"/>
          <w:szCs w:val="20"/>
          <w:color w:val="auto"/>
        </w:rPr>
      </w:pPr>
      <w:r>
        <w:rPr>
          <w:rFonts w:ascii="Arial" w:cs="Arial" w:eastAsia="Arial" w:hAnsi="Arial"/>
          <w:sz w:val="18"/>
          <w:szCs w:val="18"/>
          <w:b w:val="1"/>
          <w:bCs w:val="1"/>
          <w:color w:val="auto"/>
        </w:rPr>
        <w:t>NOTES TO CONDENSED CONSOLIDATED FINANCIAL STATEMENTS —</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NATURE OF OPERATIONS</w:t>
      </w:r>
    </w:p>
    <w:p>
      <w:pPr>
        <w:spacing w:after="0" w:line="121" w:lineRule="exact"/>
        <w:rPr>
          <w:sz w:val="20"/>
          <w:szCs w:val="20"/>
          <w:color w:val="auto"/>
        </w:rPr>
      </w:pPr>
    </w:p>
    <w:p>
      <w:pPr>
        <w:ind w:right="40" w:firstLine="432"/>
        <w:spacing w:after="0" w:line="290" w:lineRule="auto"/>
        <w:rPr>
          <w:sz w:val="20"/>
          <w:szCs w:val="20"/>
          <w:color w:val="auto"/>
        </w:rPr>
      </w:pPr>
      <w:r>
        <w:rPr>
          <w:rFonts w:ascii="Arial" w:cs="Arial" w:eastAsia="Arial" w:hAnsi="Arial"/>
          <w:sz w:val="16"/>
          <w:szCs w:val="16"/>
          <w:color w:val="auto"/>
        </w:rPr>
        <w:t>Matador Resources Company, a Texas corporation (“Matador” and, collectively with its subsidiaries, the “Company”), is an independent energy company engaged in the exploration, development, production and acquisition of oil and natural gas resources in the United States, with an emphasis on oil and natural gas shale and other unconventional plays. The Company’s current operations are focused primarily on the oil and liquids-rich portion of the Wolfcamp and Bone Spring plays in the Delaware Basin in Southeast New Mexico and West Texas. The Company also operates in the Eagle Ford shale play in South Texas and the Haynesville shale and Cotton Valley plays in Northwest Louisiana. Additionally, the Company conducts midstream operations, primarily through its midstream joint ventures, San Mateo Midstream, LLC (“San Mateo I”) and San Mateo Midstream II, LLC (“San Mateo II” and, together with San Mateo I, “San Mateo”), in support of the Company’s exploration, development and production operations and provides natural gas processing, oil transportation services, oil, natural gas and salt water gathering services and salt water disposal services to third parties.</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SUMMARY OF SIGNIFICANT ACCOUNTING POLICIES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Interim Financial Statements, Basis of Presentation, Consolidation and Significant Estimates</w:t>
      </w:r>
    </w:p>
    <w:p>
      <w:pPr>
        <w:spacing w:after="0" w:line="117" w:lineRule="exact"/>
        <w:rPr>
          <w:sz w:val="20"/>
          <w:szCs w:val="20"/>
          <w:color w:val="auto"/>
        </w:rPr>
      </w:pPr>
    </w:p>
    <w:p>
      <w:pPr>
        <w:ind w:right="40" w:firstLine="432"/>
        <w:spacing w:after="0" w:line="269" w:lineRule="auto"/>
        <w:rPr>
          <w:sz w:val="20"/>
          <w:szCs w:val="20"/>
          <w:color w:val="auto"/>
        </w:rPr>
      </w:pPr>
      <w:r>
        <w:rPr>
          <w:rFonts w:ascii="Arial" w:cs="Arial" w:eastAsia="Arial" w:hAnsi="Arial"/>
          <w:sz w:val="17"/>
          <w:szCs w:val="17"/>
          <w:color w:val="auto"/>
        </w:rPr>
        <w:t xml:space="preserve">The interim unaudited condensed consolidated financial statements of the Company have been prepared in accordance with the rules and regulations of the Securities and Exchange Commission (“SEC”) but do not include all of the information and footnotes required by generally accepted accounting principles in the United States of America (“U.S. GAAP”) for complete financial statements and should be read in conjunction with the Company’s audited consolidated financial statements and notes thereto included in the Company’s Annual Report on Form 10-K for the year ended December 31, 2019 filed with the SEC on March 2, 2020 (the “Annual Report”). The Company consolidates certain subsidiaries and joint ventures that are less than wholly-owned and are not involved in oil and natural gas exploration, including San Mateo, and the net income and equity attributable to the non-controlling interest in these subsidiaries have been reported separately as required by Accounting Standards Codification (“ASC”), </w:t>
      </w:r>
      <w:r>
        <w:rPr>
          <w:rFonts w:ascii="Arial" w:cs="Arial" w:eastAsia="Arial" w:hAnsi="Arial"/>
          <w:sz w:val="17"/>
          <w:szCs w:val="17"/>
          <w:i w:val="1"/>
          <w:iCs w:val="1"/>
          <w:color w:val="auto"/>
        </w:rPr>
        <w:t>Consolidation (Topic 810)</w:t>
      </w:r>
      <w:r>
        <w:rPr>
          <w:rFonts w:ascii="Arial" w:cs="Arial" w:eastAsia="Arial" w:hAnsi="Arial"/>
          <w:sz w:val="17"/>
          <w:szCs w:val="17"/>
          <w:color w:val="auto"/>
        </w:rPr>
        <w:t>. The Company proportionately consolidates certain joint ventures that are less than wholly-owned and are involved in oil and natural gas exploration. All intercompany accounts and transactions have been eliminated in consolidation. In management’s opinion, these interim unaudited condensed consolidated financial statements include all normal, recurring adjustments that are necessary for a fair presentation of the Company’s interim unaudited condensed consolidated financial statements as of March 31, 2020. Amounts as of December 31, 2019 are derived from the Company’s audited consolidated financial statements included in the Annual Report.</w:t>
      </w:r>
    </w:p>
    <w:p>
      <w:pPr>
        <w:spacing w:after="0" w:line="71" w:lineRule="exact"/>
        <w:rPr>
          <w:sz w:val="20"/>
          <w:szCs w:val="20"/>
          <w:color w:val="auto"/>
        </w:rPr>
      </w:pPr>
    </w:p>
    <w:p>
      <w:pPr>
        <w:ind w:right="40" w:firstLine="405"/>
        <w:spacing w:after="0" w:line="290" w:lineRule="auto"/>
        <w:rPr>
          <w:sz w:val="20"/>
          <w:szCs w:val="20"/>
          <w:color w:val="auto"/>
        </w:rPr>
      </w:pPr>
      <w:r>
        <w:rPr>
          <w:rFonts w:ascii="Arial" w:cs="Arial" w:eastAsia="Arial" w:hAnsi="Arial"/>
          <w:sz w:val="16"/>
          <w:szCs w:val="16"/>
          <w:color w:val="auto"/>
        </w:rPr>
        <w:t>The preparation of financial statements in conformity with U.S. GAAP requires management to make estimates and assumptions that affect the amounts reported in the financial statements and accompanying notes. These estimates and assumptions may also affect disclosure of contingent assets and liabilities at the date of the financial statements and the reported amounts of revenues and expenses during the reporting period. The Company’s interim unaudited condensed consolidated financial statements are based on a number of significant estimates, including oil and natural gas revenues, accrued assets and liabilities, stock-based compensation, valuation of derivative instruments, deferred tax assets and liabilities and oil and natural gas reserves. The estimates of oil and natural gas reserves quantities and future net cash flows are the basis for the calculations of depletion and impairment of oil and natural gas properties, as well as estimates of asset retirement obligations and certain tax accruals. While the Company believes its estimates are reasonable, changes in facts and assumptions or the discovery of new information may result in revised estimates. Actual results could differ from these estimates.</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Revenues</w:t>
      </w:r>
    </w:p>
    <w:p>
      <w:pPr>
        <w:spacing w:after="0" w:line="117" w:lineRule="exact"/>
        <w:rPr>
          <w:sz w:val="20"/>
          <w:szCs w:val="20"/>
          <w:color w:val="auto"/>
        </w:rPr>
      </w:pPr>
    </w:p>
    <w:p>
      <w:pPr>
        <w:ind w:right="380" w:firstLine="405"/>
        <w:spacing w:after="0" w:line="277" w:lineRule="auto"/>
        <w:rPr>
          <w:sz w:val="20"/>
          <w:szCs w:val="20"/>
          <w:color w:val="auto"/>
        </w:rPr>
      </w:pPr>
      <w:r>
        <w:rPr>
          <w:rFonts w:ascii="Arial" w:cs="Arial" w:eastAsia="Arial" w:hAnsi="Arial"/>
          <w:sz w:val="18"/>
          <w:szCs w:val="18"/>
          <w:color w:val="auto"/>
        </w:rPr>
        <w:t>The following table summarizes the Company’s total revenues and revenues from contracts with customers on a disaggregated basis for the three months ended March 31, 2020 and 2019 (in thousands).</w:t>
      </w:r>
    </w:p>
    <w:p>
      <w:pPr>
        <w:spacing w:after="0" w:line="220" w:lineRule="exact"/>
        <w:rPr>
          <w:sz w:val="20"/>
          <w:szCs w:val="20"/>
          <w:color w:val="auto"/>
        </w:rPr>
      </w:pPr>
    </w:p>
    <w:p>
      <w:pPr>
        <w:ind w:left="8900"/>
        <w:spacing w:after="0"/>
        <w:rPr>
          <w:sz w:val="20"/>
          <w:szCs w:val="20"/>
          <w:color w:val="auto"/>
        </w:rPr>
      </w:pPr>
      <w:r>
        <w:rPr>
          <w:rFonts w:ascii="Arial" w:cs="Arial" w:eastAsia="Arial" w:hAnsi="Arial"/>
          <w:sz w:val="18"/>
          <w:szCs w:val="18"/>
          <w:b w:val="1"/>
          <w:bCs w:val="1"/>
          <w:color w:val="auto"/>
        </w:rPr>
        <w:t>Three Months Ended</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4280" w:type="dxa"/>
            <w:vAlign w:val="bottom"/>
          </w:tcPr>
          <w:p>
            <w:pPr>
              <w:spacing w:after="0"/>
              <w:rPr>
                <w:sz w:val="20"/>
                <w:szCs w:val="20"/>
                <w:color w:val="auto"/>
              </w:rPr>
            </w:pPr>
          </w:p>
        </w:tc>
        <w:tc>
          <w:tcPr>
            <w:tcW w:w="394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March 31,</w:t>
            </w:r>
          </w:p>
        </w:tc>
        <w:tc>
          <w:tcPr>
            <w:tcW w:w="10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4280" w:type="dxa"/>
            <w:vAlign w:val="bottom"/>
          </w:tcPr>
          <w:p>
            <w:pPr>
              <w:spacing w:after="0"/>
              <w:rPr>
                <w:sz w:val="20"/>
                <w:szCs w:val="20"/>
                <w:color w:val="auto"/>
              </w:rPr>
            </w:pPr>
          </w:p>
        </w:tc>
        <w:tc>
          <w:tcPr>
            <w:tcW w:w="39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0" w:type="dxa"/>
            <w:vAlign w:val="bottom"/>
          </w:tcPr>
          <w:p>
            <w:pPr>
              <w:jc w:val="right"/>
              <w:ind w:right="450"/>
              <w:spacing w:after="0"/>
              <w:rPr>
                <w:sz w:val="20"/>
                <w:szCs w:val="20"/>
                <w:color w:val="auto"/>
              </w:rPr>
            </w:pPr>
            <w:r>
              <w:rPr>
                <w:rFonts w:ascii="Arial" w:cs="Arial" w:eastAsia="Arial" w:hAnsi="Arial"/>
                <w:sz w:val="18"/>
                <w:szCs w:val="18"/>
                <w:b w:val="1"/>
                <w:bCs w:val="1"/>
                <w:color w:val="auto"/>
              </w:rPr>
              <w:t>2019</w:t>
            </w:r>
          </w:p>
        </w:tc>
        <w:tc>
          <w:tcPr>
            <w:tcW w:w="0" w:type="dxa"/>
            <w:vAlign w:val="bottom"/>
          </w:tcPr>
          <w:p>
            <w:pPr>
              <w:spacing w:after="0"/>
              <w:rPr>
                <w:sz w:val="1"/>
                <w:szCs w:val="1"/>
                <w:color w:val="auto"/>
              </w:rPr>
            </w:pPr>
          </w:p>
        </w:tc>
      </w:tr>
      <w:tr>
        <w:trPr>
          <w:trHeight w:val="27"/>
        </w:trPr>
        <w:tc>
          <w:tcPr>
            <w:tcW w:w="4280" w:type="dxa"/>
            <w:vAlign w:val="bottom"/>
            <w:tcBorders>
              <w:bottom w:val="single" w:sz="8" w:color="CCEEFF"/>
            </w:tcBorders>
          </w:tcPr>
          <w:p>
            <w:pPr>
              <w:spacing w:after="0"/>
              <w:rPr>
                <w:sz w:val="2"/>
                <w:szCs w:val="2"/>
                <w:color w:val="auto"/>
              </w:rPr>
            </w:pPr>
          </w:p>
        </w:tc>
        <w:tc>
          <w:tcPr>
            <w:tcW w:w="39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4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 from contracts with customers</w:t>
            </w:r>
          </w:p>
        </w:tc>
        <w:tc>
          <w:tcPr>
            <w:tcW w:w="4260" w:type="dxa"/>
            <w:vAlign w:val="bottom"/>
            <w:tcBorders>
              <w:bottom w:val="single" w:sz="8" w:color="CCEEFF"/>
            </w:tcBorders>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224,288</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216,338</w:t>
            </w:r>
          </w:p>
        </w:tc>
        <w:tc>
          <w:tcPr>
            <w:tcW w:w="0" w:type="dxa"/>
            <w:vAlign w:val="bottom"/>
          </w:tcPr>
          <w:p>
            <w:pPr>
              <w:spacing w:after="0"/>
              <w:rPr>
                <w:sz w:val="1"/>
                <w:szCs w:val="1"/>
                <w:color w:val="auto"/>
              </w:rPr>
            </w:pPr>
          </w:p>
        </w:tc>
      </w:tr>
      <w:tr>
        <w:trPr>
          <w:trHeight w:val="243"/>
        </w:trPr>
        <w:tc>
          <w:tcPr>
            <w:tcW w:w="4280" w:type="dxa"/>
            <w:vAlign w:val="bottom"/>
          </w:tcPr>
          <w:p>
            <w:pPr>
              <w:ind w:left="40"/>
              <w:spacing w:after="0"/>
              <w:rPr>
                <w:sz w:val="20"/>
                <w:szCs w:val="20"/>
                <w:color w:val="auto"/>
              </w:rPr>
            </w:pPr>
            <w:r>
              <w:rPr>
                <w:rFonts w:ascii="Arial" w:cs="Arial" w:eastAsia="Arial" w:hAnsi="Arial"/>
                <w:sz w:val="18"/>
                <w:szCs w:val="18"/>
                <w:color w:val="auto"/>
              </w:rPr>
              <w:t>Realized gain on derivatives</w:t>
            </w:r>
          </w:p>
        </w:tc>
        <w:tc>
          <w:tcPr>
            <w:tcW w:w="39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10,867</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3,270</w:t>
            </w:r>
          </w:p>
        </w:tc>
        <w:tc>
          <w:tcPr>
            <w:tcW w:w="0" w:type="dxa"/>
            <w:vAlign w:val="bottom"/>
          </w:tcPr>
          <w:p>
            <w:pPr>
              <w:spacing w:after="0"/>
              <w:rPr>
                <w:sz w:val="1"/>
                <w:szCs w:val="1"/>
                <w:color w:val="auto"/>
              </w:rPr>
            </w:pPr>
          </w:p>
        </w:tc>
      </w:tr>
      <w:tr>
        <w:trPr>
          <w:trHeight w:val="27"/>
        </w:trPr>
        <w:tc>
          <w:tcPr>
            <w:tcW w:w="4280" w:type="dxa"/>
            <w:vAlign w:val="bottom"/>
          </w:tcPr>
          <w:p>
            <w:pPr>
              <w:spacing w:after="0"/>
              <w:rPr>
                <w:sz w:val="2"/>
                <w:szCs w:val="2"/>
                <w:color w:val="auto"/>
              </w:rPr>
            </w:pPr>
          </w:p>
        </w:tc>
        <w:tc>
          <w:tcPr>
            <w:tcW w:w="39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Unrealized gain (loss) on derivatives</w:t>
            </w:r>
          </w:p>
        </w:tc>
        <w:tc>
          <w:tcPr>
            <w:tcW w:w="394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136,430</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(45,719)</w:t>
            </w:r>
          </w:p>
        </w:tc>
        <w:tc>
          <w:tcPr>
            <w:tcW w:w="0" w:type="dxa"/>
            <w:vAlign w:val="bottom"/>
          </w:tcPr>
          <w:p>
            <w:pPr>
              <w:spacing w:after="0"/>
              <w:rPr>
                <w:sz w:val="1"/>
                <w:szCs w:val="1"/>
                <w:color w:val="auto"/>
              </w:rPr>
            </w:pPr>
          </w:p>
        </w:tc>
      </w:tr>
      <w:tr>
        <w:trPr>
          <w:trHeight w:val="257"/>
        </w:trPr>
        <w:tc>
          <w:tcPr>
            <w:tcW w:w="4280" w:type="dxa"/>
            <w:vAlign w:val="bottom"/>
          </w:tcPr>
          <w:p>
            <w:pPr>
              <w:ind w:left="600"/>
              <w:spacing w:after="0"/>
              <w:rPr>
                <w:sz w:val="20"/>
                <w:szCs w:val="20"/>
                <w:color w:val="auto"/>
              </w:rPr>
            </w:pPr>
            <w:r>
              <w:rPr>
                <w:rFonts w:ascii="Arial" w:cs="Arial" w:eastAsia="Arial" w:hAnsi="Arial"/>
                <w:sz w:val="18"/>
                <w:szCs w:val="18"/>
                <w:color w:val="auto"/>
              </w:rPr>
              <w:t>Total revenues</w:t>
            </w:r>
          </w:p>
        </w:tc>
        <w:tc>
          <w:tcPr>
            <w:tcW w:w="394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371,585</w:t>
            </w:r>
          </w:p>
        </w:tc>
        <w:tc>
          <w:tcPr>
            <w:tcW w:w="100" w:type="dxa"/>
            <w:vAlign w:val="bottom"/>
          </w:tcPr>
          <w:p>
            <w:pPr>
              <w:spacing w:after="0"/>
              <w:rPr>
                <w:sz w:val="22"/>
                <w:szCs w:val="22"/>
                <w:color w:val="auto"/>
              </w:rPr>
            </w:pPr>
          </w:p>
        </w:tc>
        <w:tc>
          <w:tcPr>
            <w:tcW w:w="46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173,889</w:t>
            </w:r>
          </w:p>
        </w:tc>
        <w:tc>
          <w:tcPr>
            <w:tcW w:w="0" w:type="dxa"/>
            <w:vAlign w:val="bottom"/>
          </w:tcPr>
          <w:p>
            <w:pPr>
              <w:spacing w:after="0"/>
              <w:rPr>
                <w:sz w:val="1"/>
                <w:szCs w:val="1"/>
                <w:color w:val="auto"/>
              </w:rPr>
            </w:pPr>
          </w:p>
        </w:tc>
      </w:tr>
      <w:tr>
        <w:trPr>
          <w:trHeight w:val="20"/>
        </w:trPr>
        <w:tc>
          <w:tcPr>
            <w:tcW w:w="4280" w:type="dxa"/>
            <w:vAlign w:val="bottom"/>
          </w:tcPr>
          <w:p>
            <w:pPr>
              <w:spacing w:after="0" w:line="20" w:lineRule="exact"/>
              <w:rPr>
                <w:sz w:val="1"/>
                <w:szCs w:val="1"/>
                <w:color w:val="auto"/>
              </w:rPr>
            </w:pPr>
          </w:p>
        </w:tc>
        <w:tc>
          <w:tcPr>
            <w:tcW w:w="3940" w:type="dxa"/>
            <w:vAlign w:val="bottom"/>
            <w:vMerge w:val="restart"/>
          </w:tcPr>
          <w:p>
            <w:pPr>
              <w:jc w:val="right"/>
              <w:ind w:right="2470"/>
              <w:spacing w:after="0"/>
              <w:rPr>
                <w:sz w:val="20"/>
                <w:szCs w:val="20"/>
                <w:color w:val="auto"/>
              </w:rPr>
            </w:pPr>
            <w:r>
              <w:rPr>
                <w:rFonts w:ascii="Arial" w:cs="Arial" w:eastAsia="Arial" w:hAnsi="Arial"/>
                <w:sz w:val="18"/>
                <w:szCs w:val="18"/>
                <w:color w:val="auto"/>
              </w:rPr>
              <w:t>8</w:t>
            </w: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4280" w:type="dxa"/>
            <w:vAlign w:val="bottom"/>
          </w:tcPr>
          <w:p>
            <w:pPr>
              <w:spacing w:after="0"/>
              <w:rPr>
                <w:sz w:val="24"/>
                <w:szCs w:val="24"/>
                <w:color w:val="auto"/>
              </w:rPr>
            </w:pPr>
          </w:p>
        </w:tc>
        <w:tc>
          <w:tcPr>
            <w:tcW w:w="394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341" w:right="33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ind w:left="3820"/>
        <w:spacing w:after="0"/>
        <w:rPr>
          <w:sz w:val="20"/>
          <w:szCs w:val="20"/>
          <w:color w:val="auto"/>
        </w:rPr>
      </w:pPr>
      <w:r>
        <w:rPr>
          <w:rFonts w:ascii="Arial" w:cs="Arial" w:eastAsia="Arial" w:hAnsi="Arial"/>
          <w:sz w:val="18"/>
          <w:szCs w:val="18"/>
          <w:b w:val="1"/>
          <w:bCs w:val="1"/>
          <w:color w:val="auto"/>
        </w:rPr>
        <w:t>Matador Resources Company and Subsidiaries</w:t>
      </w:r>
    </w:p>
    <w:p>
      <w:pPr>
        <w:spacing w:after="0" w:line="72" w:lineRule="exact"/>
        <w:rPr>
          <w:sz w:val="20"/>
          <w:szCs w:val="20"/>
          <w:color w:val="auto"/>
        </w:rPr>
      </w:pPr>
    </w:p>
    <w:p>
      <w:pPr>
        <w:ind w:left="2560"/>
        <w:spacing w:after="0"/>
        <w:rPr>
          <w:sz w:val="20"/>
          <w:szCs w:val="20"/>
          <w:color w:val="auto"/>
        </w:rPr>
      </w:pPr>
      <w:r>
        <w:rPr>
          <w:rFonts w:ascii="Arial" w:cs="Arial" w:eastAsia="Arial" w:hAnsi="Arial"/>
          <w:sz w:val="18"/>
          <w:szCs w:val="18"/>
          <w:b w:val="1"/>
          <w:bCs w:val="1"/>
          <w:color w:val="auto"/>
        </w:rPr>
        <w:t>NOTES TO CONDENSED CONSOLIDATED FINANCIAL STATEMENTS —</w:t>
      </w:r>
    </w:p>
    <w:p>
      <w:pPr>
        <w:spacing w:after="0" w:line="27" w:lineRule="exact"/>
        <w:rPr>
          <w:sz w:val="20"/>
          <w:szCs w:val="20"/>
          <w:color w:val="auto"/>
        </w:rPr>
      </w:pPr>
    </w:p>
    <w:p>
      <w:pPr>
        <w:ind w:left="4400"/>
        <w:spacing w:after="0"/>
        <w:rPr>
          <w:sz w:val="20"/>
          <w:szCs w:val="20"/>
          <w:color w:val="auto"/>
        </w:rPr>
      </w:pPr>
      <w:r>
        <w:rPr>
          <w:rFonts w:ascii="Arial" w:cs="Arial" w:eastAsia="Arial" w:hAnsi="Arial"/>
          <w:sz w:val="18"/>
          <w:szCs w:val="18"/>
          <w:b w:val="1"/>
          <w:bCs w:val="1"/>
          <w:color w:val="auto"/>
        </w:rPr>
        <w:t>UNAUDITED — CONTINUED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SUMMARY OF SIGNIFICANT ACCOUNTING POLICIES — Continued</w:t>
      </w:r>
    </w:p>
    <w:p>
      <w:pPr>
        <w:spacing w:after="0" w:line="200" w:lineRule="exact"/>
        <w:rPr>
          <w:sz w:val="20"/>
          <w:szCs w:val="20"/>
          <w:color w:val="auto"/>
        </w:rPr>
      </w:pPr>
    </w:p>
    <w:p>
      <w:pPr>
        <w:spacing w:after="0" w:line="295" w:lineRule="exact"/>
        <w:rPr>
          <w:sz w:val="20"/>
          <w:szCs w:val="20"/>
          <w:color w:val="auto"/>
        </w:rPr>
      </w:pPr>
    </w:p>
    <w:p>
      <w:pPr>
        <w:ind w:left="8900"/>
        <w:spacing w:after="0"/>
        <w:rPr>
          <w:sz w:val="20"/>
          <w:szCs w:val="20"/>
          <w:color w:val="auto"/>
        </w:rPr>
      </w:pPr>
      <w:r>
        <w:rPr>
          <w:rFonts w:ascii="Arial" w:cs="Arial" w:eastAsia="Arial" w:hAnsi="Arial"/>
          <w:sz w:val="18"/>
          <w:szCs w:val="18"/>
          <w:b w:val="1"/>
          <w:bCs w:val="1"/>
          <w:color w:val="auto"/>
        </w:rPr>
        <w:t>Three Months Ended</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82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March 31,</w:t>
            </w:r>
          </w:p>
        </w:tc>
        <w:tc>
          <w:tcPr>
            <w:tcW w:w="1000" w:type="dxa"/>
            <w:vAlign w:val="bottom"/>
            <w:tcBorders>
              <w:bottom w:val="single" w:sz="8" w:color="auto"/>
            </w:tcBorders>
          </w:tcPr>
          <w:p>
            <w:pPr>
              <w:spacing w:after="0"/>
              <w:rPr>
                <w:sz w:val="20"/>
                <w:szCs w:val="20"/>
                <w:color w:val="auto"/>
              </w:rPr>
            </w:pPr>
          </w:p>
        </w:tc>
      </w:tr>
      <w:tr>
        <w:trPr>
          <w:trHeight w:val="241"/>
        </w:trPr>
        <w:tc>
          <w:tcPr>
            <w:tcW w:w="8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0" w:type="dxa"/>
            <w:vAlign w:val="bottom"/>
          </w:tcPr>
          <w:p>
            <w:pPr>
              <w:jc w:val="right"/>
              <w:ind w:right="450"/>
              <w:spacing w:after="0"/>
              <w:rPr>
                <w:sz w:val="20"/>
                <w:szCs w:val="20"/>
                <w:color w:val="auto"/>
              </w:rPr>
            </w:pPr>
            <w:r>
              <w:rPr>
                <w:rFonts w:ascii="Arial" w:cs="Arial" w:eastAsia="Arial" w:hAnsi="Arial"/>
                <w:sz w:val="18"/>
                <w:szCs w:val="18"/>
                <w:b w:val="1"/>
                <w:bCs w:val="1"/>
                <w:color w:val="auto"/>
              </w:rPr>
              <w:t>2019</w:t>
            </w:r>
          </w:p>
        </w:tc>
      </w:tr>
      <w:tr>
        <w:trPr>
          <w:trHeight w:val="27"/>
        </w:trPr>
        <w:tc>
          <w:tcPr>
            <w:tcW w:w="82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43"/>
        </w:trPr>
        <w:tc>
          <w:tcPr>
            <w:tcW w:w="8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Oil revenues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169,585</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154,204</w:t>
            </w:r>
          </w:p>
        </w:tc>
      </w:tr>
      <w:tr>
        <w:trPr>
          <w:trHeight w:val="243"/>
        </w:trPr>
        <w:tc>
          <w:tcPr>
            <w:tcW w:w="8220" w:type="dxa"/>
            <w:vAlign w:val="bottom"/>
          </w:tcPr>
          <w:p>
            <w:pPr>
              <w:ind w:left="40"/>
              <w:spacing w:after="0"/>
              <w:rPr>
                <w:sz w:val="20"/>
                <w:szCs w:val="20"/>
                <w:color w:val="auto"/>
              </w:rPr>
            </w:pPr>
            <w:r>
              <w:rPr>
                <w:rFonts w:ascii="Arial" w:cs="Arial" w:eastAsia="Arial" w:hAnsi="Arial"/>
                <w:sz w:val="18"/>
                <w:szCs w:val="18"/>
                <w:color w:val="auto"/>
              </w:rPr>
              <w:t>Natural gas revenues</w:t>
            </w:r>
          </w:p>
        </w:tc>
        <w:tc>
          <w:tcPr>
            <w:tcW w:w="32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28,329</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39,065</w:t>
            </w:r>
          </w:p>
        </w:tc>
      </w:tr>
      <w:tr>
        <w:trPr>
          <w:trHeight w:val="27"/>
        </w:trPr>
        <w:tc>
          <w:tcPr>
            <w:tcW w:w="8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Third-party midstream services revenues</w:t>
            </w: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15,830</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11,838</w:t>
            </w:r>
          </w:p>
        </w:tc>
      </w:tr>
      <w:tr>
        <w:trPr>
          <w:trHeight w:val="243"/>
        </w:trPr>
        <w:tc>
          <w:tcPr>
            <w:tcW w:w="8220" w:type="dxa"/>
            <w:vAlign w:val="bottom"/>
          </w:tcPr>
          <w:p>
            <w:pPr>
              <w:ind w:left="40"/>
              <w:spacing w:after="0"/>
              <w:rPr>
                <w:sz w:val="20"/>
                <w:szCs w:val="20"/>
                <w:color w:val="auto"/>
              </w:rPr>
            </w:pPr>
            <w:r>
              <w:rPr>
                <w:rFonts w:ascii="Arial" w:cs="Arial" w:eastAsia="Arial" w:hAnsi="Arial"/>
                <w:sz w:val="18"/>
                <w:szCs w:val="18"/>
                <w:color w:val="auto"/>
              </w:rPr>
              <w:t>Sales of purchased natural gas</w:t>
            </w:r>
          </w:p>
        </w:tc>
        <w:tc>
          <w:tcPr>
            <w:tcW w:w="32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10,544</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11,231</w:t>
            </w:r>
          </w:p>
        </w:tc>
      </w:tr>
      <w:tr>
        <w:trPr>
          <w:trHeight w:val="27"/>
        </w:trPr>
        <w:tc>
          <w:tcPr>
            <w:tcW w:w="82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57"/>
        </w:trPr>
        <w:tc>
          <w:tcPr>
            <w:tcW w:w="822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Total revenues from contracts with customers</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224,288</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216,338</w:t>
            </w:r>
          </w:p>
        </w:tc>
      </w:tr>
      <w:tr>
        <w:trPr>
          <w:trHeight w:val="20"/>
        </w:trPr>
        <w:tc>
          <w:tcPr>
            <w:tcW w:w="8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Property and Equipment</w:t>
      </w:r>
    </w:p>
    <w:p>
      <w:pPr>
        <w:spacing w:after="0" w:line="117" w:lineRule="exact"/>
        <w:rPr>
          <w:sz w:val="20"/>
          <w:szCs w:val="20"/>
          <w:color w:val="auto"/>
        </w:rPr>
      </w:pPr>
    </w:p>
    <w:p>
      <w:pPr>
        <w:ind w:right="20" w:firstLine="432"/>
        <w:spacing w:after="0" w:line="275" w:lineRule="auto"/>
        <w:rPr>
          <w:sz w:val="20"/>
          <w:szCs w:val="20"/>
          <w:color w:val="auto"/>
        </w:rPr>
      </w:pPr>
      <w:r>
        <w:rPr>
          <w:rFonts w:ascii="Arial" w:cs="Arial" w:eastAsia="Arial" w:hAnsi="Arial"/>
          <w:sz w:val="17"/>
          <w:szCs w:val="17"/>
          <w:color w:val="auto"/>
        </w:rPr>
        <w:t>The Company uses the full-cost method of accounting for its investments in oil and natural gas properties. Under this method, the Company is required to perform a ceiling test each quarter that determines a limit, or ceiling, on the capitalized costs of oil and natural gas properties based primarily on the after-tax estimated future net cash flows from oil and natural gas properties using a 10% discount rate and the arithmetic average of first-day-of-the-month oil and natural gas prices for the prior 12-month period. For the three months ended March 31, 2020 and 2019, the cost center ceiling was higher than the capitalized costs of oil and natural gas properties, and, as a result, no impairment charge was necessary.</w:t>
      </w:r>
    </w:p>
    <w:p>
      <w:pPr>
        <w:spacing w:after="0" w:line="68" w:lineRule="exact"/>
        <w:rPr>
          <w:sz w:val="20"/>
          <w:szCs w:val="20"/>
          <w:color w:val="auto"/>
        </w:rPr>
      </w:pPr>
    </w:p>
    <w:p>
      <w:pPr>
        <w:ind w:right="320" w:firstLine="432"/>
        <w:spacing w:after="0" w:line="277" w:lineRule="auto"/>
        <w:rPr>
          <w:sz w:val="20"/>
          <w:szCs w:val="20"/>
          <w:color w:val="auto"/>
        </w:rPr>
      </w:pPr>
      <w:r>
        <w:rPr>
          <w:rFonts w:ascii="Arial" w:cs="Arial" w:eastAsia="Arial" w:hAnsi="Arial"/>
          <w:sz w:val="18"/>
          <w:szCs w:val="18"/>
          <w:color w:val="auto"/>
        </w:rPr>
        <w:t>The Company capitalized approximately $8.2 million and $8.4 million of its general and administrative costs and approximately $1.4 million and $1.6 million of its interest expense for the three months ended March 31, 2020 and 2019, respectively.</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Earnings (Loss) Per Common Share</w:t>
      </w:r>
    </w:p>
    <w:p>
      <w:pPr>
        <w:spacing w:after="0" w:line="117" w:lineRule="exact"/>
        <w:rPr>
          <w:sz w:val="20"/>
          <w:szCs w:val="20"/>
          <w:color w:val="auto"/>
        </w:rPr>
      </w:pPr>
    </w:p>
    <w:p>
      <w:pPr>
        <w:ind w:right="40" w:firstLine="432"/>
        <w:spacing w:after="0" w:line="263" w:lineRule="auto"/>
        <w:rPr>
          <w:sz w:val="20"/>
          <w:szCs w:val="20"/>
          <w:color w:val="auto"/>
        </w:rPr>
      </w:pPr>
      <w:r>
        <w:rPr>
          <w:rFonts w:ascii="Arial" w:cs="Arial" w:eastAsia="Arial" w:hAnsi="Arial"/>
          <w:sz w:val="18"/>
          <w:szCs w:val="18"/>
          <w:color w:val="auto"/>
        </w:rPr>
        <w:t>The Company reports basic earnings attributable to Matador shareholders per common share, which excludes the effect of potentially dilutive securities, and diluted earnings attributable to Matador shareholders per common share, which includes the effect of all potentially dilutive securities unless their impact is anti-dilutive.</w:t>
      </w:r>
    </w:p>
    <w:p>
      <w:pPr>
        <w:spacing w:after="0" w:line="76" w:lineRule="exact"/>
        <w:rPr>
          <w:sz w:val="20"/>
          <w:szCs w:val="20"/>
          <w:color w:val="auto"/>
        </w:rPr>
      </w:pPr>
    </w:p>
    <w:p>
      <w:pPr>
        <w:ind w:right="220" w:firstLine="405"/>
        <w:spacing w:after="0" w:line="277" w:lineRule="auto"/>
        <w:rPr>
          <w:sz w:val="20"/>
          <w:szCs w:val="20"/>
          <w:color w:val="auto"/>
        </w:rPr>
      </w:pPr>
      <w:r>
        <w:rPr>
          <w:rFonts w:ascii="Arial" w:cs="Arial" w:eastAsia="Arial" w:hAnsi="Arial"/>
          <w:sz w:val="18"/>
          <w:szCs w:val="18"/>
          <w:color w:val="auto"/>
        </w:rPr>
        <w:t>The following table sets forth the computation of diluted weighted average common shares outstanding for the three months ended March 31, 2020 and 2019 (in thousands).</w:t>
      </w:r>
    </w:p>
    <w:p>
      <w:pPr>
        <w:spacing w:after="0" w:line="112" w:lineRule="exact"/>
        <w:rPr>
          <w:sz w:val="20"/>
          <w:szCs w:val="20"/>
          <w:color w:val="auto"/>
        </w:rPr>
      </w:pPr>
    </w:p>
    <w:p>
      <w:pPr>
        <w:ind w:left="9020"/>
        <w:spacing w:after="0"/>
        <w:rPr>
          <w:sz w:val="20"/>
          <w:szCs w:val="20"/>
          <w:color w:val="auto"/>
        </w:rPr>
      </w:pPr>
      <w:r>
        <w:rPr>
          <w:rFonts w:ascii="Arial" w:cs="Arial" w:eastAsia="Arial" w:hAnsi="Arial"/>
          <w:sz w:val="18"/>
          <w:szCs w:val="18"/>
          <w:b w:val="1"/>
          <w:bCs w:val="1"/>
          <w:color w:val="auto"/>
        </w:rPr>
        <w:t>Three Months Ended</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8440" w:type="dxa"/>
            <w:vAlign w:val="bottom"/>
          </w:tcPr>
          <w:p>
            <w:pPr>
              <w:spacing w:after="0"/>
              <w:rPr>
                <w:sz w:val="20"/>
                <w:szCs w:val="20"/>
                <w:color w:val="auto"/>
              </w:rPr>
            </w:pPr>
          </w:p>
        </w:tc>
        <w:tc>
          <w:tcPr>
            <w:tcW w:w="1900" w:type="dxa"/>
            <w:vAlign w:val="bottom"/>
            <w:tcBorders>
              <w:bottom w:val="single" w:sz="8" w:color="auto"/>
            </w:tcBorders>
            <w:gridSpan w:val="3"/>
          </w:tcPr>
          <w:p>
            <w:pPr>
              <w:ind w:left="1040"/>
              <w:spacing w:after="0"/>
              <w:rPr>
                <w:sz w:val="20"/>
                <w:szCs w:val="20"/>
                <w:color w:val="auto"/>
              </w:rPr>
            </w:pPr>
            <w:r>
              <w:rPr>
                <w:rFonts w:ascii="Arial" w:cs="Arial" w:eastAsia="Arial" w:hAnsi="Arial"/>
                <w:sz w:val="18"/>
                <w:szCs w:val="18"/>
                <w:b w:val="1"/>
                <w:bCs w:val="1"/>
                <w:color w:val="auto"/>
              </w:rPr>
              <w:t>March 31,</w:t>
            </w:r>
          </w:p>
        </w:tc>
        <w:tc>
          <w:tcPr>
            <w:tcW w:w="900" w:type="dxa"/>
            <w:vAlign w:val="bottom"/>
            <w:tcBorders>
              <w:bottom w:val="single" w:sz="8" w:color="auto"/>
            </w:tcBorders>
          </w:tcPr>
          <w:p>
            <w:pPr>
              <w:spacing w:after="0"/>
              <w:rPr>
                <w:sz w:val="20"/>
                <w:szCs w:val="20"/>
                <w:color w:val="auto"/>
              </w:rPr>
            </w:pPr>
          </w:p>
        </w:tc>
      </w:tr>
      <w:tr>
        <w:trPr>
          <w:trHeight w:val="241"/>
        </w:trPr>
        <w:tc>
          <w:tcPr>
            <w:tcW w:w="8440" w:type="dxa"/>
            <w:vAlign w:val="bottom"/>
          </w:tcPr>
          <w:p>
            <w:pPr>
              <w:spacing w:after="0"/>
              <w:rPr>
                <w:sz w:val="20"/>
                <w:szCs w:val="20"/>
                <w:color w:val="auto"/>
              </w:rPr>
            </w:pPr>
          </w:p>
        </w:tc>
        <w:tc>
          <w:tcPr>
            <w:tcW w:w="1360" w:type="dxa"/>
            <w:vAlign w:val="bottom"/>
          </w:tcPr>
          <w:p>
            <w:pPr>
              <w:jc w:val="right"/>
              <w:ind w:right="41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00" w:type="dxa"/>
            <w:vAlign w:val="bottom"/>
          </w:tcPr>
          <w:p>
            <w:pPr>
              <w:jc w:val="right"/>
              <w:ind w:right="390"/>
              <w:spacing w:after="0"/>
              <w:rPr>
                <w:sz w:val="20"/>
                <w:szCs w:val="20"/>
                <w:color w:val="auto"/>
              </w:rPr>
            </w:pPr>
            <w:r>
              <w:rPr>
                <w:rFonts w:ascii="Arial" w:cs="Arial" w:eastAsia="Arial" w:hAnsi="Arial"/>
                <w:sz w:val="18"/>
                <w:szCs w:val="18"/>
                <w:b w:val="1"/>
                <w:bCs w:val="1"/>
                <w:color w:val="auto"/>
                <w:w w:val="99"/>
              </w:rPr>
              <w:t>2019</w:t>
            </w:r>
          </w:p>
        </w:tc>
      </w:tr>
      <w:tr>
        <w:trPr>
          <w:trHeight w:val="27"/>
        </w:trPr>
        <w:tc>
          <w:tcPr>
            <w:tcW w:w="844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43"/>
        </w:trPr>
        <w:tc>
          <w:tcPr>
            <w:tcW w:w="8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 average common shares outstanding</w:t>
            </w: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r>
      <w:tr>
        <w:trPr>
          <w:trHeight w:val="243"/>
        </w:trPr>
        <w:tc>
          <w:tcPr>
            <w:tcW w:w="8440" w:type="dxa"/>
            <w:vAlign w:val="bottom"/>
          </w:tcPr>
          <w:p>
            <w:pPr>
              <w:ind w:left="380"/>
              <w:spacing w:after="0"/>
              <w:rPr>
                <w:sz w:val="20"/>
                <w:szCs w:val="20"/>
                <w:color w:val="auto"/>
              </w:rPr>
            </w:pPr>
            <w:r>
              <w:rPr>
                <w:rFonts w:ascii="Arial" w:cs="Arial" w:eastAsia="Arial" w:hAnsi="Arial"/>
                <w:sz w:val="18"/>
                <w:szCs w:val="18"/>
                <w:color w:val="auto"/>
              </w:rPr>
              <w:t>Basic</w:t>
            </w: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116,607</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115,315</w:t>
            </w:r>
          </w:p>
        </w:tc>
      </w:tr>
      <w:tr>
        <w:trPr>
          <w:trHeight w:val="27"/>
        </w:trPr>
        <w:tc>
          <w:tcPr>
            <w:tcW w:w="84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84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Dilutive effect of options and restricted stock units</w:t>
            </w:r>
          </w:p>
        </w:tc>
        <w:tc>
          <w:tcPr>
            <w:tcW w:w="1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77</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57"/>
        </w:trPr>
        <w:tc>
          <w:tcPr>
            <w:tcW w:w="8440" w:type="dxa"/>
            <w:vAlign w:val="bottom"/>
          </w:tcPr>
          <w:p>
            <w:pPr>
              <w:ind w:left="600"/>
              <w:spacing w:after="0"/>
              <w:rPr>
                <w:sz w:val="20"/>
                <w:szCs w:val="20"/>
                <w:color w:val="auto"/>
              </w:rPr>
            </w:pPr>
            <w:r>
              <w:rPr>
                <w:rFonts w:ascii="Arial" w:cs="Arial" w:eastAsia="Arial" w:hAnsi="Arial"/>
                <w:sz w:val="18"/>
                <w:szCs w:val="18"/>
                <w:color w:val="auto"/>
              </w:rPr>
              <w:t>Diluted weighted average common shares outstanding</w:t>
            </w:r>
          </w:p>
        </w:tc>
        <w:tc>
          <w:tcPr>
            <w:tcW w:w="13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116,684</w:t>
            </w:r>
          </w:p>
        </w:tc>
        <w:tc>
          <w:tcPr>
            <w:tcW w:w="100" w:type="dxa"/>
            <w:vAlign w:val="bottom"/>
          </w:tcPr>
          <w:p>
            <w:pPr>
              <w:spacing w:after="0"/>
              <w:rPr>
                <w:sz w:val="22"/>
                <w:szCs w:val="22"/>
                <w:color w:val="auto"/>
              </w:rPr>
            </w:pPr>
          </w:p>
        </w:tc>
        <w:tc>
          <w:tcPr>
            <w:tcW w:w="440" w:type="dxa"/>
            <w:vAlign w:val="bottom"/>
            <w:tcBorders>
              <w:top w:val="single" w:sz="8" w:color="auto"/>
              <w:bottom w:val="single" w:sz="8" w:color="auto"/>
            </w:tcBorders>
          </w:tcPr>
          <w:p>
            <w:pPr>
              <w:spacing w:after="0"/>
              <w:rPr>
                <w:sz w:val="22"/>
                <w:szCs w:val="22"/>
                <w:color w:val="auto"/>
              </w:rPr>
            </w:pPr>
          </w:p>
        </w:tc>
        <w:tc>
          <w:tcPr>
            <w:tcW w:w="9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115,315</w:t>
            </w:r>
          </w:p>
        </w:tc>
      </w:tr>
      <w:tr>
        <w:trPr>
          <w:trHeight w:val="20"/>
        </w:trPr>
        <w:tc>
          <w:tcPr>
            <w:tcW w:w="844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ind w:right="40" w:firstLine="405"/>
        <w:spacing w:after="0" w:line="255" w:lineRule="auto"/>
        <w:rPr>
          <w:sz w:val="20"/>
          <w:szCs w:val="20"/>
          <w:color w:val="auto"/>
        </w:rPr>
      </w:pPr>
      <w:r>
        <w:rPr>
          <w:rFonts w:ascii="Arial" w:cs="Arial" w:eastAsia="Arial" w:hAnsi="Arial"/>
          <w:sz w:val="18"/>
          <w:szCs w:val="18"/>
          <w:color w:val="auto"/>
        </w:rPr>
        <w:t>A total of 2.7 million options to purchase shares of Matador’s common stock were excluded from the diluted weighted average common shares outstanding for the three months ended March 31, 2020 because their effects were anti-dilutive. A total of 2.8 million options to purchase shares of Matador’s common stock and 0.4 million restricted stock units were excluded from the diluted weighted average common shares outstanding for the three months ended March 31, 2019 because their effects were anti-dilutive. Additionally, 0.8 million restricted shares, which are participating securities, were excluded from the calculations above for the three months ended March 31, 2019, as the security holders do not have the obligation to share in the losses of the Company.</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240"/>
          </w:cols>
          <w:pgMar w:left="320" w:top="125" w:right="33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ind w:left="3820"/>
        <w:spacing w:after="0"/>
        <w:rPr>
          <w:sz w:val="20"/>
          <w:szCs w:val="20"/>
          <w:color w:val="auto"/>
        </w:rPr>
      </w:pPr>
      <w:r>
        <w:rPr>
          <w:rFonts w:ascii="Arial" w:cs="Arial" w:eastAsia="Arial" w:hAnsi="Arial"/>
          <w:sz w:val="18"/>
          <w:szCs w:val="18"/>
          <w:b w:val="1"/>
          <w:bCs w:val="1"/>
          <w:color w:val="auto"/>
        </w:rPr>
        <w:t>Matador Resources Company and Subsidiaries</w:t>
      </w:r>
    </w:p>
    <w:p>
      <w:pPr>
        <w:spacing w:after="0" w:line="72" w:lineRule="exact"/>
        <w:rPr>
          <w:sz w:val="20"/>
          <w:szCs w:val="20"/>
          <w:color w:val="auto"/>
        </w:rPr>
      </w:pPr>
    </w:p>
    <w:p>
      <w:pPr>
        <w:ind w:left="2560"/>
        <w:spacing w:after="0"/>
        <w:rPr>
          <w:sz w:val="20"/>
          <w:szCs w:val="20"/>
          <w:color w:val="auto"/>
        </w:rPr>
      </w:pPr>
      <w:r>
        <w:rPr>
          <w:rFonts w:ascii="Arial" w:cs="Arial" w:eastAsia="Arial" w:hAnsi="Arial"/>
          <w:sz w:val="18"/>
          <w:szCs w:val="18"/>
          <w:b w:val="1"/>
          <w:bCs w:val="1"/>
          <w:color w:val="auto"/>
        </w:rPr>
        <w:t>NOTES TO CONDENSED CONSOLIDATED FINANCIAL STATEMENTS —</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 CONTINUED</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ASSET RETIREMENT OBLIGATIONS</w:t>
      </w:r>
    </w:p>
    <w:p>
      <w:pPr>
        <w:spacing w:after="0" w:line="121" w:lineRule="exact"/>
        <w:rPr>
          <w:sz w:val="20"/>
          <w:szCs w:val="20"/>
          <w:color w:val="auto"/>
        </w:rPr>
      </w:pPr>
    </w:p>
    <w:p>
      <w:pPr>
        <w:ind w:right="620" w:firstLine="648"/>
        <w:spacing w:after="0" w:line="277" w:lineRule="auto"/>
        <w:rPr>
          <w:sz w:val="20"/>
          <w:szCs w:val="20"/>
          <w:color w:val="auto"/>
        </w:rPr>
      </w:pPr>
      <w:r>
        <w:rPr>
          <w:rFonts w:ascii="Arial" w:cs="Arial" w:eastAsia="Arial" w:hAnsi="Arial"/>
          <w:sz w:val="18"/>
          <w:szCs w:val="18"/>
          <w:color w:val="auto"/>
        </w:rPr>
        <w:t>The following table summarizes the changes in the Company’s asset retirement obligations for the three months ended March 31, 2020 (in thousands).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10220" w:type="dxa"/>
            <w:vAlign w:val="bottom"/>
            <w:shd w:val="clear" w:color="auto" w:fill="CCEEFF"/>
          </w:tcPr>
          <w:p>
            <w:pPr>
              <w:ind w:left="40"/>
              <w:spacing w:after="0"/>
              <w:rPr>
                <w:sz w:val="20"/>
                <w:szCs w:val="20"/>
                <w:color w:val="auto"/>
              </w:rPr>
            </w:pPr>
            <w:r>
              <w:rPr>
                <w:rFonts w:ascii="Arial" w:cs="Arial" w:eastAsia="Arial" w:hAnsi="Arial"/>
                <w:sz w:val="18"/>
                <w:szCs w:val="18"/>
                <w:color w:val="auto"/>
              </w:rPr>
              <w:t>Beginning asset retirement obligations</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36,211</w:t>
            </w:r>
          </w:p>
        </w:tc>
      </w:tr>
      <w:tr>
        <w:trPr>
          <w:trHeight w:val="243"/>
        </w:trPr>
        <w:tc>
          <w:tcPr>
            <w:tcW w:w="10220" w:type="dxa"/>
            <w:vAlign w:val="bottom"/>
          </w:tcPr>
          <w:p>
            <w:pPr>
              <w:ind w:left="180"/>
              <w:spacing w:after="0"/>
              <w:rPr>
                <w:sz w:val="20"/>
                <w:szCs w:val="20"/>
                <w:color w:val="auto"/>
              </w:rPr>
            </w:pPr>
            <w:r>
              <w:rPr>
                <w:rFonts w:ascii="Arial" w:cs="Arial" w:eastAsia="Arial" w:hAnsi="Arial"/>
                <w:sz w:val="18"/>
                <w:szCs w:val="18"/>
                <w:color w:val="auto"/>
              </w:rPr>
              <w:t>Liabilities incurred during period</w:t>
            </w:r>
          </w:p>
        </w:tc>
        <w:tc>
          <w:tcPr>
            <w:tcW w:w="280" w:type="dxa"/>
            <w:vAlign w:val="bottom"/>
          </w:tcPr>
          <w:p>
            <w:pPr>
              <w:spacing w:after="0"/>
              <w:rPr>
                <w:sz w:val="21"/>
                <w:szCs w:val="21"/>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990</w:t>
            </w:r>
          </w:p>
        </w:tc>
      </w:tr>
      <w:tr>
        <w:trPr>
          <w:trHeight w:val="27"/>
        </w:trPr>
        <w:tc>
          <w:tcPr>
            <w:tcW w:w="10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50"/>
        </w:trPr>
        <w:tc>
          <w:tcPr>
            <w:tcW w:w="102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Liabilities settled during period</w:t>
            </w:r>
          </w:p>
        </w:tc>
        <w:tc>
          <w:tcPr>
            <w:tcW w:w="2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w:t>
            </w:r>
          </w:p>
        </w:tc>
      </w:tr>
      <w:tr>
        <w:trPr>
          <w:trHeight w:val="243"/>
        </w:trPr>
        <w:tc>
          <w:tcPr>
            <w:tcW w:w="10220" w:type="dxa"/>
            <w:vAlign w:val="bottom"/>
          </w:tcPr>
          <w:p>
            <w:pPr>
              <w:ind w:left="180"/>
              <w:spacing w:after="0"/>
              <w:rPr>
                <w:sz w:val="20"/>
                <w:szCs w:val="20"/>
                <w:color w:val="auto"/>
              </w:rPr>
            </w:pPr>
            <w:r>
              <w:rPr>
                <w:rFonts w:ascii="Arial" w:cs="Arial" w:eastAsia="Arial" w:hAnsi="Arial"/>
                <w:sz w:val="18"/>
                <w:szCs w:val="18"/>
                <w:color w:val="auto"/>
              </w:rPr>
              <w:t>Accretion expense</w:t>
            </w:r>
          </w:p>
        </w:tc>
        <w:tc>
          <w:tcPr>
            <w:tcW w:w="280" w:type="dxa"/>
            <w:vAlign w:val="bottom"/>
          </w:tcPr>
          <w:p>
            <w:pPr>
              <w:spacing w:after="0"/>
              <w:rPr>
                <w:sz w:val="21"/>
                <w:szCs w:val="21"/>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476</w:t>
            </w:r>
          </w:p>
        </w:tc>
      </w:tr>
      <w:tr>
        <w:trPr>
          <w:trHeight w:val="27"/>
        </w:trPr>
        <w:tc>
          <w:tcPr>
            <w:tcW w:w="102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44"/>
        </w:trPr>
        <w:tc>
          <w:tcPr>
            <w:tcW w:w="10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Ending asset retirement obligations</w:t>
            </w:r>
          </w:p>
        </w:tc>
        <w:tc>
          <w:tcPr>
            <w:tcW w:w="2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37,633</w:t>
            </w:r>
          </w:p>
        </w:tc>
      </w:tr>
      <w:tr>
        <w:trPr>
          <w:trHeight w:val="270"/>
        </w:trPr>
        <w:tc>
          <w:tcPr>
            <w:tcW w:w="10220" w:type="dxa"/>
            <w:vAlign w:val="bottom"/>
            <w:tcBorders>
              <w:bottom w:val="single" w:sz="8" w:color="CCEEFF"/>
            </w:tcBorders>
          </w:tcPr>
          <w:p>
            <w:pPr>
              <w:ind w:left="40"/>
              <w:spacing w:after="0" w:line="270" w:lineRule="exact"/>
              <w:rPr>
                <w:sz w:val="20"/>
                <w:szCs w:val="20"/>
                <w:color w:val="auto"/>
              </w:rPr>
            </w:pPr>
            <w:r>
              <w:rPr>
                <w:rFonts w:ascii="Arial" w:cs="Arial" w:eastAsia="Arial" w:hAnsi="Arial"/>
                <w:sz w:val="18"/>
                <w:szCs w:val="18"/>
                <w:color w:val="auto"/>
              </w:rPr>
              <w:t>Less: current asset retirement obligations</w:t>
            </w:r>
            <w:r>
              <w:rPr>
                <w:rFonts w:ascii="Arial" w:cs="Arial" w:eastAsia="Arial" w:hAnsi="Arial"/>
                <w:sz w:val="25"/>
                <w:szCs w:val="25"/>
                <w:color w:val="auto"/>
                <w:vertAlign w:val="superscript"/>
              </w:rPr>
              <w:t>(1)</w:t>
            </w:r>
          </w:p>
        </w:tc>
        <w:tc>
          <w:tcPr>
            <w:tcW w:w="280" w:type="dxa"/>
            <w:vAlign w:val="bottom"/>
            <w:tcBorders>
              <w:bottom w:val="single" w:sz="8" w:color="auto"/>
            </w:tcBorders>
          </w:tcPr>
          <w:p>
            <w:pPr>
              <w:spacing w:after="0"/>
              <w:rPr>
                <w:sz w:val="23"/>
                <w:szCs w:val="23"/>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(515)</w:t>
            </w:r>
          </w:p>
        </w:tc>
      </w:tr>
      <w:tr>
        <w:trPr>
          <w:trHeight w:val="268"/>
        </w:trPr>
        <w:tc>
          <w:tcPr>
            <w:tcW w:w="10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asset retirement obligations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37,118</w:t>
            </w:r>
          </w:p>
        </w:tc>
      </w:tr>
      <w:tr>
        <w:trPr>
          <w:trHeight w:val="20"/>
        </w:trPr>
        <w:tc>
          <w:tcPr>
            <w:tcW w:w="102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r>
    </w:tbl>
    <w:p>
      <w:pPr>
        <w:ind w:left="40"/>
        <w:spacing w:after="0"/>
        <w:rPr>
          <w:sz w:val="20"/>
          <w:szCs w:val="20"/>
          <w:color w:val="auto"/>
        </w:rPr>
      </w:pPr>
      <w:r>
        <w:rPr>
          <w:rFonts w:ascii="Arial" w:cs="Arial" w:eastAsia="Arial" w:hAnsi="Arial"/>
          <w:sz w:val="16"/>
          <w:szCs w:val="16"/>
          <w:b w:val="1"/>
          <w:bCs w:val="1"/>
          <w:color w:val="auto"/>
        </w:rPr>
        <w:t>_______________</w:t>
      </w:r>
    </w:p>
    <w:p>
      <w:pPr>
        <w:spacing w:after="0" w:line="121" w:lineRule="exact"/>
        <w:rPr>
          <w:sz w:val="20"/>
          <w:szCs w:val="20"/>
          <w:color w:val="auto"/>
        </w:rPr>
      </w:pPr>
    </w:p>
    <w:p>
      <w:pPr>
        <w:ind w:left="340" w:hanging="332"/>
        <w:spacing w:after="0"/>
        <w:tabs>
          <w:tab w:leader="none" w:pos="340" w:val="left"/>
        </w:tabs>
        <w:numPr>
          <w:ilvl w:val="0"/>
          <w:numId w:val="9"/>
        </w:numPr>
        <w:rPr>
          <w:rFonts w:ascii="Arial" w:cs="Arial" w:eastAsia="Arial" w:hAnsi="Arial"/>
          <w:sz w:val="14"/>
          <w:szCs w:val="14"/>
          <w:color w:val="auto"/>
        </w:rPr>
      </w:pPr>
      <w:r>
        <w:rPr>
          <w:rFonts w:ascii="Arial" w:cs="Arial" w:eastAsia="Arial" w:hAnsi="Arial"/>
          <w:sz w:val="14"/>
          <w:szCs w:val="14"/>
          <w:color w:val="auto"/>
        </w:rPr>
        <w:t>Included in accrued liabilities in the Company’s interim unaudited condensed consolidated balance sheet at March 31, 2020.</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DEBT</w:t>
      </w:r>
    </w:p>
    <w:p>
      <w:pPr>
        <w:spacing w:after="0" w:line="121" w:lineRule="exact"/>
        <w:rPr>
          <w:sz w:val="20"/>
          <w:szCs w:val="20"/>
          <w:color w:val="auto"/>
        </w:rPr>
      </w:pPr>
    </w:p>
    <w:p>
      <w:pPr>
        <w:ind w:right="100" w:firstLine="405"/>
        <w:spacing w:after="0" w:line="311" w:lineRule="auto"/>
        <w:rPr>
          <w:sz w:val="20"/>
          <w:szCs w:val="20"/>
          <w:color w:val="auto"/>
        </w:rPr>
      </w:pPr>
      <w:r>
        <w:rPr>
          <w:rFonts w:ascii="Arial" w:cs="Arial" w:eastAsia="Arial" w:hAnsi="Arial"/>
          <w:sz w:val="16"/>
          <w:szCs w:val="16"/>
          <w:color w:val="auto"/>
        </w:rPr>
        <w:t>At March 31, 2020, the Company had $1.05 billion of outstanding senior notes due 2026 (the “Notes”), $315.0 million in borrowings outstanding under its reserves-based revolving credit facility (the “Credit Agreement”) and approximately $46.0 million in outstanding letters of credit issued pursuant to the Credit Agreement. Between March 31 and April 29, 2020, the Company borrowed an additional $30.0 million under the Credit Agreement.</w:t>
      </w:r>
    </w:p>
    <w:p>
      <w:pPr>
        <w:spacing w:after="0" w:line="122" w:lineRule="exact"/>
        <w:rPr>
          <w:sz w:val="20"/>
          <w:szCs w:val="20"/>
          <w:color w:val="auto"/>
        </w:rPr>
      </w:pPr>
    </w:p>
    <w:p>
      <w:pPr>
        <w:ind w:right="280" w:firstLine="405"/>
        <w:spacing w:after="0" w:line="277" w:lineRule="auto"/>
        <w:rPr>
          <w:sz w:val="20"/>
          <w:szCs w:val="20"/>
          <w:color w:val="auto"/>
        </w:rPr>
      </w:pPr>
      <w:r>
        <w:rPr>
          <w:rFonts w:ascii="Arial" w:cs="Arial" w:eastAsia="Arial" w:hAnsi="Arial"/>
          <w:sz w:val="18"/>
          <w:szCs w:val="18"/>
          <w:color w:val="auto"/>
        </w:rPr>
        <w:t>At March 31, 2020, San Mateo I had $307.5 million in borrowings outstanding under its revolving credit facility (the “San Mateo Credit Facility”) and approximately $9.0 million in outstanding letters of credit issued pursuant to the San Mateo Credit Facility.</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Credit Agreements</w:t>
      </w:r>
    </w:p>
    <w:p>
      <w:pPr>
        <w:spacing w:after="0" w:line="198"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MRC Energy Company</w:t>
      </w:r>
    </w:p>
    <w:p>
      <w:pPr>
        <w:spacing w:after="0" w:line="117" w:lineRule="exact"/>
        <w:rPr>
          <w:sz w:val="20"/>
          <w:szCs w:val="20"/>
          <w:color w:val="auto"/>
        </w:rPr>
      </w:pPr>
    </w:p>
    <w:p>
      <w:pPr>
        <w:ind w:right="40" w:firstLine="405"/>
        <w:spacing w:after="0" w:line="254" w:lineRule="auto"/>
        <w:rPr>
          <w:sz w:val="20"/>
          <w:szCs w:val="20"/>
          <w:color w:val="auto"/>
        </w:rPr>
      </w:pPr>
      <w:r>
        <w:rPr>
          <w:rFonts w:ascii="Arial" w:cs="Arial" w:eastAsia="Arial" w:hAnsi="Arial"/>
          <w:sz w:val="18"/>
          <w:szCs w:val="18"/>
          <w:color w:val="auto"/>
        </w:rPr>
        <w:t>The borrowing base under the Credit Agreement is determined semi-annually as of May 1 and November 1 by the lenders based primarily on the estimated value of the Company’s proved oil and natural gas reserves at December 31 and June 30 of each year, respectively. The Company and the lenders may each request an unscheduled redetermination of the borrowing base once between scheduled redetermination dates. In February 2020, the lenders completed their review of the Company’s proved oil and natural gas reserves at December 31, 2019, and, as a result, the borrowing base was affirmed at $900.0 million. The Company elected to increase the borrowing commitment from $500.0 million to $700.0 million, and the maximum facility amount remained $1.5 billion. This February 2020 redetermination constituted the regularly scheduled May 1 redetermination. Borrowings under the Credit Agreement are limited to the lowest of the borrowing base, the maximum facility amount and the elected commitment. The Credit Agreement matures October 31, 2023.</w:t>
      </w:r>
    </w:p>
    <w:p>
      <w:pPr>
        <w:spacing w:after="0" w:line="165" w:lineRule="exact"/>
        <w:rPr>
          <w:sz w:val="20"/>
          <w:szCs w:val="20"/>
          <w:color w:val="auto"/>
        </w:rPr>
      </w:pPr>
    </w:p>
    <w:p>
      <w:pPr>
        <w:ind w:right="100" w:firstLine="432"/>
        <w:spacing w:after="0" w:line="263" w:lineRule="auto"/>
        <w:rPr>
          <w:sz w:val="20"/>
          <w:szCs w:val="20"/>
          <w:color w:val="auto"/>
        </w:rPr>
      </w:pPr>
      <w:r>
        <w:rPr>
          <w:rFonts w:ascii="Arial" w:cs="Arial" w:eastAsia="Arial" w:hAnsi="Arial"/>
          <w:sz w:val="18"/>
          <w:szCs w:val="18"/>
          <w:color w:val="auto"/>
        </w:rPr>
        <w:t>The Credit Agreement requires the Company to maintain a debt to EBITDA ratio, which is defined as debt outstanding (net of up to $50.0 million of cash or cash equivalents) divided by a rolling four quarter EBITDA calculation, of 4.00 or less. The Company believes that it was in compliance with the terms of the Credit Agreement at March 31, 2020.</w:t>
      </w:r>
    </w:p>
    <w:p>
      <w:pPr>
        <w:spacing w:after="0" w:line="76"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San Mateo Midstream, LLC</w:t>
      </w:r>
    </w:p>
    <w:p>
      <w:pPr>
        <w:spacing w:after="0" w:line="117" w:lineRule="exact"/>
        <w:rPr>
          <w:sz w:val="20"/>
          <w:szCs w:val="20"/>
          <w:color w:val="auto"/>
        </w:rPr>
      </w:pPr>
    </w:p>
    <w:p>
      <w:pPr>
        <w:ind w:right="20" w:firstLine="391"/>
        <w:spacing w:after="0" w:line="259" w:lineRule="auto"/>
        <w:rPr>
          <w:sz w:val="20"/>
          <w:szCs w:val="20"/>
          <w:color w:val="auto"/>
        </w:rPr>
      </w:pPr>
      <w:r>
        <w:rPr>
          <w:rFonts w:ascii="Arial" w:cs="Arial" w:eastAsia="Arial" w:hAnsi="Arial"/>
          <w:sz w:val="18"/>
          <w:szCs w:val="18"/>
          <w:color w:val="auto"/>
        </w:rPr>
        <w:t>The San Mateo Credit Facility is non-recourse with respect to Matador and its wholly-owned subsidiaries, as well as San Mateo II and its subsidiaries, but is guaranteed by San Mateo I’s subsidiaries and secured by substantially all of San Mateo I’s assets, including real property. The San Mateo Credit Facility includes an accordion feature, which provides for potential increases to up to $400.0 million, and matures December 19, 2023. At March 31, 2020, the lender commitments under the San Mateo Credit Facility were $375.0 million.</w:t>
      </w:r>
    </w:p>
    <w:p>
      <w:pPr>
        <w:spacing w:after="0" w:line="79" w:lineRule="exact"/>
        <w:rPr>
          <w:sz w:val="20"/>
          <w:szCs w:val="20"/>
          <w:color w:val="auto"/>
        </w:rPr>
      </w:pPr>
    </w:p>
    <w:p>
      <w:pPr>
        <w:ind w:right="140" w:firstLine="432"/>
        <w:spacing w:after="0" w:line="257" w:lineRule="auto"/>
        <w:rPr>
          <w:sz w:val="20"/>
          <w:szCs w:val="20"/>
          <w:color w:val="auto"/>
        </w:rPr>
      </w:pPr>
      <w:r>
        <w:rPr>
          <w:rFonts w:ascii="Arial" w:cs="Arial" w:eastAsia="Arial" w:hAnsi="Arial"/>
          <w:sz w:val="18"/>
          <w:szCs w:val="18"/>
          <w:color w:val="auto"/>
        </w:rPr>
        <w:t>The San Mateo Credit Facility requires San Mateo I to maintain a debt to EBITDA ratio, which is defined as total consolidated funded indebtedness outstanding (as defined in the San Mateo Credit Facility) divided by a rolling four quarter EBITDA calculation, of 5.00 or less, subject to certain exceptions. The San Mateo Credit Facility also requires San Mateo I to maintain an interest coverage ratio, which is defined as a rolling four quarter EBITDA calculation divided by San Mateo I’s consolidated interest expense, of 2.50 or more. The Company believes that San Mateo I was in compliance with the terms of the San Mateo Credit Facility at March 31, 2020.</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240"/>
          </w:cols>
          <w:pgMar w:left="320" w:top="125" w:right="33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ind w:left="3820"/>
        <w:spacing w:after="0"/>
        <w:rPr>
          <w:sz w:val="20"/>
          <w:szCs w:val="20"/>
          <w:color w:val="auto"/>
        </w:rPr>
      </w:pPr>
      <w:r>
        <w:rPr>
          <w:rFonts w:ascii="Arial" w:cs="Arial" w:eastAsia="Arial" w:hAnsi="Arial"/>
          <w:sz w:val="18"/>
          <w:szCs w:val="18"/>
          <w:b w:val="1"/>
          <w:bCs w:val="1"/>
          <w:color w:val="auto"/>
        </w:rPr>
        <w:t>Matador Resources Company and Subsidiaries</w:t>
      </w:r>
    </w:p>
    <w:p>
      <w:pPr>
        <w:spacing w:after="0" w:line="72" w:lineRule="exact"/>
        <w:rPr>
          <w:sz w:val="20"/>
          <w:szCs w:val="20"/>
          <w:color w:val="auto"/>
        </w:rPr>
      </w:pPr>
    </w:p>
    <w:p>
      <w:pPr>
        <w:ind w:left="2560"/>
        <w:spacing w:after="0"/>
        <w:rPr>
          <w:sz w:val="20"/>
          <w:szCs w:val="20"/>
          <w:color w:val="auto"/>
        </w:rPr>
      </w:pPr>
      <w:r>
        <w:rPr>
          <w:rFonts w:ascii="Arial" w:cs="Arial" w:eastAsia="Arial" w:hAnsi="Arial"/>
          <w:sz w:val="18"/>
          <w:szCs w:val="18"/>
          <w:b w:val="1"/>
          <w:bCs w:val="1"/>
          <w:color w:val="auto"/>
        </w:rPr>
        <w:t>NOTES TO CONDENSED CONSOLIDATED FINANCIAL STATEMENTS —</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 — CONTINUED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DEBT — Continued</w:t>
      </w: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Senior Unsecured Notes</w:t>
      </w:r>
    </w:p>
    <w:p>
      <w:pPr>
        <w:spacing w:after="0" w:line="117" w:lineRule="exact"/>
        <w:rPr>
          <w:sz w:val="20"/>
          <w:szCs w:val="20"/>
          <w:color w:val="auto"/>
        </w:rPr>
      </w:pPr>
    </w:p>
    <w:p>
      <w:pPr>
        <w:jc w:val="both"/>
        <w:ind w:right="220" w:firstLine="405"/>
        <w:spacing w:after="0" w:line="263" w:lineRule="auto"/>
        <w:rPr>
          <w:sz w:val="20"/>
          <w:szCs w:val="20"/>
          <w:color w:val="auto"/>
        </w:rPr>
      </w:pPr>
      <w:r>
        <w:rPr>
          <w:rFonts w:ascii="Arial" w:cs="Arial" w:eastAsia="Arial" w:hAnsi="Arial"/>
          <w:sz w:val="18"/>
          <w:szCs w:val="18"/>
          <w:color w:val="auto"/>
        </w:rPr>
        <w:t>At March 31, 2020, the Company had $1.05 billion of outstanding Notes, which have a 5.875% coupon rate. The Notes will mature September 15, 2026, and interest is payable on the Notes semi-annually in arrears on each March 15 and September 15. The Notes are guaranteed on a senior unsecured basis by certain subsidiaries of the Company.</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INCOME TAXES</w:t>
      </w:r>
    </w:p>
    <w:p>
      <w:pPr>
        <w:spacing w:after="0" w:line="121" w:lineRule="exact"/>
        <w:rPr>
          <w:sz w:val="20"/>
          <w:szCs w:val="20"/>
          <w:color w:val="auto"/>
        </w:rPr>
      </w:pPr>
    </w:p>
    <w:p>
      <w:pPr>
        <w:ind w:right="20" w:firstLine="432"/>
        <w:spacing w:after="0" w:line="311" w:lineRule="auto"/>
        <w:rPr>
          <w:sz w:val="20"/>
          <w:szCs w:val="20"/>
          <w:color w:val="auto"/>
        </w:rPr>
      </w:pPr>
      <w:r>
        <w:rPr>
          <w:rFonts w:ascii="Arial" w:cs="Arial" w:eastAsia="Arial" w:hAnsi="Arial"/>
          <w:sz w:val="16"/>
          <w:szCs w:val="16"/>
          <w:color w:val="auto"/>
        </w:rPr>
        <w:t>The Company’s effective tax rates for the three months ended March 31, 2020 and 2019 were 24% and 33%, respectively. The Company’s total income tax provision for the three months ended March 31, 2020 and 2019 differed from amounts computed by applying the U.S. federal statutory tax rates to pre-tax income due primarily to the impact of permanent differences between book and tax income and state taxes, primarily in New Mexico.</w:t>
      </w:r>
    </w:p>
    <w:p>
      <w:pPr>
        <w:spacing w:after="0" w:line="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EQUITY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Stock-based Compensation</w:t>
      </w:r>
    </w:p>
    <w:p>
      <w:pPr>
        <w:spacing w:after="0" w:line="117" w:lineRule="exact"/>
        <w:rPr>
          <w:sz w:val="20"/>
          <w:szCs w:val="20"/>
          <w:color w:val="auto"/>
        </w:rPr>
      </w:pPr>
    </w:p>
    <w:p>
      <w:pPr>
        <w:ind w:firstLine="432"/>
        <w:spacing w:after="0" w:line="296" w:lineRule="auto"/>
        <w:rPr>
          <w:sz w:val="20"/>
          <w:szCs w:val="20"/>
          <w:color w:val="auto"/>
        </w:rPr>
      </w:pPr>
      <w:r>
        <w:rPr>
          <w:rFonts w:ascii="Arial" w:cs="Arial" w:eastAsia="Arial" w:hAnsi="Arial"/>
          <w:sz w:val="16"/>
          <w:szCs w:val="16"/>
          <w:color w:val="auto"/>
        </w:rPr>
        <w:t>In March 2020, the Company granted awards to certain of its employees of 601,210 service-based restricted stock units to be settled in cash, which are liability instruments, and 601,210 performance-based stock units, which are equity instruments. The performance-based stock units vest in an amount between zero and 200% of the target units granted based on the Company’s relative total shareholder return over the three-year period ending December 31, 2022, as compared to a designated peer group. The service-based restricted stock units vest ratably over three years, and the performance-based stock units are eligible to vest after completion of the three-year performance period. The fair value of these awards was approximately $2.5 million on the grant date.</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San Mateo II</w:t>
      </w:r>
    </w:p>
    <w:p>
      <w:pPr>
        <w:spacing w:after="0" w:line="131" w:lineRule="exact"/>
        <w:rPr>
          <w:sz w:val="20"/>
          <w:szCs w:val="20"/>
          <w:color w:val="auto"/>
        </w:rPr>
      </w:pPr>
    </w:p>
    <w:p>
      <w:pPr>
        <w:ind w:right="20" w:firstLine="405"/>
        <w:spacing w:after="0" w:line="285" w:lineRule="auto"/>
        <w:rPr>
          <w:sz w:val="20"/>
          <w:szCs w:val="20"/>
          <w:color w:val="auto"/>
        </w:rPr>
      </w:pPr>
      <w:r>
        <w:rPr>
          <w:rFonts w:ascii="Arial" w:cs="Arial" w:eastAsia="Arial" w:hAnsi="Arial"/>
          <w:sz w:val="17"/>
          <w:szCs w:val="17"/>
          <w:color w:val="auto"/>
        </w:rPr>
        <w:t>On February 25, 2019, the Company announced the formation of San Mateo II, a strategic joint venture with a subsidiary of Five Point Energy LLC (“Five Point”) designed to expand the Company’s midstream operations in the Delaware Basin, specifically in Eddy County, New Mexico. San Mateo II is owned 51% by the Company and 49% by Five Point. In addition, Five Point has committed to pay $125 million of the first $150 million of capital expenditures incurred by San Mateo II to develop facilities in the Stebbins area and surrounding leaseholds in the southern portion of the Arrowhead asset area (the “Greater Stebbins Area”) and the Stateline asset area. During the first quarter of 2019, the Company contributed $1.0 million of property and Five Point contributed $4.0 million of cash to San Mateo II. During the first quarter of 2020, the Company contributed $7.5 million and Five Point contributed $50.0 million of cash, of which $20.6 million was paid to carry Matador’s proportionate interest in San Mateo II and was therefore recorded in “Additional paid-in capital” in the Company’s interim unaudited condensed consolidated balance sheet, net of the $4.3 million deferred tax impact to Matador related to this equity contribution. In addition, the Company has the ability to earn up to $150.0 million in deferred performance incentives over the next several years</w:t>
      </w:r>
      <w:r>
        <w:rPr>
          <w:rFonts w:ascii="Arial" w:cs="Arial" w:eastAsia="Arial" w:hAnsi="Arial"/>
          <w:sz w:val="18"/>
          <w:szCs w:val="18"/>
          <w:color w:val="auto"/>
        </w:rPr>
        <w:t>,</w:t>
      </w:r>
      <w:r>
        <w:rPr>
          <w:rFonts w:ascii="Arial" w:cs="Arial" w:eastAsia="Arial" w:hAnsi="Arial"/>
          <w:sz w:val="17"/>
          <w:szCs w:val="17"/>
          <w:color w:val="auto"/>
        </w:rPr>
        <w:t xml:space="preserve"> plus additional performance incentives for securing volumes from third-party customers.</w:t>
      </w:r>
    </w:p>
    <w:p>
      <w:pPr>
        <w:spacing w:after="0" w:line="5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Performance Incentives</w:t>
      </w:r>
    </w:p>
    <w:p>
      <w:pPr>
        <w:spacing w:after="0" w:line="117" w:lineRule="exact"/>
        <w:rPr>
          <w:sz w:val="20"/>
          <w:szCs w:val="20"/>
          <w:color w:val="auto"/>
        </w:rPr>
      </w:pPr>
    </w:p>
    <w:p>
      <w:pPr>
        <w:ind w:right="40" w:firstLine="432"/>
        <w:spacing w:after="0" w:line="272" w:lineRule="auto"/>
        <w:rPr>
          <w:sz w:val="20"/>
          <w:szCs w:val="20"/>
          <w:color w:val="auto"/>
        </w:rPr>
      </w:pPr>
      <w:r>
        <w:rPr>
          <w:rFonts w:ascii="Arial" w:cs="Arial" w:eastAsia="Arial" w:hAnsi="Arial"/>
          <w:sz w:val="17"/>
          <w:szCs w:val="17"/>
          <w:color w:val="auto"/>
        </w:rPr>
        <w:t>In connection with the formation of San Mateo I in 2017, the Company has the ability to earn a total of $73.5 million in performance incentives to be paid by Five Point over a five-year period. The Company earned, and Five Point paid to the Company, $14.7 million in performance incentives during each of the three months ended March 31, 2020, 2019 and 2018. The Company may earn up to an additional $29.4 million in performance incentives over the next two years. These performance incentives are recorded, net of the $3.1 million deferred tax impact to Matador, in “Additional paid-in capital” in the Company’s interim unaudited condensed consolidated balance sheet when received. These performance incentives for the three months ended March 31, 2020 and 2019 are also denoted as “Contributions related to formation of San Mateo I” under “Financing activities” in the Company’s interim unaudited condensed consolidated statements of cash flows and changes in shareholders’ equity.</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DERIVATIVE FINANCIAL INSTRUMENTS</w:t>
      </w:r>
    </w:p>
    <w:p>
      <w:pPr>
        <w:spacing w:after="0" w:line="121" w:lineRule="exact"/>
        <w:rPr>
          <w:sz w:val="20"/>
          <w:szCs w:val="20"/>
          <w:color w:val="auto"/>
        </w:rPr>
      </w:pPr>
    </w:p>
    <w:p>
      <w:pPr>
        <w:ind w:right="60" w:firstLine="432"/>
        <w:spacing w:after="0" w:line="259" w:lineRule="auto"/>
        <w:rPr>
          <w:sz w:val="20"/>
          <w:szCs w:val="20"/>
          <w:color w:val="auto"/>
        </w:rPr>
      </w:pPr>
      <w:r>
        <w:rPr>
          <w:rFonts w:ascii="Arial" w:cs="Arial" w:eastAsia="Arial" w:hAnsi="Arial"/>
          <w:sz w:val="18"/>
          <w:szCs w:val="18"/>
          <w:color w:val="auto"/>
        </w:rPr>
        <w:t>At March 31, 2020, the Company had various costless collar and swap contracts open and in place to mitigate its exposure to oil price volatility, each with a specific term (calculation period), notional quantity (volume hedged) and price floor and ceiling for the collars and fixed price for the swaps. At March 31, 2020, each contract was set to expire at varying times during 2020, 2021 and 2022. The Company had no open contracts associated with natural gas or natural gas liquids (“NGL”) prices at March 31, 2020.</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240"/>
          </w:cols>
          <w:pgMar w:left="320" w:top="125" w:right="33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ind w:left="3820"/>
        <w:spacing w:after="0"/>
        <w:rPr>
          <w:sz w:val="20"/>
          <w:szCs w:val="20"/>
          <w:color w:val="auto"/>
        </w:rPr>
      </w:pPr>
      <w:r>
        <w:rPr>
          <w:rFonts w:ascii="Arial" w:cs="Arial" w:eastAsia="Arial" w:hAnsi="Arial"/>
          <w:sz w:val="18"/>
          <w:szCs w:val="18"/>
          <w:b w:val="1"/>
          <w:bCs w:val="1"/>
          <w:color w:val="auto"/>
        </w:rPr>
        <w:t>Matador Resources Company and Subsidiaries</w:t>
      </w:r>
    </w:p>
    <w:p>
      <w:pPr>
        <w:spacing w:after="0" w:line="72" w:lineRule="exact"/>
        <w:rPr>
          <w:sz w:val="20"/>
          <w:szCs w:val="20"/>
          <w:color w:val="auto"/>
        </w:rPr>
      </w:pPr>
    </w:p>
    <w:p>
      <w:pPr>
        <w:ind w:left="2560"/>
        <w:spacing w:after="0"/>
        <w:rPr>
          <w:sz w:val="20"/>
          <w:szCs w:val="20"/>
          <w:color w:val="auto"/>
        </w:rPr>
      </w:pPr>
      <w:r>
        <w:rPr>
          <w:rFonts w:ascii="Arial" w:cs="Arial" w:eastAsia="Arial" w:hAnsi="Arial"/>
          <w:sz w:val="18"/>
          <w:szCs w:val="18"/>
          <w:b w:val="1"/>
          <w:bCs w:val="1"/>
          <w:color w:val="auto"/>
        </w:rPr>
        <w:t>NOTES TO CONDENSED CONSOLIDATED FINANCIAL STATEMENTS —</w:t>
      </w:r>
    </w:p>
    <w:p>
      <w:pPr>
        <w:spacing w:after="0" w:line="27" w:lineRule="exact"/>
        <w:rPr>
          <w:sz w:val="20"/>
          <w:szCs w:val="20"/>
          <w:color w:val="auto"/>
        </w:rPr>
      </w:pPr>
    </w:p>
    <w:p>
      <w:pPr>
        <w:ind w:left="4400"/>
        <w:spacing w:after="0"/>
        <w:rPr>
          <w:sz w:val="20"/>
          <w:szCs w:val="20"/>
          <w:color w:val="auto"/>
        </w:rPr>
      </w:pPr>
      <w:r>
        <w:rPr>
          <w:rFonts w:ascii="Arial" w:cs="Arial" w:eastAsia="Arial" w:hAnsi="Arial"/>
          <w:sz w:val="18"/>
          <w:szCs w:val="18"/>
          <w:b w:val="1"/>
          <w:bCs w:val="1"/>
          <w:color w:val="auto"/>
        </w:rPr>
        <w:t>UNAUDITED — CONTINUED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DERIVATIVE FINANCIAL INSTRUMENTS — Continued</w:t>
      </w:r>
    </w:p>
    <w:p>
      <w:pPr>
        <w:spacing w:after="0" w:line="33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is a summary of the Company’s open costless collar contracts for oil at March 31, 2020.</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Weighted</w:t>
            </w:r>
          </w:p>
        </w:tc>
        <w:tc>
          <w:tcPr>
            <w:tcW w:w="120" w:type="dxa"/>
            <w:vAlign w:val="bottom"/>
          </w:tcPr>
          <w:p>
            <w:pPr>
              <w:spacing w:after="0"/>
              <w:rPr>
                <w:sz w:val="18"/>
                <w:szCs w:val="18"/>
                <w:color w:val="auto"/>
              </w:rPr>
            </w:pPr>
          </w:p>
        </w:tc>
        <w:tc>
          <w:tcPr>
            <w:tcW w:w="13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Weighted</w:t>
            </w:r>
          </w:p>
        </w:tc>
        <w:tc>
          <w:tcPr>
            <w:tcW w:w="160" w:type="dxa"/>
            <w:vAlign w:val="bottom"/>
          </w:tcPr>
          <w:p>
            <w:pPr>
              <w:spacing w:after="0"/>
              <w:rPr>
                <w:sz w:val="18"/>
                <w:szCs w:val="18"/>
                <w:color w:val="auto"/>
              </w:rPr>
            </w:pPr>
          </w:p>
        </w:tc>
        <w:tc>
          <w:tcPr>
            <w:tcW w:w="1200" w:type="dxa"/>
            <w:vAlign w:val="bottom"/>
          </w:tcPr>
          <w:p>
            <w:pPr>
              <w:jc w:val="center"/>
              <w:ind w:right="70"/>
              <w:spacing w:after="0"/>
              <w:rPr>
                <w:sz w:val="20"/>
                <w:szCs w:val="20"/>
                <w:color w:val="auto"/>
              </w:rPr>
            </w:pPr>
            <w:r>
              <w:rPr>
                <w:rFonts w:ascii="Arial" w:cs="Arial" w:eastAsia="Arial" w:hAnsi="Arial"/>
                <w:sz w:val="18"/>
                <w:szCs w:val="18"/>
                <w:b w:val="1"/>
                <w:bCs w:val="1"/>
                <w:color w:val="auto"/>
                <w:w w:val="92"/>
              </w:rPr>
              <w:t>Fair Value of</w:t>
            </w:r>
          </w:p>
        </w:tc>
      </w:tr>
      <w:tr>
        <w:trPr>
          <w:trHeight w:val="216"/>
        </w:trPr>
        <w:tc>
          <w:tcPr>
            <w:tcW w:w="2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8"/>
              </w:rPr>
              <w:t>Average Price</w:t>
            </w:r>
          </w:p>
        </w:tc>
        <w:tc>
          <w:tcPr>
            <w:tcW w:w="120" w:type="dxa"/>
            <w:vAlign w:val="bottom"/>
          </w:tcPr>
          <w:p>
            <w:pPr>
              <w:spacing w:after="0"/>
              <w:rPr>
                <w:sz w:val="18"/>
                <w:szCs w:val="18"/>
                <w:color w:val="auto"/>
              </w:rPr>
            </w:pPr>
          </w:p>
        </w:tc>
        <w:tc>
          <w:tcPr>
            <w:tcW w:w="13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8"/>
              </w:rPr>
              <w:t>Average Price</w:t>
            </w:r>
          </w:p>
        </w:tc>
        <w:tc>
          <w:tcPr>
            <w:tcW w:w="1360" w:type="dxa"/>
            <w:vAlign w:val="bottom"/>
            <w:gridSpan w:val="2"/>
          </w:tcPr>
          <w:p>
            <w:pPr>
              <w:jc w:val="center"/>
              <w:spacing w:after="0"/>
              <w:rPr>
                <w:sz w:val="20"/>
                <w:szCs w:val="20"/>
                <w:color w:val="auto"/>
              </w:rPr>
            </w:pPr>
            <w:r>
              <w:rPr>
                <w:rFonts w:ascii="Arial" w:cs="Arial" w:eastAsia="Arial" w:hAnsi="Arial"/>
                <w:sz w:val="18"/>
                <w:szCs w:val="18"/>
                <w:b w:val="1"/>
                <w:bCs w:val="1"/>
                <w:color w:val="auto"/>
                <w:w w:val="92"/>
              </w:rPr>
              <w:t>Asset (Liability)</w:t>
            </w:r>
          </w:p>
        </w:tc>
      </w:tr>
      <w:tr>
        <w:trPr>
          <w:trHeight w:val="234"/>
        </w:trPr>
        <w:tc>
          <w:tcPr>
            <w:tcW w:w="2160" w:type="dxa"/>
            <w:vAlign w:val="bottom"/>
            <w:gridSpan w:val="2"/>
          </w:tcPr>
          <w:p>
            <w:pPr>
              <w:ind w:left="40"/>
              <w:spacing w:after="0"/>
              <w:rPr>
                <w:sz w:val="20"/>
                <w:szCs w:val="20"/>
                <w:color w:val="auto"/>
              </w:rPr>
            </w:pPr>
            <w:r>
              <w:rPr>
                <w:rFonts w:ascii="Arial" w:cs="Arial" w:eastAsia="Arial" w:hAnsi="Arial"/>
                <w:sz w:val="18"/>
                <w:szCs w:val="18"/>
                <w:b w:val="1"/>
                <w:bCs w:val="1"/>
                <w:color w:val="auto"/>
              </w:rPr>
              <w:t>Commodity</w:t>
            </w:r>
          </w:p>
        </w:tc>
        <w:tc>
          <w:tcPr>
            <w:tcW w:w="25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Calculation Period</w:t>
            </w:r>
          </w:p>
        </w:tc>
        <w:tc>
          <w:tcPr>
            <w:tcW w:w="2240" w:type="dxa"/>
            <w:vAlign w:val="bottom"/>
            <w:gridSpan w:val="2"/>
          </w:tcPr>
          <w:p>
            <w:pPr>
              <w:ind w:left="160"/>
              <w:spacing w:after="0"/>
              <w:rPr>
                <w:sz w:val="20"/>
                <w:szCs w:val="20"/>
                <w:color w:val="auto"/>
              </w:rPr>
            </w:pPr>
            <w:r>
              <w:rPr>
                <w:rFonts w:ascii="Arial" w:cs="Arial" w:eastAsia="Arial" w:hAnsi="Arial"/>
                <w:sz w:val="18"/>
                <w:szCs w:val="18"/>
                <w:b w:val="1"/>
                <w:bCs w:val="1"/>
                <w:color w:val="auto"/>
              </w:rPr>
              <w:t>Notional Quantity (Bbl)</w:t>
            </w:r>
          </w:p>
        </w:tc>
        <w:tc>
          <w:tcPr>
            <w:tcW w:w="120" w:type="dxa"/>
            <w:vAlign w:val="bottom"/>
          </w:tcPr>
          <w:p>
            <w:pPr>
              <w:spacing w:after="0"/>
              <w:rPr>
                <w:sz w:val="20"/>
                <w:szCs w:val="20"/>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2"/>
              </w:rPr>
              <w:t>Floor ($/Bbl)</w:t>
            </w:r>
          </w:p>
        </w:tc>
        <w:tc>
          <w:tcPr>
            <w:tcW w:w="144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92"/>
              </w:rPr>
              <w:t>Ceiling ($/Bbl)</w:t>
            </w:r>
          </w:p>
        </w:tc>
        <w:tc>
          <w:tcPr>
            <w:tcW w:w="160" w:type="dxa"/>
            <w:vAlign w:val="bottom"/>
          </w:tcPr>
          <w:p>
            <w:pPr>
              <w:spacing w:after="0"/>
              <w:rPr>
                <w:sz w:val="20"/>
                <w:szCs w:val="20"/>
                <w:color w:val="auto"/>
              </w:rPr>
            </w:pPr>
          </w:p>
        </w:tc>
        <w:tc>
          <w:tcPr>
            <w:tcW w:w="1200" w:type="dxa"/>
            <w:vAlign w:val="bottom"/>
          </w:tcPr>
          <w:p>
            <w:pPr>
              <w:jc w:val="center"/>
              <w:ind w:right="50"/>
              <w:spacing w:after="0"/>
              <w:rPr>
                <w:sz w:val="20"/>
                <w:szCs w:val="20"/>
                <w:color w:val="auto"/>
              </w:rPr>
            </w:pPr>
            <w:r>
              <w:rPr>
                <w:rFonts w:ascii="Arial" w:cs="Arial" w:eastAsia="Arial" w:hAnsi="Arial"/>
                <w:sz w:val="18"/>
                <w:szCs w:val="18"/>
                <w:b w:val="1"/>
                <w:bCs w:val="1"/>
                <w:color w:val="auto"/>
                <w:w w:val="87"/>
              </w:rPr>
              <w:t>(thousands)</w:t>
            </w:r>
          </w:p>
        </w:tc>
      </w:tr>
      <w:tr>
        <w:trPr>
          <w:trHeight w:val="27"/>
        </w:trPr>
        <w:tc>
          <w:tcPr>
            <w:tcW w:w="2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63"/>
        </w:trPr>
        <w:tc>
          <w:tcPr>
            <w:tcW w:w="2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Oil</w:t>
            </w:r>
          </w:p>
        </w:tc>
        <w:tc>
          <w:tcPr>
            <w:tcW w:w="248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04/01/2020 - 12/31/2020</w:t>
            </w:r>
          </w:p>
        </w:tc>
        <w:tc>
          <w:tcPr>
            <w:tcW w:w="100" w:type="dxa"/>
            <w:vAlign w:val="bottom"/>
            <w:tcBorders>
              <w:bottom w:val="single" w:sz="8" w:color="CCEEFF"/>
            </w:tcBorders>
            <w:shd w:val="clear" w:color="auto" w:fill="CCEEFF"/>
          </w:tcPr>
          <w:p>
            <w:pPr>
              <w:spacing w:after="0"/>
              <w:rPr>
                <w:sz w:val="22"/>
                <w:szCs w:val="22"/>
                <w:color w:val="auto"/>
              </w:rPr>
            </w:pPr>
          </w:p>
        </w:tc>
        <w:tc>
          <w:tcPr>
            <w:tcW w:w="2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5,205,000</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47.68</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66.69</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95,553</w:t>
            </w:r>
          </w:p>
        </w:tc>
      </w:tr>
      <w:tr>
        <w:trPr>
          <w:trHeight w:val="237"/>
        </w:trPr>
        <w:tc>
          <w:tcPr>
            <w:tcW w:w="4740" w:type="dxa"/>
            <w:vAlign w:val="bottom"/>
            <w:gridSpan w:val="4"/>
          </w:tcPr>
          <w:p>
            <w:pPr>
              <w:ind w:left="380"/>
              <w:spacing w:after="0"/>
              <w:rPr>
                <w:sz w:val="20"/>
                <w:szCs w:val="20"/>
                <w:color w:val="auto"/>
              </w:rPr>
            </w:pPr>
            <w:r>
              <w:rPr>
                <w:rFonts w:ascii="Arial" w:cs="Arial" w:eastAsia="Arial" w:hAnsi="Arial"/>
                <w:sz w:val="18"/>
                <w:szCs w:val="18"/>
                <w:color w:val="auto"/>
              </w:rPr>
              <w:t>Total open costless collar contracts</w:t>
            </w:r>
          </w:p>
        </w:tc>
        <w:tc>
          <w:tcPr>
            <w:tcW w:w="2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95,553</w:t>
            </w:r>
          </w:p>
        </w:tc>
      </w:tr>
      <w:tr>
        <w:trPr>
          <w:trHeight w:val="27"/>
        </w:trPr>
        <w:tc>
          <w:tcPr>
            <w:tcW w:w="2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0"/>
        </w:trPr>
        <w:tc>
          <w:tcPr>
            <w:tcW w:w="2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is a summary of the Company’s open basis swap contracts for oil at March 31, 2020.</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jc w:val="center"/>
              <w:ind w:right="90"/>
              <w:spacing w:after="0"/>
              <w:rPr>
                <w:sz w:val="20"/>
                <w:szCs w:val="20"/>
                <w:color w:val="auto"/>
              </w:rPr>
            </w:pPr>
            <w:r>
              <w:rPr>
                <w:rFonts w:ascii="Arial" w:cs="Arial" w:eastAsia="Arial" w:hAnsi="Arial"/>
                <w:sz w:val="18"/>
                <w:szCs w:val="18"/>
                <w:b w:val="1"/>
                <w:bCs w:val="1"/>
                <w:color w:val="auto"/>
                <w:w w:val="94"/>
              </w:rPr>
              <w:t>Fair Value of</w:t>
            </w:r>
          </w:p>
        </w:tc>
      </w:tr>
      <w:tr>
        <w:trPr>
          <w:trHeight w:val="216"/>
        </w:trPr>
        <w:tc>
          <w:tcPr>
            <w:tcW w:w="3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jc w:val="center"/>
              <w:ind w:right="90"/>
              <w:spacing w:after="0"/>
              <w:rPr>
                <w:sz w:val="20"/>
                <w:szCs w:val="20"/>
                <w:color w:val="auto"/>
              </w:rPr>
            </w:pPr>
            <w:r>
              <w:rPr>
                <w:rFonts w:ascii="Arial" w:cs="Arial" w:eastAsia="Arial" w:hAnsi="Arial"/>
                <w:sz w:val="18"/>
                <w:szCs w:val="18"/>
                <w:b w:val="1"/>
                <w:bCs w:val="1"/>
                <w:color w:val="auto"/>
                <w:w w:val="85"/>
              </w:rPr>
              <w:t>Asset</w:t>
            </w:r>
          </w:p>
        </w:tc>
      </w:tr>
      <w:tr>
        <w:trPr>
          <w:trHeight w:val="216"/>
        </w:trPr>
        <w:tc>
          <w:tcPr>
            <w:tcW w:w="3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b w:val="1"/>
                <w:bCs w:val="1"/>
                <w:color w:val="auto"/>
              </w:rPr>
              <w:t>Fixed Price</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jc w:val="center"/>
              <w:ind w:right="90"/>
              <w:spacing w:after="0"/>
              <w:rPr>
                <w:sz w:val="20"/>
                <w:szCs w:val="20"/>
                <w:color w:val="auto"/>
              </w:rPr>
            </w:pPr>
            <w:r>
              <w:rPr>
                <w:rFonts w:ascii="Arial" w:cs="Arial" w:eastAsia="Arial" w:hAnsi="Arial"/>
                <w:sz w:val="18"/>
                <w:szCs w:val="18"/>
                <w:b w:val="1"/>
                <w:bCs w:val="1"/>
                <w:color w:val="auto"/>
                <w:w w:val="97"/>
              </w:rPr>
              <w:t>(Liability)</w:t>
            </w:r>
          </w:p>
        </w:tc>
      </w:tr>
      <w:tr>
        <w:trPr>
          <w:trHeight w:val="234"/>
        </w:trPr>
        <w:tc>
          <w:tcPr>
            <w:tcW w:w="3400" w:type="dxa"/>
            <w:vAlign w:val="bottom"/>
            <w:gridSpan w:val="2"/>
          </w:tcPr>
          <w:p>
            <w:pPr>
              <w:ind w:left="40"/>
              <w:spacing w:after="0"/>
              <w:rPr>
                <w:sz w:val="20"/>
                <w:szCs w:val="20"/>
                <w:color w:val="auto"/>
              </w:rPr>
            </w:pPr>
            <w:r>
              <w:rPr>
                <w:rFonts w:ascii="Arial" w:cs="Arial" w:eastAsia="Arial" w:hAnsi="Arial"/>
                <w:sz w:val="18"/>
                <w:szCs w:val="18"/>
                <w:b w:val="1"/>
                <w:bCs w:val="1"/>
                <w:color w:val="auto"/>
              </w:rPr>
              <w:t>Commodity</w:t>
            </w:r>
          </w:p>
        </w:tc>
        <w:tc>
          <w:tcPr>
            <w:tcW w:w="2460" w:type="dxa"/>
            <w:vAlign w:val="bottom"/>
            <w:gridSpan w:val="2"/>
          </w:tcPr>
          <w:p>
            <w:pPr>
              <w:ind w:left="460"/>
              <w:spacing w:after="0"/>
              <w:rPr>
                <w:sz w:val="20"/>
                <w:szCs w:val="20"/>
                <w:color w:val="auto"/>
              </w:rPr>
            </w:pPr>
            <w:r>
              <w:rPr>
                <w:rFonts w:ascii="Arial" w:cs="Arial" w:eastAsia="Arial" w:hAnsi="Arial"/>
                <w:sz w:val="18"/>
                <w:szCs w:val="18"/>
                <w:b w:val="1"/>
                <w:bCs w:val="1"/>
                <w:color w:val="auto"/>
              </w:rPr>
              <w:t>Calculation Period</w:t>
            </w:r>
          </w:p>
        </w:tc>
        <w:tc>
          <w:tcPr>
            <w:tcW w:w="2020" w:type="dxa"/>
            <w:vAlign w:val="bottom"/>
            <w:gridSpan w:val="2"/>
          </w:tcPr>
          <w:p>
            <w:pPr>
              <w:ind w:left="40"/>
              <w:spacing w:after="0"/>
              <w:rPr>
                <w:sz w:val="20"/>
                <w:szCs w:val="20"/>
                <w:color w:val="auto"/>
              </w:rPr>
            </w:pPr>
            <w:r>
              <w:rPr>
                <w:rFonts w:ascii="Arial" w:cs="Arial" w:eastAsia="Arial" w:hAnsi="Arial"/>
                <w:sz w:val="18"/>
                <w:szCs w:val="18"/>
                <w:b w:val="1"/>
                <w:bCs w:val="1"/>
                <w:color w:val="auto"/>
                <w:w w:val="99"/>
              </w:rPr>
              <w:t>Notional Quantity (Bbl)</w:t>
            </w:r>
          </w:p>
        </w:tc>
        <w:tc>
          <w:tcPr>
            <w:tcW w:w="1360" w:type="dxa"/>
            <w:vAlign w:val="bottom"/>
          </w:tcPr>
          <w:p>
            <w:pPr>
              <w:jc w:val="right"/>
              <w:ind w:right="110"/>
              <w:spacing w:after="0"/>
              <w:rPr>
                <w:sz w:val="20"/>
                <w:szCs w:val="20"/>
                <w:color w:val="auto"/>
              </w:rPr>
            </w:pPr>
            <w:r>
              <w:rPr>
                <w:rFonts w:ascii="Arial" w:cs="Arial" w:eastAsia="Arial" w:hAnsi="Arial"/>
                <w:sz w:val="18"/>
                <w:szCs w:val="18"/>
                <w:b w:val="1"/>
                <w:bCs w:val="1"/>
                <w:color w:val="auto"/>
              </w:rPr>
              <w:t>($/Bbl)</w:t>
            </w: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jc w:val="center"/>
              <w:ind w:right="90"/>
              <w:spacing w:after="0"/>
              <w:rPr>
                <w:sz w:val="20"/>
                <w:szCs w:val="20"/>
                <w:color w:val="auto"/>
              </w:rPr>
            </w:pPr>
            <w:r>
              <w:rPr>
                <w:rFonts w:ascii="Arial" w:cs="Arial" w:eastAsia="Arial" w:hAnsi="Arial"/>
                <w:sz w:val="18"/>
                <w:szCs w:val="18"/>
                <w:b w:val="1"/>
                <w:bCs w:val="1"/>
                <w:color w:val="auto"/>
                <w:w w:val="87"/>
              </w:rPr>
              <w:t>(thousands)</w:t>
            </w:r>
          </w:p>
        </w:tc>
      </w:tr>
      <w:tr>
        <w:trPr>
          <w:trHeight w:val="27"/>
        </w:trPr>
        <w:tc>
          <w:tcPr>
            <w:tcW w:w="3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43"/>
        </w:trPr>
        <w:tc>
          <w:tcPr>
            <w:tcW w:w="34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Oil Basis</w:t>
            </w:r>
          </w:p>
        </w:tc>
        <w:tc>
          <w:tcPr>
            <w:tcW w:w="2360" w:type="dxa"/>
            <w:vAlign w:val="bottom"/>
            <w:tcBorders>
              <w:bottom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color w:val="auto"/>
                <w:w w:val="91"/>
              </w:rPr>
              <w:t>04/01/2020 - 12/31/2020</w:t>
            </w:r>
          </w:p>
        </w:tc>
        <w:tc>
          <w:tcPr>
            <w:tcW w:w="10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7,335,000</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150"/>
              <w:spacing w:after="0"/>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5"/>
              </w:rPr>
              <w:t>0.61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23,318</w:t>
            </w:r>
          </w:p>
        </w:tc>
      </w:tr>
      <w:tr>
        <w:trPr>
          <w:trHeight w:val="243"/>
        </w:trPr>
        <w:tc>
          <w:tcPr>
            <w:tcW w:w="3400" w:type="dxa"/>
            <w:vAlign w:val="bottom"/>
            <w:gridSpan w:val="2"/>
          </w:tcPr>
          <w:p>
            <w:pPr>
              <w:ind w:left="40"/>
              <w:spacing w:after="0"/>
              <w:rPr>
                <w:sz w:val="20"/>
                <w:szCs w:val="20"/>
                <w:color w:val="auto"/>
              </w:rPr>
            </w:pPr>
            <w:r>
              <w:rPr>
                <w:rFonts w:ascii="Arial" w:cs="Arial" w:eastAsia="Arial" w:hAnsi="Arial"/>
                <w:sz w:val="18"/>
                <w:szCs w:val="18"/>
                <w:color w:val="auto"/>
              </w:rPr>
              <w:t>Oil Basis</w:t>
            </w:r>
          </w:p>
        </w:tc>
        <w:tc>
          <w:tcPr>
            <w:tcW w:w="2360" w:type="dxa"/>
            <w:vAlign w:val="bottom"/>
          </w:tcPr>
          <w:p>
            <w:pPr>
              <w:jc w:val="right"/>
              <w:ind w:right="450"/>
              <w:spacing w:after="0"/>
              <w:rPr>
                <w:sz w:val="20"/>
                <w:szCs w:val="20"/>
                <w:color w:val="auto"/>
              </w:rPr>
            </w:pPr>
            <w:r>
              <w:rPr>
                <w:rFonts w:ascii="Arial" w:cs="Arial" w:eastAsia="Arial" w:hAnsi="Arial"/>
                <w:sz w:val="18"/>
                <w:szCs w:val="18"/>
                <w:color w:val="auto"/>
                <w:w w:val="91"/>
              </w:rPr>
              <w:t>01/01/2021 - 12/31/2021</w:t>
            </w:r>
          </w:p>
        </w:tc>
        <w:tc>
          <w:tcPr>
            <w:tcW w:w="100" w:type="dxa"/>
            <w:vAlign w:val="bottom"/>
          </w:tcPr>
          <w:p>
            <w:pPr>
              <w:spacing w:after="0"/>
              <w:rPr>
                <w:sz w:val="21"/>
                <w:szCs w:val="21"/>
                <w:color w:val="auto"/>
              </w:rPr>
            </w:pPr>
          </w:p>
        </w:tc>
        <w:tc>
          <w:tcPr>
            <w:tcW w:w="1920" w:type="dxa"/>
            <w:vAlign w:val="bottom"/>
          </w:tcPr>
          <w:p>
            <w:pPr>
              <w:jc w:val="right"/>
              <w:ind w:right="30"/>
              <w:spacing w:after="0"/>
              <w:rPr>
                <w:sz w:val="20"/>
                <w:szCs w:val="20"/>
                <w:color w:val="auto"/>
              </w:rPr>
            </w:pPr>
            <w:r>
              <w:rPr>
                <w:rFonts w:ascii="Arial" w:cs="Arial" w:eastAsia="Arial" w:hAnsi="Arial"/>
                <w:sz w:val="18"/>
                <w:szCs w:val="18"/>
                <w:color w:val="auto"/>
              </w:rPr>
              <w:t>8,400,000</w:t>
            </w:r>
          </w:p>
        </w:tc>
        <w:tc>
          <w:tcPr>
            <w:tcW w:w="100" w:type="dxa"/>
            <w:vAlign w:val="bottom"/>
          </w:tcPr>
          <w:p>
            <w:pPr>
              <w:spacing w:after="0"/>
              <w:rPr>
                <w:sz w:val="21"/>
                <w:szCs w:val="21"/>
                <w:color w:val="auto"/>
              </w:rPr>
            </w:pPr>
          </w:p>
        </w:tc>
        <w:tc>
          <w:tcPr>
            <w:tcW w:w="1360" w:type="dxa"/>
            <w:vAlign w:val="bottom"/>
          </w:tcPr>
          <w:p>
            <w:pPr>
              <w:jc w:val="right"/>
              <w:ind w:right="1150"/>
              <w:spacing w:after="0"/>
              <w:rPr>
                <w:sz w:val="20"/>
                <w:szCs w:val="20"/>
                <w:color w:val="auto"/>
              </w:rPr>
            </w:pPr>
            <w:r>
              <w:rPr>
                <w:rFonts w:ascii="Arial" w:cs="Arial" w:eastAsia="Arial" w:hAnsi="Arial"/>
                <w:sz w:val="18"/>
                <w:szCs w:val="18"/>
                <w:color w:val="auto"/>
                <w:w w:val="99"/>
              </w:rPr>
              <w:t>$</w:t>
            </w:r>
          </w:p>
        </w:tc>
        <w:tc>
          <w:tcPr>
            <w:tcW w:w="440" w:type="dxa"/>
            <w:vAlign w:val="bottom"/>
          </w:tcPr>
          <w:p>
            <w:pPr>
              <w:jc w:val="right"/>
              <w:ind w:right="30"/>
              <w:spacing w:after="0"/>
              <w:rPr>
                <w:sz w:val="20"/>
                <w:szCs w:val="20"/>
                <w:color w:val="auto"/>
              </w:rPr>
            </w:pPr>
            <w:r>
              <w:rPr>
                <w:rFonts w:ascii="Arial" w:cs="Arial" w:eastAsia="Arial" w:hAnsi="Arial"/>
                <w:sz w:val="18"/>
                <w:szCs w:val="18"/>
                <w:color w:val="auto"/>
                <w:w w:val="85"/>
              </w:rPr>
              <w:t>0.87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8,552</w:t>
            </w:r>
          </w:p>
        </w:tc>
      </w:tr>
      <w:tr>
        <w:trPr>
          <w:trHeight w:val="27"/>
        </w:trPr>
        <w:tc>
          <w:tcPr>
            <w:tcW w:w="3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34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Oil Basis</w:t>
            </w:r>
          </w:p>
        </w:tc>
        <w:tc>
          <w:tcPr>
            <w:tcW w:w="2360" w:type="dxa"/>
            <w:vAlign w:val="bottom"/>
            <w:tcBorders>
              <w:bottom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color w:val="auto"/>
                <w:w w:val="91"/>
              </w:rPr>
              <w:t>01/01/2022 - 12/31/2022</w:t>
            </w:r>
          </w:p>
        </w:tc>
        <w:tc>
          <w:tcPr>
            <w:tcW w:w="100" w:type="dxa"/>
            <w:vAlign w:val="bottom"/>
            <w:tcBorders>
              <w:bottom w:val="single" w:sz="8" w:color="CCEEFF"/>
            </w:tcBorders>
            <w:shd w:val="clear" w:color="auto" w:fill="CCEEFF"/>
          </w:tcPr>
          <w:p>
            <w:pPr>
              <w:spacing w:after="0"/>
              <w:rPr>
                <w:sz w:val="23"/>
                <w:szCs w:val="23"/>
                <w:color w:val="auto"/>
              </w:rPr>
            </w:pPr>
          </w:p>
        </w:tc>
        <w:tc>
          <w:tcPr>
            <w:tcW w:w="1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5,520,000</w:t>
            </w:r>
          </w:p>
        </w:tc>
        <w:tc>
          <w:tcPr>
            <w:tcW w:w="10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150"/>
              <w:spacing w:after="0"/>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5"/>
              </w:rPr>
              <w:t>0.95</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5,127</w:t>
            </w:r>
          </w:p>
        </w:tc>
      </w:tr>
      <w:tr>
        <w:trPr>
          <w:trHeight w:val="257"/>
        </w:trPr>
        <w:tc>
          <w:tcPr>
            <w:tcW w:w="3400" w:type="dxa"/>
            <w:vAlign w:val="bottom"/>
            <w:gridSpan w:val="2"/>
          </w:tcPr>
          <w:p>
            <w:pPr>
              <w:ind w:left="360"/>
              <w:spacing w:after="0"/>
              <w:rPr>
                <w:sz w:val="20"/>
                <w:szCs w:val="20"/>
                <w:color w:val="auto"/>
              </w:rPr>
            </w:pPr>
            <w:r>
              <w:rPr>
                <w:rFonts w:ascii="Arial" w:cs="Arial" w:eastAsia="Arial" w:hAnsi="Arial"/>
                <w:sz w:val="18"/>
                <w:szCs w:val="18"/>
                <w:color w:val="auto"/>
              </w:rPr>
              <w:t>Total open basis swap contracts</w:t>
            </w:r>
          </w:p>
        </w:tc>
        <w:tc>
          <w:tcPr>
            <w:tcW w:w="2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36,997</w:t>
            </w:r>
          </w:p>
        </w:tc>
      </w:tr>
      <w:tr>
        <w:trPr>
          <w:trHeight w:val="20"/>
        </w:trPr>
        <w:tc>
          <w:tcPr>
            <w:tcW w:w="3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At March 31, 2020, the Company had an aggregate asset value for open derivative financial instruments of $132.6 million.</w:t>
      </w:r>
    </w:p>
    <w:p>
      <w:pPr>
        <w:spacing w:after="0" w:line="117" w:lineRule="exact"/>
        <w:rPr>
          <w:sz w:val="20"/>
          <w:szCs w:val="20"/>
          <w:color w:val="auto"/>
        </w:rPr>
      </w:pPr>
    </w:p>
    <w:p>
      <w:pPr>
        <w:ind w:right="180" w:firstLine="432"/>
        <w:spacing w:after="0" w:line="263" w:lineRule="auto"/>
        <w:rPr>
          <w:sz w:val="20"/>
          <w:szCs w:val="20"/>
          <w:color w:val="auto"/>
        </w:rPr>
      </w:pPr>
      <w:r>
        <w:rPr>
          <w:rFonts w:ascii="Arial" w:cs="Arial" w:eastAsia="Arial" w:hAnsi="Arial"/>
          <w:sz w:val="18"/>
          <w:szCs w:val="18"/>
          <w:color w:val="auto"/>
        </w:rPr>
        <w:t>The Company’s derivative financial instruments are subject to master netting arrangements, and the Company’s counterparties allow for cross-commodity master netting provided the settlement dates for the commodities are the same. The Company does not present different types of commodities with the same counterparty on a net basis in its interim unaudited condensed consolidated balance sheets.</w:t>
      </w:r>
    </w:p>
    <w:p>
      <w:pPr>
        <w:spacing w:after="0" w:line="76" w:lineRule="exact"/>
        <w:rPr>
          <w:sz w:val="20"/>
          <w:szCs w:val="20"/>
          <w:color w:val="auto"/>
        </w:rPr>
      </w:pPr>
    </w:p>
    <w:p>
      <w:pPr>
        <w:ind w:right="320" w:firstLine="432"/>
        <w:spacing w:after="0" w:line="342" w:lineRule="auto"/>
        <w:rPr>
          <w:sz w:val="20"/>
          <w:szCs w:val="20"/>
          <w:color w:val="auto"/>
        </w:rPr>
      </w:pPr>
      <w:r>
        <w:rPr>
          <w:rFonts w:ascii="Arial" w:cs="Arial" w:eastAsia="Arial" w:hAnsi="Arial"/>
          <w:sz w:val="16"/>
          <w:szCs w:val="16"/>
          <w:color w:val="auto"/>
        </w:rPr>
        <w:t>The following table presents the gross asset and liability fair values of the Company’s commodity price derivative financial instruments and the location of these balances in the interim unaudited condensed consolidated balance sheets as of March 31, 2020 and December 31, 2019 (in thousands).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7"/>
              </w:rPr>
              <w:t>Gross amounts</w:t>
            </w:r>
          </w:p>
        </w:tc>
        <w:tc>
          <w:tcPr>
            <w:tcW w:w="160" w:type="dxa"/>
            <w:vAlign w:val="bottom"/>
          </w:tcPr>
          <w:p>
            <w:pPr>
              <w:spacing w:after="0"/>
              <w:rPr>
                <w:sz w:val="18"/>
                <w:szCs w:val="18"/>
                <w:color w:val="auto"/>
              </w:rPr>
            </w:pPr>
          </w:p>
        </w:tc>
        <w:tc>
          <w:tcPr>
            <w:tcW w:w="1520" w:type="dxa"/>
            <w:vAlign w:val="bottom"/>
          </w:tcPr>
          <w:p>
            <w:pPr>
              <w:jc w:val="center"/>
              <w:ind w:right="90"/>
              <w:spacing w:after="0"/>
              <w:rPr>
                <w:sz w:val="20"/>
                <w:szCs w:val="20"/>
                <w:color w:val="auto"/>
              </w:rPr>
            </w:pPr>
            <w:r>
              <w:rPr>
                <w:rFonts w:ascii="Arial" w:cs="Arial" w:eastAsia="Arial" w:hAnsi="Arial"/>
                <w:sz w:val="18"/>
                <w:szCs w:val="18"/>
                <w:b w:val="1"/>
                <w:bCs w:val="1"/>
                <w:color w:val="auto"/>
                <w:w w:val="89"/>
              </w:rPr>
              <w:t>Net amounts</w:t>
            </w:r>
          </w:p>
        </w:tc>
      </w:tr>
      <w:tr>
        <w:trPr>
          <w:trHeight w:val="216"/>
        </w:trPr>
        <w:tc>
          <w:tcPr>
            <w:tcW w:w="5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9"/>
              </w:rPr>
              <w:t>netted in the</w:t>
            </w:r>
          </w:p>
        </w:tc>
        <w:tc>
          <w:tcPr>
            <w:tcW w:w="160" w:type="dxa"/>
            <w:vAlign w:val="bottom"/>
          </w:tcPr>
          <w:p>
            <w:pPr>
              <w:spacing w:after="0"/>
              <w:rPr>
                <w:sz w:val="18"/>
                <w:szCs w:val="18"/>
                <w:color w:val="auto"/>
              </w:rPr>
            </w:pPr>
          </w:p>
        </w:tc>
        <w:tc>
          <w:tcPr>
            <w:tcW w:w="1520" w:type="dxa"/>
            <w:vAlign w:val="bottom"/>
          </w:tcPr>
          <w:p>
            <w:pPr>
              <w:jc w:val="center"/>
              <w:ind w:right="90"/>
              <w:spacing w:after="0"/>
              <w:rPr>
                <w:sz w:val="20"/>
                <w:szCs w:val="20"/>
                <w:color w:val="auto"/>
              </w:rPr>
            </w:pPr>
            <w:r>
              <w:rPr>
                <w:rFonts w:ascii="Arial" w:cs="Arial" w:eastAsia="Arial" w:hAnsi="Arial"/>
                <w:sz w:val="18"/>
                <w:szCs w:val="18"/>
                <w:b w:val="1"/>
                <w:bCs w:val="1"/>
                <w:color w:val="auto"/>
                <w:w w:val="87"/>
              </w:rPr>
              <w:t>presented in the</w:t>
            </w:r>
          </w:p>
        </w:tc>
      </w:tr>
      <w:tr>
        <w:trPr>
          <w:trHeight w:val="216"/>
        </w:trPr>
        <w:tc>
          <w:tcPr>
            <w:tcW w:w="5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2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84"/>
              </w:rPr>
              <w:t>Gross</w:t>
            </w:r>
          </w:p>
        </w:tc>
        <w:tc>
          <w:tcPr>
            <w:tcW w:w="180" w:type="dxa"/>
            <w:vAlign w:val="bottom"/>
          </w:tcPr>
          <w:p>
            <w:pPr>
              <w:spacing w:after="0"/>
              <w:rPr>
                <w:sz w:val="18"/>
                <w:szCs w:val="18"/>
                <w:color w:val="auto"/>
              </w:rPr>
            </w:pPr>
          </w:p>
        </w:tc>
        <w:tc>
          <w:tcPr>
            <w:tcW w:w="16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4"/>
              </w:rPr>
              <w:t>condensed</w:t>
            </w:r>
          </w:p>
        </w:tc>
        <w:tc>
          <w:tcPr>
            <w:tcW w:w="160" w:type="dxa"/>
            <w:vAlign w:val="bottom"/>
          </w:tcPr>
          <w:p>
            <w:pPr>
              <w:spacing w:after="0"/>
              <w:rPr>
                <w:sz w:val="18"/>
                <w:szCs w:val="18"/>
                <w:color w:val="auto"/>
              </w:rPr>
            </w:pPr>
          </w:p>
        </w:tc>
        <w:tc>
          <w:tcPr>
            <w:tcW w:w="1520" w:type="dxa"/>
            <w:vAlign w:val="bottom"/>
          </w:tcPr>
          <w:p>
            <w:pPr>
              <w:jc w:val="center"/>
              <w:ind w:right="70"/>
              <w:spacing w:after="0"/>
              <w:rPr>
                <w:sz w:val="20"/>
                <w:szCs w:val="20"/>
                <w:color w:val="auto"/>
              </w:rPr>
            </w:pPr>
            <w:r>
              <w:rPr>
                <w:rFonts w:ascii="Arial" w:cs="Arial" w:eastAsia="Arial" w:hAnsi="Arial"/>
                <w:sz w:val="18"/>
                <w:szCs w:val="18"/>
                <w:b w:val="1"/>
                <w:bCs w:val="1"/>
                <w:color w:val="auto"/>
                <w:w w:val="84"/>
              </w:rPr>
              <w:t>condensed</w:t>
            </w:r>
          </w:p>
        </w:tc>
      </w:tr>
      <w:tr>
        <w:trPr>
          <w:trHeight w:val="216"/>
        </w:trPr>
        <w:tc>
          <w:tcPr>
            <w:tcW w:w="5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2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7"/>
              </w:rPr>
              <w:t>amounts</w:t>
            </w:r>
          </w:p>
        </w:tc>
        <w:tc>
          <w:tcPr>
            <w:tcW w:w="180" w:type="dxa"/>
            <w:vAlign w:val="bottom"/>
          </w:tcPr>
          <w:p>
            <w:pPr>
              <w:spacing w:after="0"/>
              <w:rPr>
                <w:sz w:val="18"/>
                <w:szCs w:val="18"/>
                <w:color w:val="auto"/>
              </w:rPr>
            </w:pPr>
          </w:p>
        </w:tc>
        <w:tc>
          <w:tcPr>
            <w:tcW w:w="16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6"/>
              </w:rPr>
              <w:t>consolidated</w:t>
            </w:r>
          </w:p>
        </w:tc>
        <w:tc>
          <w:tcPr>
            <w:tcW w:w="160" w:type="dxa"/>
            <w:vAlign w:val="bottom"/>
          </w:tcPr>
          <w:p>
            <w:pPr>
              <w:spacing w:after="0"/>
              <w:rPr>
                <w:sz w:val="18"/>
                <w:szCs w:val="18"/>
                <w:color w:val="auto"/>
              </w:rPr>
            </w:pPr>
          </w:p>
        </w:tc>
        <w:tc>
          <w:tcPr>
            <w:tcW w:w="1520" w:type="dxa"/>
            <w:vAlign w:val="bottom"/>
          </w:tcPr>
          <w:p>
            <w:pPr>
              <w:jc w:val="center"/>
              <w:ind w:right="70"/>
              <w:spacing w:after="0"/>
              <w:rPr>
                <w:sz w:val="20"/>
                <w:szCs w:val="20"/>
                <w:color w:val="auto"/>
              </w:rPr>
            </w:pPr>
            <w:r>
              <w:rPr>
                <w:rFonts w:ascii="Arial" w:cs="Arial" w:eastAsia="Arial" w:hAnsi="Arial"/>
                <w:sz w:val="18"/>
                <w:szCs w:val="18"/>
                <w:b w:val="1"/>
                <w:bCs w:val="1"/>
                <w:color w:val="auto"/>
                <w:w w:val="86"/>
              </w:rPr>
              <w:t>consolidated</w:t>
            </w:r>
          </w:p>
        </w:tc>
      </w:tr>
      <w:tr>
        <w:trPr>
          <w:trHeight w:val="234"/>
        </w:trPr>
        <w:tc>
          <w:tcPr>
            <w:tcW w:w="5960" w:type="dxa"/>
            <w:vAlign w:val="bottom"/>
            <w:gridSpan w:val="2"/>
          </w:tcPr>
          <w:p>
            <w:pPr>
              <w:ind w:left="40"/>
              <w:spacing w:after="0"/>
              <w:rPr>
                <w:sz w:val="20"/>
                <w:szCs w:val="20"/>
                <w:color w:val="auto"/>
              </w:rPr>
            </w:pPr>
            <w:r>
              <w:rPr>
                <w:rFonts w:ascii="Arial" w:cs="Arial" w:eastAsia="Arial" w:hAnsi="Arial"/>
                <w:sz w:val="18"/>
                <w:szCs w:val="18"/>
                <w:b w:val="1"/>
                <w:bCs w:val="1"/>
                <w:color w:val="auto"/>
              </w:rPr>
              <w:t>Derivative Instruments</w:t>
            </w:r>
          </w:p>
        </w:tc>
        <w:tc>
          <w:tcPr>
            <w:tcW w:w="280" w:type="dxa"/>
            <w:vAlign w:val="bottom"/>
          </w:tcPr>
          <w:p>
            <w:pPr>
              <w:spacing w:after="0"/>
              <w:rPr>
                <w:sz w:val="20"/>
                <w:szCs w:val="20"/>
                <w:color w:val="auto"/>
              </w:rPr>
            </w:pPr>
          </w:p>
        </w:tc>
        <w:tc>
          <w:tcPr>
            <w:tcW w:w="152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6"/>
              </w:rPr>
              <w:t>recognized</w:t>
            </w:r>
          </w:p>
        </w:tc>
        <w:tc>
          <w:tcPr>
            <w:tcW w:w="180" w:type="dxa"/>
            <w:vAlign w:val="bottom"/>
          </w:tcPr>
          <w:p>
            <w:pPr>
              <w:spacing w:after="0"/>
              <w:rPr>
                <w:sz w:val="20"/>
                <w:szCs w:val="20"/>
                <w:color w:val="auto"/>
              </w:rPr>
            </w:pPr>
          </w:p>
        </w:tc>
        <w:tc>
          <w:tcPr>
            <w:tcW w:w="16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3"/>
              </w:rPr>
              <w:t>balance sheets</w:t>
            </w:r>
          </w:p>
        </w:tc>
        <w:tc>
          <w:tcPr>
            <w:tcW w:w="160" w:type="dxa"/>
            <w:vAlign w:val="bottom"/>
          </w:tcPr>
          <w:p>
            <w:pPr>
              <w:spacing w:after="0"/>
              <w:rPr>
                <w:sz w:val="20"/>
                <w:szCs w:val="20"/>
                <w:color w:val="auto"/>
              </w:rPr>
            </w:pPr>
          </w:p>
        </w:tc>
        <w:tc>
          <w:tcPr>
            <w:tcW w:w="1520" w:type="dxa"/>
            <w:vAlign w:val="bottom"/>
          </w:tcPr>
          <w:p>
            <w:pPr>
              <w:jc w:val="center"/>
              <w:ind w:right="90"/>
              <w:spacing w:after="0"/>
              <w:rPr>
                <w:sz w:val="20"/>
                <w:szCs w:val="20"/>
                <w:color w:val="auto"/>
              </w:rPr>
            </w:pPr>
            <w:r>
              <w:rPr>
                <w:rFonts w:ascii="Arial" w:cs="Arial" w:eastAsia="Arial" w:hAnsi="Arial"/>
                <w:sz w:val="18"/>
                <w:szCs w:val="18"/>
                <w:b w:val="1"/>
                <w:bCs w:val="1"/>
                <w:color w:val="auto"/>
                <w:w w:val="85"/>
              </w:rPr>
              <w:t>balance sheets</w:t>
            </w:r>
          </w:p>
        </w:tc>
      </w:tr>
      <w:tr>
        <w:trPr>
          <w:trHeight w:val="27"/>
        </w:trPr>
        <w:tc>
          <w:tcPr>
            <w:tcW w:w="5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44"/>
        </w:trPr>
        <w:tc>
          <w:tcPr>
            <w:tcW w:w="59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March 31, 2020</w:t>
            </w:r>
          </w:p>
        </w:tc>
        <w:tc>
          <w:tcPr>
            <w:tcW w:w="2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r>
      <w:tr>
        <w:trPr>
          <w:trHeight w:val="243"/>
        </w:trPr>
        <w:tc>
          <w:tcPr>
            <w:tcW w:w="5960" w:type="dxa"/>
            <w:vAlign w:val="bottom"/>
            <w:gridSpan w:val="2"/>
          </w:tcPr>
          <w:p>
            <w:pPr>
              <w:ind w:left="180"/>
              <w:spacing w:after="0"/>
              <w:rPr>
                <w:sz w:val="20"/>
                <w:szCs w:val="20"/>
                <w:color w:val="auto"/>
              </w:rPr>
            </w:pPr>
            <w:r>
              <w:rPr>
                <w:rFonts w:ascii="Arial" w:cs="Arial" w:eastAsia="Arial" w:hAnsi="Arial"/>
                <w:sz w:val="18"/>
                <w:szCs w:val="18"/>
                <w:color w:val="auto"/>
              </w:rPr>
              <w:t>Current assets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321,607</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(200,428)</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tcPr>
          <w:p>
            <w:pPr>
              <w:jc w:val="right"/>
              <w:ind w:right="10"/>
              <w:spacing w:after="0"/>
              <w:rPr>
                <w:sz w:val="20"/>
                <w:szCs w:val="20"/>
                <w:color w:val="auto"/>
              </w:rPr>
            </w:pPr>
            <w:r>
              <w:rPr>
                <w:rFonts w:ascii="Arial" w:cs="Arial" w:eastAsia="Arial" w:hAnsi="Arial"/>
                <w:sz w:val="18"/>
                <w:szCs w:val="18"/>
                <w:color w:val="auto"/>
              </w:rPr>
              <w:t>121,179</w:t>
            </w:r>
          </w:p>
        </w:tc>
      </w:tr>
      <w:tr>
        <w:trPr>
          <w:trHeight w:val="27"/>
        </w:trPr>
        <w:tc>
          <w:tcPr>
            <w:tcW w:w="5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59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Other assets</w:t>
            </w:r>
          </w:p>
        </w:tc>
        <w:tc>
          <w:tcPr>
            <w:tcW w:w="2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296,261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(284,890)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11,371</w:t>
            </w:r>
          </w:p>
        </w:tc>
      </w:tr>
      <w:tr>
        <w:trPr>
          <w:trHeight w:val="243"/>
        </w:trPr>
        <w:tc>
          <w:tcPr>
            <w:tcW w:w="5960" w:type="dxa"/>
            <w:vAlign w:val="bottom"/>
            <w:gridSpan w:val="2"/>
          </w:tcPr>
          <w:p>
            <w:pPr>
              <w:ind w:left="180"/>
              <w:spacing w:after="0"/>
              <w:rPr>
                <w:sz w:val="20"/>
                <w:szCs w:val="20"/>
                <w:color w:val="auto"/>
              </w:rPr>
            </w:pPr>
            <w:r>
              <w:rPr>
                <w:rFonts w:ascii="Arial" w:cs="Arial" w:eastAsia="Arial" w:hAnsi="Arial"/>
                <w:sz w:val="18"/>
                <w:szCs w:val="18"/>
                <w:color w:val="auto"/>
              </w:rPr>
              <w:t>Current liabilities</w:t>
            </w:r>
          </w:p>
        </w:tc>
        <w:tc>
          <w:tcPr>
            <w:tcW w:w="28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(200,428)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200,428</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5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70"/>
        </w:trPr>
        <w:tc>
          <w:tcPr>
            <w:tcW w:w="59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Long-term liabilities</w:t>
            </w:r>
          </w:p>
        </w:tc>
        <w:tc>
          <w:tcPr>
            <w:tcW w:w="28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(284,890)</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284,890</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97"/>
        </w:trPr>
        <w:tc>
          <w:tcPr>
            <w:tcW w:w="5960" w:type="dxa"/>
            <w:vAlign w:val="bottom"/>
            <w:tcBorders>
              <w:bottom w:val="single" w:sz="8" w:color="CCEEFF"/>
            </w:tcBorders>
            <w:gridSpan w:val="2"/>
          </w:tcPr>
          <w:p>
            <w:pPr>
              <w:ind w:left="280"/>
              <w:spacing w:after="0"/>
              <w:rPr>
                <w:sz w:val="20"/>
                <w:szCs w:val="20"/>
                <w:color w:val="auto"/>
              </w:rPr>
            </w:pPr>
            <w:r>
              <w:rPr>
                <w:rFonts w:ascii="Arial" w:cs="Arial" w:eastAsia="Arial" w:hAnsi="Arial"/>
                <w:sz w:val="18"/>
                <w:szCs w:val="18"/>
                <w:color w:val="auto"/>
              </w:rPr>
              <w:t>Total</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132,550</w:t>
            </w:r>
          </w:p>
        </w:tc>
        <w:tc>
          <w:tcPr>
            <w:tcW w:w="12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132,550</w:t>
            </w:r>
          </w:p>
        </w:tc>
      </w:tr>
      <w:tr>
        <w:trPr>
          <w:trHeight w:val="237"/>
        </w:trPr>
        <w:tc>
          <w:tcPr>
            <w:tcW w:w="59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December 31, 2019</w:t>
            </w:r>
          </w:p>
        </w:tc>
        <w:tc>
          <w:tcPr>
            <w:tcW w:w="28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520" w:type="dxa"/>
            <w:vAlign w:val="bottom"/>
            <w:tcBorders>
              <w:bottom w:val="single" w:sz="8" w:color="CCEEFF"/>
            </w:tcBorders>
            <w:shd w:val="clear" w:color="auto" w:fill="CCEEFF"/>
          </w:tcPr>
          <w:p>
            <w:pPr>
              <w:spacing w:after="0"/>
              <w:rPr>
                <w:sz w:val="20"/>
                <w:szCs w:val="20"/>
                <w:color w:val="auto"/>
              </w:rPr>
            </w:pPr>
          </w:p>
        </w:tc>
      </w:tr>
      <w:tr>
        <w:trPr>
          <w:trHeight w:val="243"/>
        </w:trPr>
        <w:tc>
          <w:tcPr>
            <w:tcW w:w="5960" w:type="dxa"/>
            <w:vAlign w:val="bottom"/>
            <w:gridSpan w:val="2"/>
          </w:tcPr>
          <w:p>
            <w:pPr>
              <w:ind w:left="180"/>
              <w:spacing w:after="0"/>
              <w:rPr>
                <w:sz w:val="20"/>
                <w:szCs w:val="20"/>
                <w:color w:val="auto"/>
              </w:rPr>
            </w:pPr>
            <w:r>
              <w:rPr>
                <w:rFonts w:ascii="Arial" w:cs="Arial" w:eastAsia="Arial" w:hAnsi="Arial"/>
                <w:sz w:val="18"/>
                <w:szCs w:val="18"/>
                <w:color w:val="auto"/>
              </w:rPr>
              <w:t>Current assets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442,291</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(442,291)</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5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59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Other assets</w:t>
            </w:r>
          </w:p>
        </w:tc>
        <w:tc>
          <w:tcPr>
            <w:tcW w:w="2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280,397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(280,397)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5960" w:type="dxa"/>
            <w:vAlign w:val="bottom"/>
            <w:gridSpan w:val="2"/>
          </w:tcPr>
          <w:p>
            <w:pPr>
              <w:ind w:left="180"/>
              <w:spacing w:after="0"/>
              <w:rPr>
                <w:sz w:val="20"/>
                <w:szCs w:val="20"/>
                <w:color w:val="auto"/>
              </w:rPr>
            </w:pPr>
            <w:r>
              <w:rPr>
                <w:rFonts w:ascii="Arial" w:cs="Arial" w:eastAsia="Arial" w:hAnsi="Arial"/>
                <w:sz w:val="18"/>
                <w:szCs w:val="18"/>
                <w:color w:val="auto"/>
              </w:rPr>
              <w:t>Current liabilities</w:t>
            </w:r>
          </w:p>
        </w:tc>
        <w:tc>
          <w:tcPr>
            <w:tcW w:w="28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(444,188)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442,291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(1,897)</w:t>
            </w:r>
          </w:p>
        </w:tc>
      </w:tr>
      <w:tr>
        <w:trPr>
          <w:trHeight w:val="27"/>
        </w:trPr>
        <w:tc>
          <w:tcPr>
            <w:tcW w:w="5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70"/>
        </w:trPr>
        <w:tc>
          <w:tcPr>
            <w:tcW w:w="59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Long-term liabilities</w:t>
            </w:r>
          </w:p>
        </w:tc>
        <w:tc>
          <w:tcPr>
            <w:tcW w:w="28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(282,381)</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280,397</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(1,984)</w:t>
            </w:r>
          </w:p>
        </w:tc>
      </w:tr>
      <w:tr>
        <w:trPr>
          <w:trHeight w:val="257"/>
        </w:trPr>
        <w:tc>
          <w:tcPr>
            <w:tcW w:w="5960" w:type="dxa"/>
            <w:vAlign w:val="bottom"/>
            <w:gridSpan w:val="2"/>
          </w:tcPr>
          <w:p>
            <w:pPr>
              <w:ind w:left="280"/>
              <w:spacing w:after="0"/>
              <w:rPr>
                <w:sz w:val="20"/>
                <w:szCs w:val="20"/>
                <w:color w:val="auto"/>
              </w:rPr>
            </w:pPr>
            <w:r>
              <w:rPr>
                <w:rFonts w:ascii="Arial" w:cs="Arial" w:eastAsia="Arial" w:hAnsi="Arial"/>
                <w:sz w:val="18"/>
                <w:szCs w:val="18"/>
                <w:color w:val="auto"/>
              </w:rPr>
              <w:t>Total</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(3,881)</w:t>
            </w:r>
          </w:p>
        </w:tc>
        <w:tc>
          <w:tcPr>
            <w:tcW w:w="12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(3,881)</w:t>
            </w:r>
          </w:p>
        </w:tc>
      </w:tr>
      <w:tr>
        <w:trPr>
          <w:trHeight w:val="20"/>
        </w:trPr>
        <w:tc>
          <w:tcPr>
            <w:tcW w:w="5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5" w:right="339" w:bottom="1440" w:gutter="0" w:footer="0" w:header="0"/>
        </w:sect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12</w:t>
      </w:r>
    </w:p>
    <w:p>
      <w:pPr>
        <w:sectPr>
          <w:pgSz w:w="11900" w:h="16838" w:orient="portrait"/>
          <w:cols w:equalWidth="0" w:num="1">
            <w:col w:w="11240"/>
          </w:cols>
          <w:pgMar w:left="320" w:top="125" w:right="339" w:bottom="1440" w:gutter="0" w:footer="0" w:header="0"/>
          <w:type w:val="continuous"/>
        </w:sectPr>
      </w:pPr>
    </w:p>
    <w:bookmarkStart w:id="13" w:name="page14"/>
    <w:bookmarkEnd w:id="1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ind w:left="3820"/>
        <w:spacing w:after="0"/>
        <w:rPr>
          <w:sz w:val="20"/>
          <w:szCs w:val="20"/>
          <w:color w:val="auto"/>
        </w:rPr>
      </w:pPr>
      <w:r>
        <w:rPr>
          <w:rFonts w:ascii="Arial" w:cs="Arial" w:eastAsia="Arial" w:hAnsi="Arial"/>
          <w:sz w:val="18"/>
          <w:szCs w:val="18"/>
          <w:b w:val="1"/>
          <w:bCs w:val="1"/>
          <w:color w:val="auto"/>
        </w:rPr>
        <w:t>Matador Resources Company and Subsidiaries</w:t>
      </w:r>
    </w:p>
    <w:p>
      <w:pPr>
        <w:spacing w:after="0" w:line="72" w:lineRule="exact"/>
        <w:rPr>
          <w:sz w:val="20"/>
          <w:szCs w:val="20"/>
          <w:color w:val="auto"/>
        </w:rPr>
      </w:pPr>
    </w:p>
    <w:p>
      <w:pPr>
        <w:ind w:left="2560"/>
        <w:spacing w:after="0"/>
        <w:rPr>
          <w:sz w:val="20"/>
          <w:szCs w:val="20"/>
          <w:color w:val="auto"/>
        </w:rPr>
      </w:pPr>
      <w:r>
        <w:rPr>
          <w:rFonts w:ascii="Arial" w:cs="Arial" w:eastAsia="Arial" w:hAnsi="Arial"/>
          <w:sz w:val="18"/>
          <w:szCs w:val="18"/>
          <w:b w:val="1"/>
          <w:bCs w:val="1"/>
          <w:color w:val="auto"/>
        </w:rPr>
        <w:t>NOTES TO CONDENSED CONSOLIDATED FINANCIAL STATEMENTS —</w:t>
      </w:r>
    </w:p>
    <w:p>
      <w:pPr>
        <w:spacing w:after="0" w:line="27" w:lineRule="exact"/>
        <w:rPr>
          <w:sz w:val="20"/>
          <w:szCs w:val="20"/>
          <w:color w:val="auto"/>
        </w:rPr>
      </w:pPr>
    </w:p>
    <w:p>
      <w:pPr>
        <w:ind w:left="4400"/>
        <w:spacing w:after="0"/>
        <w:rPr>
          <w:sz w:val="20"/>
          <w:szCs w:val="20"/>
          <w:color w:val="auto"/>
        </w:rPr>
      </w:pPr>
      <w:r>
        <w:rPr>
          <w:rFonts w:ascii="Arial" w:cs="Arial" w:eastAsia="Arial" w:hAnsi="Arial"/>
          <w:sz w:val="18"/>
          <w:szCs w:val="18"/>
          <w:b w:val="1"/>
          <w:bCs w:val="1"/>
          <w:color w:val="auto"/>
        </w:rPr>
        <w:t>UNAUDITED — CONTINUED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DERIVATIVE FINANCIAL INSTRUMENTS — Continued</w:t>
      </w:r>
    </w:p>
    <w:p>
      <w:pPr>
        <w:spacing w:after="0" w:line="337" w:lineRule="exact"/>
        <w:rPr>
          <w:sz w:val="20"/>
          <w:szCs w:val="20"/>
          <w:color w:val="auto"/>
        </w:rPr>
      </w:pPr>
    </w:p>
    <w:p>
      <w:pPr>
        <w:ind w:right="440" w:firstLine="405"/>
        <w:spacing w:after="0" w:line="263" w:lineRule="auto"/>
        <w:rPr>
          <w:sz w:val="20"/>
          <w:szCs w:val="20"/>
          <w:color w:val="auto"/>
        </w:rPr>
      </w:pPr>
      <w:r>
        <w:rPr>
          <w:rFonts w:ascii="Arial" w:cs="Arial" w:eastAsia="Arial" w:hAnsi="Arial"/>
          <w:sz w:val="18"/>
          <w:szCs w:val="18"/>
          <w:color w:val="auto"/>
        </w:rPr>
        <w:t>The following table summarizes the location and aggregate gain (loss) of all derivative financial instruments recorded in the interim unaudited condensed consolidated statements of operations for the periods presented (in thousands). These derivative financial instruments are not designated as hedging instruments.</w:t>
      </w:r>
    </w:p>
    <w:p>
      <w:pPr>
        <w:spacing w:after="0" w:line="229" w:lineRule="exact"/>
        <w:rPr>
          <w:sz w:val="20"/>
          <w:szCs w:val="20"/>
          <w:color w:val="auto"/>
        </w:rPr>
      </w:pPr>
    </w:p>
    <w:p>
      <w:pPr>
        <w:ind w:left="9640"/>
        <w:spacing w:after="0"/>
        <w:rPr>
          <w:sz w:val="20"/>
          <w:szCs w:val="20"/>
          <w:color w:val="auto"/>
        </w:rPr>
      </w:pPr>
      <w:r>
        <w:rPr>
          <w:rFonts w:ascii="Arial" w:cs="Arial" w:eastAsia="Arial" w:hAnsi="Arial"/>
          <w:sz w:val="14"/>
          <w:szCs w:val="14"/>
          <w:b w:val="1"/>
          <w:bCs w:val="1"/>
          <w:color w:val="auto"/>
        </w:rPr>
        <w:t>Three Months Ended</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2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740" w:type="dxa"/>
            <w:vAlign w:val="bottom"/>
            <w:tcBorders>
              <w:bottom w:val="single" w:sz="8" w:color="auto"/>
            </w:tcBorders>
            <w:gridSpan w:val="4"/>
          </w:tcPr>
          <w:p>
            <w:pPr>
              <w:jc w:val="right"/>
              <w:ind w:right="512"/>
              <w:spacing w:after="0"/>
              <w:rPr>
                <w:sz w:val="20"/>
                <w:szCs w:val="20"/>
                <w:color w:val="auto"/>
              </w:rPr>
            </w:pPr>
            <w:r>
              <w:rPr>
                <w:rFonts w:ascii="Arial" w:cs="Arial" w:eastAsia="Arial" w:hAnsi="Arial"/>
                <w:sz w:val="14"/>
                <w:szCs w:val="14"/>
                <w:b w:val="1"/>
                <w:bCs w:val="1"/>
                <w:color w:val="auto"/>
              </w:rPr>
              <w:t>March 31,</w:t>
            </w:r>
          </w:p>
        </w:tc>
      </w:tr>
      <w:tr>
        <w:trPr>
          <w:trHeight w:val="257"/>
        </w:trPr>
        <w:tc>
          <w:tcPr>
            <w:tcW w:w="22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Type of Instrument</w:t>
            </w:r>
          </w:p>
        </w:tc>
        <w:tc>
          <w:tcPr>
            <w:tcW w:w="120" w:type="dxa"/>
            <w:vAlign w:val="bottom"/>
            <w:tcBorders>
              <w:bottom w:val="single" w:sz="8" w:color="CCEEFF"/>
            </w:tcBorders>
          </w:tcPr>
          <w:p>
            <w:pPr>
              <w:spacing w:after="0"/>
              <w:rPr>
                <w:sz w:val="22"/>
                <w:szCs w:val="22"/>
                <w:color w:val="auto"/>
              </w:rPr>
            </w:pPr>
          </w:p>
        </w:tc>
        <w:tc>
          <w:tcPr>
            <w:tcW w:w="6860" w:type="dxa"/>
            <w:vAlign w:val="bottom"/>
            <w:tcBorders>
              <w:bottom w:val="single" w:sz="8" w:color="auto"/>
            </w:tcBorders>
          </w:tcPr>
          <w:p>
            <w:pPr>
              <w:ind w:left="1540"/>
              <w:spacing w:after="0"/>
              <w:rPr>
                <w:sz w:val="20"/>
                <w:szCs w:val="20"/>
                <w:color w:val="auto"/>
              </w:rPr>
            </w:pPr>
            <w:r>
              <w:rPr>
                <w:rFonts w:ascii="Arial" w:cs="Arial" w:eastAsia="Arial" w:hAnsi="Arial"/>
                <w:sz w:val="14"/>
                <w:szCs w:val="14"/>
                <w:b w:val="1"/>
                <w:bCs w:val="1"/>
                <w:color w:val="auto"/>
              </w:rPr>
              <w:t>Location in Condensed Consolidated Statement of Operations</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2019</w:t>
            </w:r>
          </w:p>
        </w:tc>
      </w:tr>
      <w:tr>
        <w:trPr>
          <w:trHeight w:val="250"/>
        </w:trPr>
        <w:tc>
          <w:tcPr>
            <w:tcW w:w="23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Derivative Instrument</w:t>
            </w:r>
          </w:p>
        </w:tc>
        <w:tc>
          <w:tcPr>
            <w:tcW w:w="6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r>
      <w:tr>
        <w:trPr>
          <w:trHeight w:val="243"/>
        </w:trPr>
        <w:tc>
          <w:tcPr>
            <w:tcW w:w="2380" w:type="dxa"/>
            <w:vAlign w:val="bottom"/>
            <w:gridSpan w:val="2"/>
          </w:tcPr>
          <w:p>
            <w:pPr>
              <w:ind w:left="380"/>
              <w:spacing w:after="0"/>
              <w:rPr>
                <w:sz w:val="20"/>
                <w:szCs w:val="20"/>
                <w:color w:val="auto"/>
              </w:rPr>
            </w:pPr>
            <w:r>
              <w:rPr>
                <w:rFonts w:ascii="Arial" w:cs="Arial" w:eastAsia="Arial" w:hAnsi="Arial"/>
                <w:sz w:val="18"/>
                <w:szCs w:val="18"/>
                <w:color w:val="auto"/>
              </w:rPr>
              <w:t>Oil</w:t>
            </w:r>
          </w:p>
        </w:tc>
        <w:tc>
          <w:tcPr>
            <w:tcW w:w="6960" w:type="dxa"/>
            <w:vAlign w:val="bottom"/>
            <w:gridSpan w:val="2"/>
          </w:tcPr>
          <w:p>
            <w:pPr>
              <w:ind w:left="40"/>
              <w:spacing w:after="0"/>
              <w:rPr>
                <w:sz w:val="20"/>
                <w:szCs w:val="20"/>
                <w:color w:val="auto"/>
              </w:rPr>
            </w:pPr>
            <w:r>
              <w:rPr>
                <w:rFonts w:ascii="Arial" w:cs="Arial" w:eastAsia="Arial" w:hAnsi="Arial"/>
                <w:sz w:val="18"/>
                <w:szCs w:val="18"/>
                <w:color w:val="auto"/>
              </w:rPr>
              <w:t>Revenues: Realized gain on derivatives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ind w:right="14"/>
              <w:spacing w:after="0"/>
              <w:rPr>
                <w:sz w:val="20"/>
                <w:szCs w:val="20"/>
                <w:color w:val="auto"/>
              </w:rPr>
            </w:pPr>
            <w:r>
              <w:rPr>
                <w:rFonts w:ascii="Arial" w:cs="Arial" w:eastAsia="Arial" w:hAnsi="Arial"/>
                <w:sz w:val="18"/>
                <w:szCs w:val="18"/>
                <w:color w:val="auto"/>
              </w:rPr>
              <w:t>10,867</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ind w:right="12"/>
              <w:spacing w:after="0"/>
              <w:rPr>
                <w:sz w:val="20"/>
                <w:szCs w:val="20"/>
                <w:color w:val="auto"/>
              </w:rPr>
            </w:pPr>
            <w:r>
              <w:rPr>
                <w:rFonts w:ascii="Arial" w:cs="Arial" w:eastAsia="Arial" w:hAnsi="Arial"/>
                <w:sz w:val="18"/>
                <w:szCs w:val="18"/>
                <w:color w:val="auto"/>
              </w:rPr>
              <w:t>3,366</w:t>
            </w:r>
          </w:p>
        </w:tc>
      </w:tr>
      <w:tr>
        <w:trPr>
          <w:trHeight w:val="27"/>
        </w:trPr>
        <w:tc>
          <w:tcPr>
            <w:tcW w:w="2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70"/>
        </w:trPr>
        <w:tc>
          <w:tcPr>
            <w:tcW w:w="238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Natural Gas</w:t>
            </w:r>
          </w:p>
        </w:tc>
        <w:tc>
          <w:tcPr>
            <w:tcW w:w="69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Revenues: Realized loss on derivatives</w:t>
            </w:r>
          </w:p>
        </w:tc>
        <w:tc>
          <w:tcPr>
            <w:tcW w:w="16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w:t>
            </w:r>
          </w:p>
        </w:tc>
      </w:tr>
      <w:tr>
        <w:trPr>
          <w:trHeight w:val="237"/>
        </w:trPr>
        <w:tc>
          <w:tcPr>
            <w:tcW w:w="9340" w:type="dxa"/>
            <w:vAlign w:val="bottom"/>
            <w:gridSpan w:val="4"/>
          </w:tcPr>
          <w:p>
            <w:pPr>
              <w:ind w:left="600"/>
              <w:spacing w:after="0"/>
              <w:rPr>
                <w:sz w:val="20"/>
                <w:szCs w:val="20"/>
                <w:color w:val="auto"/>
              </w:rPr>
            </w:pPr>
            <w:r>
              <w:rPr>
                <w:rFonts w:ascii="Arial" w:cs="Arial" w:eastAsia="Arial" w:hAnsi="Arial"/>
                <w:sz w:val="18"/>
                <w:szCs w:val="18"/>
                <w:color w:val="auto"/>
              </w:rPr>
              <w:t>Realized gain on derivatives</w:t>
            </w:r>
          </w:p>
        </w:tc>
        <w:tc>
          <w:tcPr>
            <w:tcW w:w="16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10,867</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3,270</w:t>
            </w:r>
          </w:p>
        </w:tc>
      </w:tr>
      <w:tr>
        <w:trPr>
          <w:trHeight w:val="27"/>
        </w:trPr>
        <w:tc>
          <w:tcPr>
            <w:tcW w:w="22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8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43"/>
        </w:trPr>
        <w:tc>
          <w:tcPr>
            <w:tcW w:w="238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Oil</w:t>
            </w:r>
          </w:p>
        </w:tc>
        <w:tc>
          <w:tcPr>
            <w:tcW w:w="69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Revenues: Unrealized gain (loss) on derivatives</w:t>
            </w: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w w:val="95"/>
              </w:rPr>
              <w:t>136,430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8"/>
              </w:rPr>
              <w:t>(45,444)</w:t>
            </w:r>
          </w:p>
        </w:tc>
      </w:tr>
      <w:tr>
        <w:trPr>
          <w:trHeight w:val="243"/>
        </w:trPr>
        <w:tc>
          <w:tcPr>
            <w:tcW w:w="2380" w:type="dxa"/>
            <w:vAlign w:val="bottom"/>
            <w:gridSpan w:val="2"/>
          </w:tcPr>
          <w:p>
            <w:pPr>
              <w:ind w:left="380"/>
              <w:spacing w:after="0"/>
              <w:rPr>
                <w:sz w:val="20"/>
                <w:szCs w:val="20"/>
                <w:color w:val="auto"/>
              </w:rPr>
            </w:pPr>
            <w:r>
              <w:rPr>
                <w:rFonts w:ascii="Arial" w:cs="Arial" w:eastAsia="Arial" w:hAnsi="Arial"/>
                <w:sz w:val="18"/>
                <w:szCs w:val="18"/>
                <w:color w:val="auto"/>
              </w:rPr>
              <w:t>Natural Gas</w:t>
            </w:r>
          </w:p>
        </w:tc>
        <w:tc>
          <w:tcPr>
            <w:tcW w:w="6960" w:type="dxa"/>
            <w:vAlign w:val="bottom"/>
            <w:gridSpan w:val="2"/>
          </w:tcPr>
          <w:p>
            <w:pPr>
              <w:ind w:left="40"/>
              <w:spacing w:after="0"/>
              <w:rPr>
                <w:sz w:val="20"/>
                <w:szCs w:val="20"/>
                <w:color w:val="auto"/>
              </w:rPr>
            </w:pPr>
            <w:r>
              <w:rPr>
                <w:rFonts w:ascii="Arial" w:cs="Arial" w:eastAsia="Arial" w:hAnsi="Arial"/>
                <w:sz w:val="18"/>
                <w:szCs w:val="18"/>
                <w:color w:val="auto"/>
              </w:rPr>
              <w:t>Revenues: Unrealized loss on derivatives</w:t>
            </w:r>
          </w:p>
        </w:tc>
        <w:tc>
          <w:tcPr>
            <w:tcW w:w="160" w:type="dxa"/>
            <w:vAlign w:val="bottom"/>
          </w:tcPr>
          <w:p>
            <w:pPr>
              <w:spacing w:after="0"/>
              <w:rPr>
                <w:sz w:val="21"/>
                <w:szCs w:val="21"/>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(275)</w:t>
            </w:r>
          </w:p>
        </w:tc>
      </w:tr>
      <w:tr>
        <w:trPr>
          <w:trHeight w:val="27"/>
        </w:trPr>
        <w:tc>
          <w:tcPr>
            <w:tcW w:w="2260" w:type="dxa"/>
            <w:vAlign w:val="bottom"/>
            <w:tcBorders>
              <w:bottom w:val="single" w:sz="8" w:color="CCEEFF"/>
            </w:tcBorders>
          </w:tcPr>
          <w:p>
            <w:pPr>
              <w:spacing w:after="0"/>
              <w:rPr>
                <w:sz w:val="2"/>
                <w:szCs w:val="2"/>
                <w:color w:val="auto"/>
              </w:rPr>
            </w:pPr>
          </w:p>
        </w:tc>
        <w:tc>
          <w:tcPr>
            <w:tcW w:w="6980" w:type="dxa"/>
            <w:vAlign w:val="bottom"/>
            <w:tcBorders>
              <w:bottom w:val="single" w:sz="8" w:color="CCEEFF"/>
            </w:tcBorders>
            <w:gridSpan w:val="2"/>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64"/>
        </w:trPr>
        <w:tc>
          <w:tcPr>
            <w:tcW w:w="9340" w:type="dxa"/>
            <w:vAlign w:val="bottom"/>
            <w:tcBorders>
              <w:bottom w:val="single" w:sz="8" w:color="CCEEFF"/>
            </w:tcBorders>
            <w:gridSpan w:val="4"/>
            <w:shd w:val="clear" w:color="auto" w:fill="CCEEFF"/>
          </w:tcPr>
          <w:p>
            <w:pPr>
              <w:ind w:left="600"/>
              <w:spacing w:after="0"/>
              <w:rPr>
                <w:sz w:val="20"/>
                <w:szCs w:val="20"/>
                <w:color w:val="auto"/>
              </w:rPr>
            </w:pPr>
            <w:r>
              <w:rPr>
                <w:rFonts w:ascii="Arial" w:cs="Arial" w:eastAsia="Arial" w:hAnsi="Arial"/>
                <w:sz w:val="18"/>
                <w:szCs w:val="18"/>
                <w:color w:val="auto"/>
              </w:rPr>
              <w:t>Unrealized gain (loss) on derivatives</w:t>
            </w:r>
          </w:p>
        </w:tc>
        <w:tc>
          <w:tcPr>
            <w:tcW w:w="16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w w:val="95"/>
              </w:rPr>
              <w:t>136,430</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8"/>
              </w:rPr>
              <w:t>(45,719)</w:t>
            </w:r>
          </w:p>
        </w:tc>
      </w:tr>
      <w:tr>
        <w:trPr>
          <w:trHeight w:val="237"/>
        </w:trPr>
        <w:tc>
          <w:tcPr>
            <w:tcW w:w="2380" w:type="dxa"/>
            <w:vAlign w:val="bottom"/>
            <w:gridSpan w:val="2"/>
          </w:tcPr>
          <w:p>
            <w:pPr>
              <w:ind w:left="1140"/>
              <w:spacing w:after="0"/>
              <w:rPr>
                <w:sz w:val="20"/>
                <w:szCs w:val="20"/>
                <w:color w:val="auto"/>
              </w:rPr>
            </w:pPr>
            <w:r>
              <w:rPr>
                <w:rFonts w:ascii="Arial" w:cs="Arial" w:eastAsia="Arial" w:hAnsi="Arial"/>
                <w:sz w:val="18"/>
                <w:szCs w:val="18"/>
                <w:color w:val="auto"/>
              </w:rPr>
              <w:t>Total</w:t>
            </w:r>
          </w:p>
        </w:tc>
        <w:tc>
          <w:tcPr>
            <w:tcW w:w="6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w w:val="95"/>
              </w:rPr>
              <w:t>147,297</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(42,449)</w:t>
            </w:r>
          </w:p>
        </w:tc>
      </w:tr>
      <w:tr>
        <w:trPr>
          <w:trHeight w:val="27"/>
        </w:trPr>
        <w:tc>
          <w:tcPr>
            <w:tcW w:w="2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0"/>
        </w:trPr>
        <w:tc>
          <w:tcPr>
            <w:tcW w:w="2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jc w:val="both"/>
        <w:ind w:right="460" w:firstLine="405"/>
        <w:spacing w:after="0" w:line="311" w:lineRule="auto"/>
        <w:rPr>
          <w:sz w:val="20"/>
          <w:szCs w:val="20"/>
          <w:color w:val="auto"/>
        </w:rPr>
      </w:pPr>
      <w:r>
        <w:rPr>
          <w:rFonts w:ascii="Arial" w:cs="Arial" w:eastAsia="Arial" w:hAnsi="Arial"/>
          <w:sz w:val="16"/>
          <w:szCs w:val="16"/>
          <w:color w:val="auto"/>
        </w:rPr>
        <w:t>In April 2020, the Company restructured a portion of its oil derivative contracts, increasing its oil volumes hedged during the period from April through December 2020. As part of this restructuring, the Company repurchased the call options on certain existing open costless collars and kept the remaining put options, which represent options to sell at a specific exercise price, exchanged certain existing open costless collars and added swaps.</w:t>
      </w:r>
    </w:p>
    <w:p>
      <w:pPr>
        <w:spacing w:after="0" w:line="41" w:lineRule="exact"/>
        <w:rPr>
          <w:sz w:val="20"/>
          <w:szCs w:val="20"/>
          <w:color w:val="auto"/>
        </w:rPr>
      </w:pPr>
    </w:p>
    <w:p>
      <w:pPr>
        <w:ind w:right="40" w:firstLine="405"/>
        <w:spacing w:after="0" w:line="257" w:lineRule="auto"/>
        <w:rPr>
          <w:sz w:val="20"/>
          <w:szCs w:val="20"/>
          <w:color w:val="auto"/>
        </w:rPr>
      </w:pPr>
      <w:r>
        <w:rPr>
          <w:rFonts w:ascii="Arial" w:cs="Arial" w:eastAsia="Arial" w:hAnsi="Arial"/>
          <w:sz w:val="18"/>
          <w:szCs w:val="18"/>
          <w:color w:val="auto"/>
        </w:rPr>
        <w:t>As a result of this restructuring process, the Company’s open oil derivative contracts for the period from April through December 2020 have changed. The restructuring transactions were executed with the same counterparties and were costless to the Company. As a result, the execution of the restructuring transactions is not expected to have a material impact on the consolidated financial statements of the Company. No changes were made to the Company’s open oil basis swaps from those positions noted above. In April 2020, the Company also entered into oil swaps for 2021 and natural gas collars for late 2020 and early 2021.</w:t>
      </w:r>
    </w:p>
    <w:p>
      <w:pPr>
        <w:spacing w:after="0" w:line="8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is a summary of the Company’s open costless collar contracts for oil and natural gas at April 29, 2020.</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Weighted</w:t>
            </w:r>
          </w:p>
        </w:tc>
        <w:tc>
          <w:tcPr>
            <w:tcW w:w="140" w:type="dxa"/>
            <w:vAlign w:val="bottom"/>
          </w:tcPr>
          <w:p>
            <w:pPr>
              <w:spacing w:after="0"/>
              <w:rPr>
                <w:sz w:val="18"/>
                <w:szCs w:val="18"/>
                <w:color w:val="auto"/>
              </w:rPr>
            </w:pPr>
          </w:p>
        </w:tc>
        <w:tc>
          <w:tcPr>
            <w:tcW w:w="1220" w:type="dxa"/>
            <w:vAlign w:val="bottom"/>
          </w:tcPr>
          <w:p>
            <w:pPr>
              <w:jc w:val="center"/>
              <w:ind w:right="50"/>
              <w:spacing w:after="0"/>
              <w:rPr>
                <w:sz w:val="20"/>
                <w:szCs w:val="20"/>
                <w:color w:val="auto"/>
              </w:rPr>
            </w:pPr>
            <w:r>
              <w:rPr>
                <w:rFonts w:ascii="Arial" w:cs="Arial" w:eastAsia="Arial" w:hAnsi="Arial"/>
                <w:sz w:val="18"/>
                <w:szCs w:val="18"/>
                <w:b w:val="1"/>
                <w:bCs w:val="1"/>
                <w:color w:val="auto"/>
                <w:w w:val="88"/>
              </w:rPr>
              <w:t>Weighted</w:t>
            </w:r>
          </w:p>
        </w:tc>
      </w:tr>
      <w:tr>
        <w:trPr>
          <w:trHeight w:val="216"/>
        </w:trPr>
        <w:tc>
          <w:tcPr>
            <w:tcW w:w="3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8"/>
              </w:rPr>
              <w:t>Average Price</w:t>
            </w:r>
          </w:p>
        </w:tc>
        <w:tc>
          <w:tcPr>
            <w:tcW w:w="140" w:type="dxa"/>
            <w:vAlign w:val="bottom"/>
          </w:tcPr>
          <w:p>
            <w:pPr>
              <w:spacing w:after="0"/>
              <w:rPr>
                <w:sz w:val="18"/>
                <w:szCs w:val="18"/>
                <w:color w:val="auto"/>
              </w:rPr>
            </w:pPr>
          </w:p>
        </w:tc>
        <w:tc>
          <w:tcPr>
            <w:tcW w:w="1220" w:type="dxa"/>
            <w:vAlign w:val="bottom"/>
          </w:tcPr>
          <w:p>
            <w:pPr>
              <w:jc w:val="center"/>
              <w:ind w:right="50"/>
              <w:spacing w:after="0"/>
              <w:rPr>
                <w:sz w:val="20"/>
                <w:szCs w:val="20"/>
                <w:color w:val="auto"/>
              </w:rPr>
            </w:pPr>
            <w:r>
              <w:rPr>
                <w:rFonts w:ascii="Arial" w:cs="Arial" w:eastAsia="Arial" w:hAnsi="Arial"/>
                <w:sz w:val="18"/>
                <w:szCs w:val="18"/>
                <w:b w:val="1"/>
                <w:bCs w:val="1"/>
                <w:color w:val="auto"/>
                <w:w w:val="89"/>
              </w:rPr>
              <w:t>Average Price</w:t>
            </w:r>
          </w:p>
        </w:tc>
      </w:tr>
      <w:tr>
        <w:trPr>
          <w:trHeight w:val="216"/>
        </w:trPr>
        <w:tc>
          <w:tcPr>
            <w:tcW w:w="3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40" w:type="dxa"/>
            <w:vAlign w:val="bottom"/>
            <w:gridSpan w:val="5"/>
          </w:tcPr>
          <w:p>
            <w:pPr>
              <w:jc w:val="center"/>
              <w:ind w:right="100"/>
              <w:spacing w:after="0"/>
              <w:rPr>
                <w:sz w:val="20"/>
                <w:szCs w:val="20"/>
                <w:color w:val="auto"/>
              </w:rPr>
            </w:pPr>
            <w:r>
              <w:rPr>
                <w:rFonts w:ascii="Arial" w:cs="Arial" w:eastAsia="Arial" w:hAnsi="Arial"/>
                <w:sz w:val="18"/>
                <w:szCs w:val="18"/>
                <w:b w:val="1"/>
                <w:bCs w:val="1"/>
                <w:color w:val="auto"/>
                <w:w w:val="92"/>
              </w:rPr>
              <w:t>Notional Quantity (Bbl or</w:t>
            </w:r>
          </w:p>
        </w:tc>
        <w:tc>
          <w:tcPr>
            <w:tcW w:w="1440" w:type="dxa"/>
            <w:vAlign w:val="bottom"/>
            <w:gridSpan w:val="3"/>
          </w:tcPr>
          <w:p>
            <w:pPr>
              <w:jc w:val="center"/>
              <w:ind w:right="160"/>
              <w:spacing w:after="0"/>
              <w:rPr>
                <w:sz w:val="20"/>
                <w:szCs w:val="20"/>
                <w:color w:val="auto"/>
              </w:rPr>
            </w:pPr>
            <w:r>
              <w:rPr>
                <w:rFonts w:ascii="Arial" w:cs="Arial" w:eastAsia="Arial" w:hAnsi="Arial"/>
                <w:sz w:val="18"/>
                <w:szCs w:val="18"/>
                <w:b w:val="1"/>
                <w:bCs w:val="1"/>
                <w:color w:val="auto"/>
                <w:w w:val="94"/>
              </w:rPr>
              <w:t>Floor ($/Bbl or</w:t>
            </w:r>
          </w:p>
        </w:tc>
        <w:tc>
          <w:tcPr>
            <w:tcW w:w="1360" w:type="dxa"/>
            <w:vAlign w:val="bottom"/>
            <w:gridSpan w:val="2"/>
          </w:tcPr>
          <w:p>
            <w:pPr>
              <w:ind w:left="40"/>
              <w:spacing w:after="0"/>
              <w:rPr>
                <w:sz w:val="20"/>
                <w:szCs w:val="20"/>
                <w:color w:val="auto"/>
              </w:rPr>
            </w:pPr>
            <w:r>
              <w:rPr>
                <w:rFonts w:ascii="Arial" w:cs="Arial" w:eastAsia="Arial" w:hAnsi="Arial"/>
                <w:sz w:val="18"/>
                <w:szCs w:val="18"/>
                <w:b w:val="1"/>
                <w:bCs w:val="1"/>
                <w:color w:val="auto"/>
                <w:w w:val="94"/>
              </w:rPr>
              <w:t>Ceiling ($/Bbl or</w:t>
            </w:r>
          </w:p>
        </w:tc>
      </w:tr>
      <w:tr>
        <w:trPr>
          <w:trHeight w:val="234"/>
        </w:trPr>
        <w:tc>
          <w:tcPr>
            <w:tcW w:w="3620" w:type="dxa"/>
            <w:vAlign w:val="bottom"/>
            <w:gridSpan w:val="2"/>
          </w:tcPr>
          <w:p>
            <w:pPr>
              <w:ind w:left="40"/>
              <w:spacing w:after="0"/>
              <w:rPr>
                <w:sz w:val="20"/>
                <w:szCs w:val="20"/>
                <w:color w:val="auto"/>
              </w:rPr>
            </w:pPr>
            <w:r>
              <w:rPr>
                <w:rFonts w:ascii="Arial" w:cs="Arial" w:eastAsia="Arial" w:hAnsi="Arial"/>
                <w:sz w:val="18"/>
                <w:szCs w:val="18"/>
                <w:b w:val="1"/>
                <w:bCs w:val="1"/>
                <w:color w:val="auto"/>
              </w:rPr>
              <w:t>Commodity</w:t>
            </w:r>
          </w:p>
        </w:tc>
        <w:tc>
          <w:tcPr>
            <w:tcW w:w="2580" w:type="dxa"/>
            <w:vAlign w:val="bottom"/>
            <w:gridSpan w:val="4"/>
          </w:tcPr>
          <w:p>
            <w:pPr>
              <w:jc w:val="center"/>
              <w:ind w:right="100"/>
              <w:spacing w:after="0"/>
              <w:rPr>
                <w:sz w:val="20"/>
                <w:szCs w:val="20"/>
                <w:color w:val="auto"/>
              </w:rPr>
            </w:pPr>
            <w:r>
              <w:rPr>
                <w:rFonts w:ascii="Arial" w:cs="Arial" w:eastAsia="Arial" w:hAnsi="Arial"/>
                <w:sz w:val="18"/>
                <w:szCs w:val="18"/>
                <w:b w:val="1"/>
                <w:bCs w:val="1"/>
                <w:color w:val="auto"/>
                <w:w w:val="91"/>
              </w:rPr>
              <w:t>Calculation Period</w:t>
            </w:r>
          </w:p>
        </w:tc>
        <w:tc>
          <w:tcPr>
            <w:tcW w:w="2240" w:type="dxa"/>
            <w:vAlign w:val="bottom"/>
            <w:gridSpan w:val="5"/>
          </w:tcPr>
          <w:p>
            <w:pPr>
              <w:jc w:val="center"/>
              <w:ind w:right="120"/>
              <w:spacing w:after="0"/>
              <w:rPr>
                <w:sz w:val="20"/>
                <w:szCs w:val="20"/>
                <w:color w:val="auto"/>
              </w:rPr>
            </w:pPr>
            <w:r>
              <w:rPr>
                <w:rFonts w:ascii="Arial" w:cs="Arial" w:eastAsia="Arial" w:hAnsi="Arial"/>
                <w:sz w:val="18"/>
                <w:szCs w:val="18"/>
                <w:b w:val="1"/>
                <w:bCs w:val="1"/>
                <w:color w:val="auto"/>
              </w:rPr>
              <w:t>MMBtu)</w:t>
            </w:r>
          </w:p>
        </w:tc>
        <w:tc>
          <w:tcPr>
            <w:tcW w:w="120" w:type="dxa"/>
            <w:vAlign w:val="bottom"/>
          </w:tcPr>
          <w:p>
            <w:pPr>
              <w:spacing w:after="0"/>
              <w:rPr>
                <w:sz w:val="20"/>
                <w:szCs w:val="20"/>
                <w:color w:val="auto"/>
              </w:rPr>
            </w:pPr>
          </w:p>
        </w:tc>
        <w:tc>
          <w:tcPr>
            <w:tcW w:w="13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rPr>
              <w:t>$/MMBtu)</w:t>
            </w:r>
          </w:p>
        </w:tc>
        <w:tc>
          <w:tcPr>
            <w:tcW w:w="140" w:type="dxa"/>
            <w:vAlign w:val="bottom"/>
          </w:tcPr>
          <w:p>
            <w:pPr>
              <w:spacing w:after="0"/>
              <w:rPr>
                <w:sz w:val="20"/>
                <w:szCs w:val="20"/>
                <w:color w:val="auto"/>
              </w:rPr>
            </w:pPr>
          </w:p>
        </w:tc>
        <w:tc>
          <w:tcPr>
            <w:tcW w:w="1220" w:type="dxa"/>
            <w:vAlign w:val="bottom"/>
          </w:tcPr>
          <w:p>
            <w:pPr>
              <w:jc w:val="center"/>
              <w:ind w:right="30"/>
              <w:spacing w:after="0"/>
              <w:rPr>
                <w:sz w:val="20"/>
                <w:szCs w:val="20"/>
                <w:color w:val="auto"/>
              </w:rPr>
            </w:pPr>
            <w:r>
              <w:rPr>
                <w:rFonts w:ascii="Arial" w:cs="Arial" w:eastAsia="Arial" w:hAnsi="Arial"/>
                <w:sz w:val="18"/>
                <w:szCs w:val="18"/>
                <w:b w:val="1"/>
                <w:bCs w:val="1"/>
                <w:color w:val="auto"/>
              </w:rPr>
              <w:t>$/MMBtu)</w:t>
            </w:r>
          </w:p>
        </w:tc>
      </w:tr>
      <w:tr>
        <w:trPr>
          <w:trHeight w:val="27"/>
        </w:trPr>
        <w:tc>
          <w:tcPr>
            <w:tcW w:w="3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3"/>
        </w:trPr>
        <w:tc>
          <w:tcPr>
            <w:tcW w:w="3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Oil</w:t>
            </w:r>
          </w:p>
        </w:tc>
        <w:tc>
          <w:tcPr>
            <w:tcW w:w="2480" w:type="dxa"/>
            <w:vAlign w:val="bottom"/>
            <w:tcBorders>
              <w:bottom w:val="single" w:sz="8" w:color="CCEEFF"/>
            </w:tcBorders>
            <w:gridSpan w:val="3"/>
            <w:shd w:val="clear" w:color="auto" w:fill="CCEEFF"/>
          </w:tcPr>
          <w:p>
            <w:pPr>
              <w:jc w:val="center"/>
              <w:spacing w:after="0"/>
              <w:rPr>
                <w:sz w:val="20"/>
                <w:szCs w:val="20"/>
                <w:color w:val="auto"/>
              </w:rPr>
            </w:pPr>
            <w:r>
              <w:rPr>
                <w:rFonts w:ascii="Arial" w:cs="Arial" w:eastAsia="Arial" w:hAnsi="Arial"/>
                <w:sz w:val="18"/>
                <w:szCs w:val="18"/>
                <w:color w:val="auto"/>
                <w:w w:val="90"/>
              </w:rPr>
              <w:t>04/01/2020 - 12/31/2020</w:t>
            </w:r>
          </w:p>
        </w:tc>
        <w:tc>
          <w:tcPr>
            <w:tcW w:w="1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3"/>
            <w:shd w:val="clear" w:color="auto" w:fill="CCEEFF"/>
          </w:tcPr>
          <w:p>
            <w:pPr>
              <w:jc w:val="right"/>
              <w:ind w:right="10"/>
              <w:spacing w:after="0"/>
              <w:rPr>
                <w:sz w:val="20"/>
                <w:szCs w:val="20"/>
                <w:color w:val="auto"/>
              </w:rPr>
            </w:pPr>
            <w:r>
              <w:rPr>
                <w:rFonts w:ascii="Arial" w:cs="Arial" w:eastAsia="Arial" w:hAnsi="Arial"/>
                <w:sz w:val="18"/>
                <w:szCs w:val="18"/>
                <w:color w:val="auto"/>
                <w:w w:val="89"/>
              </w:rPr>
              <w:t>2,311,500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47.94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66.19</w:t>
            </w:r>
          </w:p>
        </w:tc>
      </w:tr>
      <w:tr>
        <w:trPr>
          <w:trHeight w:val="243"/>
        </w:trPr>
        <w:tc>
          <w:tcPr>
            <w:tcW w:w="3620" w:type="dxa"/>
            <w:vAlign w:val="bottom"/>
            <w:gridSpan w:val="2"/>
          </w:tcPr>
          <w:p>
            <w:pPr>
              <w:ind w:left="40"/>
              <w:spacing w:after="0"/>
              <w:rPr>
                <w:sz w:val="20"/>
                <w:szCs w:val="20"/>
                <w:color w:val="auto"/>
              </w:rPr>
            </w:pPr>
            <w:r>
              <w:rPr>
                <w:rFonts w:ascii="Arial" w:cs="Arial" w:eastAsia="Arial" w:hAnsi="Arial"/>
                <w:sz w:val="18"/>
                <w:szCs w:val="18"/>
                <w:color w:val="auto"/>
              </w:rPr>
              <w:t>Natural Gas</w:t>
            </w:r>
          </w:p>
        </w:tc>
        <w:tc>
          <w:tcPr>
            <w:tcW w:w="2480" w:type="dxa"/>
            <w:vAlign w:val="bottom"/>
            <w:gridSpan w:val="3"/>
          </w:tcPr>
          <w:p>
            <w:pPr>
              <w:jc w:val="center"/>
              <w:spacing w:after="0"/>
              <w:rPr>
                <w:sz w:val="20"/>
                <w:szCs w:val="20"/>
                <w:color w:val="auto"/>
              </w:rPr>
            </w:pPr>
            <w:r>
              <w:rPr>
                <w:rFonts w:ascii="Arial" w:cs="Arial" w:eastAsia="Arial" w:hAnsi="Arial"/>
                <w:sz w:val="18"/>
                <w:szCs w:val="18"/>
                <w:color w:val="auto"/>
                <w:w w:val="90"/>
              </w:rPr>
              <w:t>11/01/2020 - 12/31/2020</w:t>
            </w:r>
          </w:p>
        </w:tc>
        <w:tc>
          <w:tcPr>
            <w:tcW w:w="1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840" w:type="dxa"/>
            <w:vAlign w:val="bottom"/>
            <w:gridSpan w:val="3"/>
          </w:tcPr>
          <w:p>
            <w:pPr>
              <w:jc w:val="right"/>
              <w:ind w:right="10"/>
              <w:spacing w:after="0"/>
              <w:rPr>
                <w:sz w:val="20"/>
                <w:szCs w:val="20"/>
                <w:color w:val="auto"/>
              </w:rPr>
            </w:pPr>
            <w:r>
              <w:rPr>
                <w:rFonts w:ascii="Arial" w:cs="Arial" w:eastAsia="Arial" w:hAnsi="Arial"/>
                <w:sz w:val="18"/>
                <w:szCs w:val="18"/>
                <w:color w:val="auto"/>
                <w:w w:val="89"/>
              </w:rPr>
              <w:t>3,200,000</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2.52</w:t>
            </w:r>
          </w:p>
        </w:tc>
        <w:tc>
          <w:tcPr>
            <w:tcW w:w="100" w:type="dxa"/>
            <w:vAlign w:val="bottom"/>
          </w:tcPr>
          <w:p>
            <w:pPr>
              <w:spacing w:after="0"/>
              <w:rPr>
                <w:sz w:val="21"/>
                <w:szCs w:val="21"/>
                <w:color w:val="auto"/>
              </w:rPr>
            </w:pPr>
          </w:p>
        </w:tc>
        <w:tc>
          <w:tcPr>
            <w:tcW w:w="140" w:type="dxa"/>
            <w:vAlign w:val="bottom"/>
          </w:tcPr>
          <w:p>
            <w:pPr>
              <w:ind w:left="4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3.71</w:t>
            </w:r>
          </w:p>
        </w:tc>
      </w:tr>
      <w:tr>
        <w:trPr>
          <w:trHeight w:val="27"/>
        </w:trPr>
        <w:tc>
          <w:tcPr>
            <w:tcW w:w="3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3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Natural Gas</w:t>
            </w:r>
          </w:p>
        </w:tc>
        <w:tc>
          <w:tcPr>
            <w:tcW w:w="2480" w:type="dxa"/>
            <w:vAlign w:val="bottom"/>
            <w:tcBorders>
              <w:bottom w:val="single" w:sz="8" w:color="CCEEFF"/>
            </w:tcBorders>
            <w:gridSpan w:val="3"/>
            <w:shd w:val="clear" w:color="auto" w:fill="CCEEFF"/>
          </w:tcPr>
          <w:p>
            <w:pPr>
              <w:jc w:val="center"/>
              <w:spacing w:after="0"/>
              <w:rPr>
                <w:sz w:val="20"/>
                <w:szCs w:val="20"/>
                <w:color w:val="auto"/>
              </w:rPr>
            </w:pPr>
            <w:r>
              <w:rPr>
                <w:rFonts w:ascii="Arial" w:cs="Arial" w:eastAsia="Arial" w:hAnsi="Arial"/>
                <w:sz w:val="18"/>
                <w:szCs w:val="18"/>
                <w:color w:val="auto"/>
                <w:w w:val="90"/>
              </w:rPr>
              <w:t>01/01/2021 - 03/31/2021</w:t>
            </w:r>
          </w:p>
        </w:tc>
        <w:tc>
          <w:tcPr>
            <w:tcW w:w="1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3"/>
            <w:shd w:val="clear" w:color="auto" w:fill="CCEEFF"/>
          </w:tcPr>
          <w:p>
            <w:pPr>
              <w:jc w:val="right"/>
              <w:ind w:right="10"/>
              <w:spacing w:after="0"/>
              <w:rPr>
                <w:sz w:val="20"/>
                <w:szCs w:val="20"/>
                <w:color w:val="auto"/>
              </w:rPr>
            </w:pPr>
            <w:r>
              <w:rPr>
                <w:rFonts w:ascii="Arial" w:cs="Arial" w:eastAsia="Arial" w:hAnsi="Arial"/>
                <w:sz w:val="18"/>
                <w:szCs w:val="18"/>
                <w:color w:val="auto"/>
                <w:w w:val="89"/>
              </w:rPr>
              <w:t>4,800,000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3.71</w:t>
            </w:r>
          </w:p>
        </w:tc>
      </w:tr>
      <w:tr>
        <w:trPr>
          <w:trHeight w:val="324"/>
        </w:trPr>
        <w:tc>
          <w:tcPr>
            <w:tcW w:w="7480" w:type="dxa"/>
            <w:vAlign w:val="bottom"/>
            <w:gridSpan w:val="7"/>
          </w:tcPr>
          <w:p>
            <w:pPr>
              <w:ind w:left="420"/>
              <w:spacing w:after="0"/>
              <w:rPr>
                <w:sz w:val="20"/>
                <w:szCs w:val="20"/>
                <w:color w:val="auto"/>
              </w:rPr>
            </w:pPr>
            <w:r>
              <w:rPr>
                <w:rFonts w:ascii="Arial" w:cs="Arial" w:eastAsia="Arial" w:hAnsi="Arial"/>
                <w:sz w:val="18"/>
                <w:szCs w:val="18"/>
                <w:color w:val="auto"/>
                <w:w w:val="97"/>
              </w:rPr>
              <w:t>The following is a summary of the Company’s open swap contracts for oil at April 29, 2020.</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468"/>
        </w:trPr>
        <w:tc>
          <w:tcPr>
            <w:tcW w:w="3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jc w:val="center"/>
              <w:ind w:right="50"/>
              <w:spacing w:after="0"/>
              <w:rPr>
                <w:sz w:val="20"/>
                <w:szCs w:val="20"/>
                <w:color w:val="auto"/>
              </w:rPr>
            </w:pPr>
            <w:r>
              <w:rPr>
                <w:rFonts w:ascii="Arial" w:cs="Arial" w:eastAsia="Arial" w:hAnsi="Arial"/>
                <w:sz w:val="18"/>
                <w:szCs w:val="18"/>
                <w:b w:val="1"/>
                <w:bCs w:val="1"/>
                <w:color w:val="auto"/>
                <w:w w:val="91"/>
              </w:rPr>
              <w:t>Fixed Price</w:t>
            </w:r>
          </w:p>
        </w:tc>
      </w:tr>
      <w:tr>
        <w:trPr>
          <w:trHeight w:val="234"/>
        </w:trPr>
        <w:tc>
          <w:tcPr>
            <w:tcW w:w="3620" w:type="dxa"/>
            <w:vAlign w:val="bottom"/>
            <w:gridSpan w:val="2"/>
          </w:tcPr>
          <w:p>
            <w:pPr>
              <w:ind w:left="40"/>
              <w:spacing w:after="0"/>
              <w:rPr>
                <w:sz w:val="20"/>
                <w:szCs w:val="20"/>
                <w:color w:val="auto"/>
              </w:rPr>
            </w:pPr>
            <w:r>
              <w:rPr>
                <w:rFonts w:ascii="Arial" w:cs="Arial" w:eastAsia="Arial" w:hAnsi="Arial"/>
                <w:sz w:val="18"/>
                <w:szCs w:val="18"/>
                <w:b w:val="1"/>
                <w:bCs w:val="1"/>
                <w:color w:val="auto"/>
              </w:rPr>
              <w:t>Commodity</w:t>
            </w:r>
          </w:p>
        </w:tc>
        <w:tc>
          <w:tcPr>
            <w:tcW w:w="1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0" w:type="dxa"/>
            <w:vAlign w:val="bottom"/>
            <w:gridSpan w:val="3"/>
          </w:tcPr>
          <w:p>
            <w:pPr>
              <w:jc w:val="center"/>
              <w:spacing w:after="0"/>
              <w:rPr>
                <w:sz w:val="20"/>
                <w:szCs w:val="20"/>
                <w:color w:val="auto"/>
              </w:rPr>
            </w:pPr>
            <w:r>
              <w:rPr>
                <w:rFonts w:ascii="Arial" w:cs="Arial" w:eastAsia="Arial" w:hAnsi="Arial"/>
                <w:sz w:val="18"/>
                <w:szCs w:val="18"/>
                <w:b w:val="1"/>
                <w:bCs w:val="1"/>
                <w:color w:val="auto"/>
                <w:w w:val="91"/>
              </w:rPr>
              <w:t>Calculation Period</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20" w:type="dxa"/>
            <w:vAlign w:val="bottom"/>
            <w:gridSpan w:val="5"/>
          </w:tcPr>
          <w:p>
            <w:pPr>
              <w:ind w:left="140"/>
              <w:spacing w:after="0"/>
              <w:rPr>
                <w:sz w:val="20"/>
                <w:szCs w:val="20"/>
                <w:color w:val="auto"/>
              </w:rPr>
            </w:pPr>
            <w:r>
              <w:rPr>
                <w:rFonts w:ascii="Arial" w:cs="Arial" w:eastAsia="Arial" w:hAnsi="Arial"/>
                <w:sz w:val="18"/>
                <w:szCs w:val="18"/>
                <w:b w:val="1"/>
                <w:bCs w:val="1"/>
                <w:color w:val="auto"/>
              </w:rPr>
              <w:t>Notional Quantity (Bbl)</w:t>
            </w:r>
          </w:p>
        </w:tc>
        <w:tc>
          <w:tcPr>
            <w:tcW w:w="140" w:type="dxa"/>
            <w:vAlign w:val="bottom"/>
          </w:tcPr>
          <w:p>
            <w:pPr>
              <w:spacing w:after="0"/>
              <w:rPr>
                <w:sz w:val="20"/>
                <w:szCs w:val="20"/>
                <w:color w:val="auto"/>
              </w:rPr>
            </w:pPr>
          </w:p>
        </w:tc>
        <w:tc>
          <w:tcPr>
            <w:tcW w:w="1220" w:type="dxa"/>
            <w:vAlign w:val="bottom"/>
          </w:tcPr>
          <w:p>
            <w:pPr>
              <w:jc w:val="center"/>
              <w:ind w:right="30"/>
              <w:spacing w:after="0"/>
              <w:rPr>
                <w:sz w:val="20"/>
                <w:szCs w:val="20"/>
                <w:color w:val="auto"/>
              </w:rPr>
            </w:pPr>
            <w:r>
              <w:rPr>
                <w:rFonts w:ascii="Arial" w:cs="Arial" w:eastAsia="Arial" w:hAnsi="Arial"/>
                <w:sz w:val="18"/>
                <w:szCs w:val="18"/>
                <w:b w:val="1"/>
                <w:bCs w:val="1"/>
                <w:color w:val="auto"/>
                <w:w w:val="96"/>
              </w:rPr>
              <w:t>($/Bbl)</w:t>
            </w:r>
          </w:p>
        </w:tc>
      </w:tr>
      <w:tr>
        <w:trPr>
          <w:trHeight w:val="27"/>
        </w:trPr>
        <w:tc>
          <w:tcPr>
            <w:tcW w:w="3620" w:type="dxa"/>
            <w:vAlign w:val="bottom"/>
            <w:tcBorders>
              <w:bottom w:val="single" w:sz="8" w:color="auto"/>
            </w:tcBorders>
            <w:gridSpan w:val="2"/>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0" w:type="dxa"/>
            <w:vAlign w:val="bottom"/>
            <w:tcBorders>
              <w:bottom w:val="single" w:sz="8" w:color="auto"/>
            </w:tcBorders>
            <w:gridSpan w:val="3"/>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3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Oil</w:t>
            </w:r>
          </w:p>
        </w:tc>
        <w:tc>
          <w:tcPr>
            <w:tcW w:w="3860" w:type="dxa"/>
            <w:vAlign w:val="bottom"/>
            <w:tcBorders>
              <w:bottom w:val="single" w:sz="8" w:color="CCEEFF"/>
            </w:tcBorders>
            <w:gridSpan w:val="5"/>
            <w:shd w:val="clear" w:color="auto" w:fill="CCEEFF"/>
          </w:tcPr>
          <w:p>
            <w:pPr>
              <w:jc w:val="center"/>
              <w:ind w:left="1450"/>
              <w:spacing w:after="0"/>
              <w:rPr>
                <w:sz w:val="20"/>
                <w:szCs w:val="20"/>
                <w:color w:val="auto"/>
              </w:rPr>
            </w:pPr>
            <w:r>
              <w:rPr>
                <w:rFonts w:ascii="Arial" w:cs="Arial" w:eastAsia="Arial" w:hAnsi="Arial"/>
                <w:sz w:val="18"/>
                <w:szCs w:val="18"/>
                <w:color w:val="auto"/>
                <w:w w:val="91"/>
              </w:rPr>
              <w:t>04/01/2020 - 12/31/2020</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7,620,000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34.93</w:t>
            </w:r>
          </w:p>
        </w:tc>
      </w:tr>
      <w:tr>
        <w:trPr>
          <w:trHeight w:val="243"/>
        </w:trPr>
        <w:tc>
          <w:tcPr>
            <w:tcW w:w="3620" w:type="dxa"/>
            <w:vAlign w:val="bottom"/>
            <w:gridSpan w:val="2"/>
          </w:tcPr>
          <w:p>
            <w:pPr>
              <w:ind w:left="40"/>
              <w:spacing w:after="0"/>
              <w:rPr>
                <w:sz w:val="20"/>
                <w:szCs w:val="20"/>
                <w:color w:val="auto"/>
              </w:rPr>
            </w:pPr>
            <w:r>
              <w:rPr>
                <w:rFonts w:ascii="Arial" w:cs="Arial" w:eastAsia="Arial" w:hAnsi="Arial"/>
                <w:sz w:val="18"/>
                <w:szCs w:val="18"/>
                <w:color w:val="auto"/>
              </w:rPr>
              <w:t>Oil</w:t>
            </w:r>
          </w:p>
        </w:tc>
        <w:tc>
          <w:tcPr>
            <w:tcW w:w="3860" w:type="dxa"/>
            <w:vAlign w:val="bottom"/>
            <w:gridSpan w:val="5"/>
          </w:tcPr>
          <w:p>
            <w:pPr>
              <w:jc w:val="center"/>
              <w:ind w:left="1450"/>
              <w:spacing w:after="0"/>
              <w:rPr>
                <w:sz w:val="20"/>
                <w:szCs w:val="20"/>
                <w:color w:val="auto"/>
              </w:rPr>
            </w:pPr>
            <w:r>
              <w:rPr>
                <w:rFonts w:ascii="Arial" w:cs="Arial" w:eastAsia="Arial" w:hAnsi="Arial"/>
                <w:sz w:val="18"/>
                <w:szCs w:val="18"/>
                <w:color w:val="auto"/>
                <w:w w:val="91"/>
              </w:rPr>
              <w:t>01/01/2021 - 12/31/2021</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2,040,000</w:t>
            </w:r>
          </w:p>
        </w:tc>
        <w:tc>
          <w:tcPr>
            <w:tcW w:w="100" w:type="dxa"/>
            <w:vAlign w:val="bottom"/>
          </w:tcPr>
          <w:p>
            <w:pPr>
              <w:spacing w:after="0"/>
              <w:rPr>
                <w:sz w:val="21"/>
                <w:szCs w:val="21"/>
                <w:color w:val="auto"/>
              </w:rPr>
            </w:pPr>
          </w:p>
        </w:tc>
        <w:tc>
          <w:tcPr>
            <w:tcW w:w="140" w:type="dxa"/>
            <w:vAlign w:val="bottom"/>
          </w:tcPr>
          <w:p>
            <w:pPr>
              <w:ind w:left="4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35.26</w:t>
            </w:r>
          </w:p>
        </w:tc>
      </w:tr>
      <w:tr>
        <w:trPr>
          <w:trHeight w:val="351"/>
        </w:trPr>
        <w:tc>
          <w:tcPr>
            <w:tcW w:w="7480" w:type="dxa"/>
            <w:vAlign w:val="bottom"/>
            <w:gridSpan w:val="7"/>
          </w:tcPr>
          <w:p>
            <w:pPr>
              <w:ind w:left="420"/>
              <w:spacing w:after="0"/>
              <w:rPr>
                <w:sz w:val="20"/>
                <w:szCs w:val="20"/>
                <w:color w:val="auto"/>
              </w:rPr>
            </w:pPr>
            <w:r>
              <w:rPr>
                <w:rFonts w:ascii="Arial" w:cs="Arial" w:eastAsia="Arial" w:hAnsi="Arial"/>
                <w:sz w:val="18"/>
                <w:szCs w:val="18"/>
                <w:color w:val="auto"/>
                <w:w w:val="92"/>
              </w:rPr>
              <w:t>The following is a summary of the Company’s open put option contracts for oil at April 29, 2020.</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468"/>
        </w:trPr>
        <w:tc>
          <w:tcPr>
            <w:tcW w:w="3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jc w:val="center"/>
              <w:ind w:right="50"/>
              <w:spacing w:after="0"/>
              <w:rPr>
                <w:sz w:val="20"/>
                <w:szCs w:val="20"/>
                <w:color w:val="auto"/>
              </w:rPr>
            </w:pPr>
            <w:r>
              <w:rPr>
                <w:rFonts w:ascii="Arial" w:cs="Arial" w:eastAsia="Arial" w:hAnsi="Arial"/>
                <w:sz w:val="18"/>
                <w:szCs w:val="18"/>
                <w:b w:val="1"/>
                <w:bCs w:val="1"/>
                <w:color w:val="auto"/>
                <w:w w:val="91"/>
              </w:rPr>
              <w:t>Fixed Price</w:t>
            </w:r>
          </w:p>
        </w:tc>
      </w:tr>
      <w:tr>
        <w:trPr>
          <w:trHeight w:val="234"/>
        </w:trPr>
        <w:tc>
          <w:tcPr>
            <w:tcW w:w="3620" w:type="dxa"/>
            <w:vAlign w:val="bottom"/>
            <w:gridSpan w:val="2"/>
          </w:tcPr>
          <w:p>
            <w:pPr>
              <w:ind w:left="40"/>
              <w:spacing w:after="0"/>
              <w:rPr>
                <w:sz w:val="20"/>
                <w:szCs w:val="20"/>
                <w:color w:val="auto"/>
              </w:rPr>
            </w:pPr>
            <w:r>
              <w:rPr>
                <w:rFonts w:ascii="Arial" w:cs="Arial" w:eastAsia="Arial" w:hAnsi="Arial"/>
                <w:sz w:val="18"/>
                <w:szCs w:val="18"/>
                <w:b w:val="1"/>
                <w:bCs w:val="1"/>
                <w:color w:val="auto"/>
              </w:rPr>
              <w:t>Commodity</w:t>
            </w:r>
          </w:p>
        </w:tc>
        <w:tc>
          <w:tcPr>
            <w:tcW w:w="1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0" w:type="dxa"/>
            <w:vAlign w:val="bottom"/>
            <w:gridSpan w:val="3"/>
          </w:tcPr>
          <w:p>
            <w:pPr>
              <w:jc w:val="center"/>
              <w:spacing w:after="0"/>
              <w:rPr>
                <w:sz w:val="20"/>
                <w:szCs w:val="20"/>
                <w:color w:val="auto"/>
              </w:rPr>
            </w:pPr>
            <w:r>
              <w:rPr>
                <w:rFonts w:ascii="Arial" w:cs="Arial" w:eastAsia="Arial" w:hAnsi="Arial"/>
                <w:sz w:val="18"/>
                <w:szCs w:val="18"/>
                <w:b w:val="1"/>
                <w:bCs w:val="1"/>
                <w:color w:val="auto"/>
                <w:w w:val="91"/>
              </w:rPr>
              <w:t>Calculation Period</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20" w:type="dxa"/>
            <w:vAlign w:val="bottom"/>
            <w:gridSpan w:val="5"/>
          </w:tcPr>
          <w:p>
            <w:pPr>
              <w:ind w:left="140"/>
              <w:spacing w:after="0"/>
              <w:rPr>
                <w:sz w:val="20"/>
                <w:szCs w:val="20"/>
                <w:color w:val="auto"/>
              </w:rPr>
            </w:pPr>
            <w:r>
              <w:rPr>
                <w:rFonts w:ascii="Arial" w:cs="Arial" w:eastAsia="Arial" w:hAnsi="Arial"/>
                <w:sz w:val="18"/>
                <w:szCs w:val="18"/>
                <w:b w:val="1"/>
                <w:bCs w:val="1"/>
                <w:color w:val="auto"/>
              </w:rPr>
              <w:t>Notional Quantity (Bbl)</w:t>
            </w:r>
          </w:p>
        </w:tc>
        <w:tc>
          <w:tcPr>
            <w:tcW w:w="140" w:type="dxa"/>
            <w:vAlign w:val="bottom"/>
          </w:tcPr>
          <w:p>
            <w:pPr>
              <w:spacing w:after="0"/>
              <w:rPr>
                <w:sz w:val="20"/>
                <w:szCs w:val="20"/>
                <w:color w:val="auto"/>
              </w:rPr>
            </w:pPr>
          </w:p>
        </w:tc>
        <w:tc>
          <w:tcPr>
            <w:tcW w:w="1220" w:type="dxa"/>
            <w:vAlign w:val="bottom"/>
          </w:tcPr>
          <w:p>
            <w:pPr>
              <w:jc w:val="center"/>
              <w:ind w:right="30"/>
              <w:spacing w:after="0"/>
              <w:rPr>
                <w:sz w:val="20"/>
                <w:szCs w:val="20"/>
                <w:color w:val="auto"/>
              </w:rPr>
            </w:pPr>
            <w:r>
              <w:rPr>
                <w:rFonts w:ascii="Arial" w:cs="Arial" w:eastAsia="Arial" w:hAnsi="Arial"/>
                <w:sz w:val="18"/>
                <w:szCs w:val="18"/>
                <w:b w:val="1"/>
                <w:bCs w:val="1"/>
                <w:color w:val="auto"/>
                <w:w w:val="96"/>
              </w:rPr>
              <w:t>($/Bbl)</w:t>
            </w:r>
          </w:p>
        </w:tc>
      </w:tr>
      <w:tr>
        <w:trPr>
          <w:trHeight w:val="27"/>
        </w:trPr>
        <w:tc>
          <w:tcPr>
            <w:tcW w:w="3620" w:type="dxa"/>
            <w:vAlign w:val="bottom"/>
            <w:tcBorders>
              <w:bottom w:val="single" w:sz="8" w:color="auto"/>
            </w:tcBorders>
            <w:gridSpan w:val="2"/>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0" w:type="dxa"/>
            <w:vAlign w:val="bottom"/>
            <w:tcBorders>
              <w:bottom w:val="single" w:sz="8" w:color="auto"/>
            </w:tcBorders>
            <w:gridSpan w:val="3"/>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6"/>
        </w:trPr>
        <w:tc>
          <w:tcPr>
            <w:tcW w:w="36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Oil</w:t>
            </w:r>
          </w:p>
        </w:tc>
        <w:tc>
          <w:tcPr>
            <w:tcW w:w="3860" w:type="dxa"/>
            <w:vAlign w:val="bottom"/>
            <w:gridSpan w:val="5"/>
            <w:shd w:val="clear" w:color="auto" w:fill="CCEEFF"/>
          </w:tcPr>
          <w:p>
            <w:pPr>
              <w:jc w:val="center"/>
              <w:ind w:left="1450"/>
              <w:spacing w:after="0"/>
              <w:rPr>
                <w:sz w:val="20"/>
                <w:szCs w:val="20"/>
                <w:color w:val="auto"/>
              </w:rPr>
            </w:pPr>
            <w:r>
              <w:rPr>
                <w:rFonts w:ascii="Arial" w:cs="Arial" w:eastAsia="Arial" w:hAnsi="Arial"/>
                <w:sz w:val="18"/>
                <w:szCs w:val="18"/>
                <w:color w:val="auto"/>
                <w:w w:val="91"/>
              </w:rPr>
              <w:t>04/01/2020 - 06/30/2020</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391,500</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ind w:left="4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48.15</w:t>
            </w:r>
          </w:p>
        </w:tc>
      </w:tr>
      <w:tr>
        <w:trPr>
          <w:trHeight w:val="27"/>
        </w:trPr>
        <w:tc>
          <w:tcPr>
            <w:tcW w:w="35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1240"/>
          </w:cols>
          <w:pgMar w:left="320" w:top="125" w:right="339" w:bottom="1440" w:gutter="0" w:footer="0" w:header="0"/>
        </w:sect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13</w:t>
      </w:r>
    </w:p>
    <w:p>
      <w:pPr>
        <w:sectPr>
          <w:pgSz w:w="11900" w:h="16838" w:orient="portrait"/>
          <w:cols w:equalWidth="0" w:num="1">
            <w:col w:w="11240"/>
          </w:cols>
          <w:pgMar w:left="320" w:top="125" w:right="339" w:bottom="1440" w:gutter="0" w:footer="0" w:header="0"/>
          <w:type w:val="continuous"/>
        </w:sectPr>
      </w:pPr>
    </w:p>
    <w:bookmarkStart w:id="14" w:name="page15"/>
    <w:bookmarkEnd w:id="1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ind w:left="3820"/>
        <w:spacing w:after="0"/>
        <w:rPr>
          <w:sz w:val="20"/>
          <w:szCs w:val="20"/>
          <w:color w:val="auto"/>
        </w:rPr>
      </w:pPr>
      <w:r>
        <w:rPr>
          <w:rFonts w:ascii="Arial" w:cs="Arial" w:eastAsia="Arial" w:hAnsi="Arial"/>
          <w:sz w:val="18"/>
          <w:szCs w:val="18"/>
          <w:b w:val="1"/>
          <w:bCs w:val="1"/>
          <w:color w:val="auto"/>
        </w:rPr>
        <w:t>Matador Resources Company and Subsidiaries</w:t>
      </w:r>
    </w:p>
    <w:p>
      <w:pPr>
        <w:spacing w:after="0" w:line="72" w:lineRule="exact"/>
        <w:rPr>
          <w:sz w:val="20"/>
          <w:szCs w:val="20"/>
          <w:color w:val="auto"/>
        </w:rPr>
      </w:pPr>
    </w:p>
    <w:p>
      <w:pPr>
        <w:ind w:left="2560"/>
        <w:spacing w:after="0"/>
        <w:rPr>
          <w:sz w:val="20"/>
          <w:szCs w:val="20"/>
          <w:color w:val="auto"/>
        </w:rPr>
      </w:pPr>
      <w:r>
        <w:rPr>
          <w:rFonts w:ascii="Arial" w:cs="Arial" w:eastAsia="Arial" w:hAnsi="Arial"/>
          <w:sz w:val="18"/>
          <w:szCs w:val="18"/>
          <w:b w:val="1"/>
          <w:bCs w:val="1"/>
          <w:color w:val="auto"/>
        </w:rPr>
        <w:t>NOTES TO CONDENSED CONSOLIDATED FINANCIAL STATEMENTS —</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 CONTINUED</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FAIR VALUE MEASUREMENTS</w:t>
      </w:r>
    </w:p>
    <w:p>
      <w:pPr>
        <w:spacing w:after="0" w:line="121" w:lineRule="exact"/>
        <w:rPr>
          <w:sz w:val="20"/>
          <w:szCs w:val="20"/>
          <w:color w:val="auto"/>
        </w:rPr>
      </w:pPr>
    </w:p>
    <w:p>
      <w:pPr>
        <w:ind w:right="60" w:firstLine="432"/>
        <w:spacing w:after="0" w:line="263" w:lineRule="auto"/>
        <w:rPr>
          <w:sz w:val="20"/>
          <w:szCs w:val="20"/>
          <w:color w:val="auto"/>
        </w:rPr>
      </w:pPr>
      <w:r>
        <w:rPr>
          <w:rFonts w:ascii="Arial" w:cs="Arial" w:eastAsia="Arial" w:hAnsi="Arial"/>
          <w:sz w:val="18"/>
          <w:szCs w:val="18"/>
          <w:color w:val="auto"/>
        </w:rPr>
        <w:t>The Company measures and reports certain financial and non-financial assets and liabilities on a fair value basis. Fair value is the price that would be received to sell an asset or paid to transfer a liability in an orderly transaction between market participants at the measurement date (exit price). Fair value measurements are classified and disclosed in one of the following categories.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Level 1 Unadjusted quoted prices for identical, unrestricted assets or liabilities in active markets.</w:t>
      </w:r>
    </w:p>
    <w:p>
      <w:pPr>
        <w:spacing w:after="0" w:line="117" w:lineRule="exact"/>
        <w:rPr>
          <w:sz w:val="20"/>
          <w:szCs w:val="20"/>
          <w:color w:val="auto"/>
        </w:rPr>
      </w:pPr>
    </w:p>
    <w:p>
      <w:pPr>
        <w:jc w:val="right"/>
        <w:ind w:right="80"/>
        <w:spacing w:after="0" w:line="291" w:lineRule="auto"/>
        <w:rPr>
          <w:sz w:val="20"/>
          <w:szCs w:val="20"/>
          <w:color w:val="auto"/>
        </w:rPr>
      </w:pPr>
      <w:r>
        <w:rPr>
          <w:rFonts w:ascii="Arial" w:cs="Arial" w:eastAsia="Arial" w:hAnsi="Arial"/>
          <w:sz w:val="16"/>
          <w:szCs w:val="16"/>
          <w:color w:val="auto"/>
        </w:rPr>
        <w:t>Level 2 Quoted prices in markets that are not active, or inputs that are observable, either directly or indirectly, for substantially the full term of the asset or liability. This category includes those derivative instruments that are valued with industry standard models that consider various inputs, including:</w:t>
      </w:r>
    </w:p>
    <w:p>
      <w:pPr>
        <w:ind w:left="660" w:right="100" w:hanging="4"/>
        <w:spacing w:after="0" w:line="253" w:lineRule="auto"/>
        <w:tabs>
          <w:tab w:leader="none" w:pos="875" w:val="left"/>
        </w:tabs>
        <w:numPr>
          <w:ilvl w:val="0"/>
          <w:numId w:val="10"/>
        </w:numPr>
        <w:rPr>
          <w:rFonts w:ascii="Arial" w:cs="Arial" w:eastAsia="Arial" w:hAnsi="Arial"/>
          <w:sz w:val="18"/>
          <w:szCs w:val="18"/>
          <w:color w:val="auto"/>
        </w:rPr>
      </w:pPr>
      <w:r>
        <w:rPr>
          <w:rFonts w:ascii="Arial" w:cs="Arial" w:eastAsia="Arial" w:hAnsi="Arial"/>
          <w:sz w:val="18"/>
          <w:szCs w:val="18"/>
          <w:color w:val="auto"/>
        </w:rPr>
        <w:t>quoted forward prices for commodities, (ii) time value of money and (iii) current market and contractual prices for the underlying instruments, as well as other relevant economic measures. Substantially all of these inputs are observable in the marketplace throughout the full term of the derivative instrument and can be derived from observable data or supported by observable levels at which transactions are executed in the marketplace.</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color w:val="auto"/>
        </w:rPr>
        <w:t>Level 3 Unobservable inputs that are not corroborated by market data that reflect a company’s own market assumptions.</w:t>
      </w:r>
    </w:p>
    <w:p>
      <w:pPr>
        <w:spacing w:after="0" w:line="117" w:lineRule="exact"/>
        <w:rPr>
          <w:sz w:val="20"/>
          <w:szCs w:val="20"/>
          <w:color w:val="auto"/>
        </w:rPr>
      </w:pPr>
    </w:p>
    <w:p>
      <w:pPr>
        <w:ind w:right="40" w:firstLine="432"/>
        <w:spacing w:after="0" w:line="263" w:lineRule="auto"/>
        <w:rPr>
          <w:sz w:val="20"/>
          <w:szCs w:val="20"/>
          <w:color w:val="auto"/>
        </w:rPr>
      </w:pPr>
      <w:r>
        <w:rPr>
          <w:rFonts w:ascii="Arial" w:cs="Arial" w:eastAsia="Arial" w:hAnsi="Arial"/>
          <w:sz w:val="18"/>
          <w:szCs w:val="18"/>
          <w:color w:val="auto"/>
        </w:rPr>
        <w:t>Financial and non-financial assets and liabilities are classified based on the lowest level of input that is significant to the fair value measurement. The assessment of the significance of a particular input to the fair value measurement requires judgment, which may affect the valuation of the fair value of assets and liabilities and their placement within the fair value hierarchy levels.</w:t>
      </w:r>
    </w:p>
    <w:p>
      <w:pPr>
        <w:spacing w:after="0" w:line="76" w:lineRule="exact"/>
        <w:rPr>
          <w:sz w:val="20"/>
          <w:szCs w:val="20"/>
          <w:color w:val="auto"/>
        </w:rPr>
      </w:pPr>
    </w:p>
    <w:p>
      <w:pPr>
        <w:ind w:right="320" w:firstLine="432"/>
        <w:spacing w:after="0" w:line="277" w:lineRule="auto"/>
        <w:rPr>
          <w:sz w:val="20"/>
          <w:szCs w:val="20"/>
          <w:color w:val="auto"/>
        </w:rPr>
      </w:pPr>
      <w:r>
        <w:rPr>
          <w:rFonts w:ascii="Arial" w:cs="Arial" w:eastAsia="Arial" w:hAnsi="Arial"/>
          <w:sz w:val="18"/>
          <w:szCs w:val="18"/>
          <w:color w:val="auto"/>
        </w:rPr>
        <w:t>The following tables summarize the valuation of the Company’s financial assets and liabilities that were accounted for at fair value on a recurring basis in accordance with the classifications provided above as of March 31, 2020 and December 31, 2019 (in thousands).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060" w:type="dxa"/>
            <w:vAlign w:val="bottom"/>
            <w:gridSpan w:val="8"/>
          </w:tcPr>
          <w:p>
            <w:pPr>
              <w:jc w:val="center"/>
              <w:ind w:right="750"/>
              <w:spacing w:after="0"/>
              <w:rPr>
                <w:sz w:val="20"/>
                <w:szCs w:val="20"/>
                <w:color w:val="auto"/>
              </w:rPr>
            </w:pPr>
            <w:r>
              <w:rPr>
                <w:rFonts w:ascii="Arial" w:cs="Arial" w:eastAsia="Arial" w:hAnsi="Arial"/>
                <w:sz w:val="18"/>
                <w:szCs w:val="18"/>
                <w:b w:val="1"/>
                <w:bCs w:val="1"/>
                <w:color w:val="auto"/>
                <w:w w:val="91"/>
              </w:rPr>
              <w:t>Fair Value Measurements at</w:t>
            </w:r>
          </w:p>
        </w:tc>
      </w:tr>
      <w:tr>
        <w:trPr>
          <w:trHeight w:val="234"/>
        </w:trPr>
        <w:tc>
          <w:tcPr>
            <w:tcW w:w="7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980" w:type="dxa"/>
            <w:vAlign w:val="bottom"/>
            <w:gridSpan w:val="5"/>
          </w:tcPr>
          <w:p>
            <w:pPr>
              <w:jc w:val="center"/>
              <w:ind w:right="100"/>
              <w:spacing w:after="0"/>
              <w:rPr>
                <w:sz w:val="20"/>
                <w:szCs w:val="20"/>
                <w:color w:val="auto"/>
              </w:rPr>
            </w:pPr>
            <w:r>
              <w:rPr>
                <w:rFonts w:ascii="Arial" w:cs="Arial" w:eastAsia="Arial" w:hAnsi="Arial"/>
                <w:sz w:val="18"/>
                <w:szCs w:val="18"/>
                <w:b w:val="1"/>
                <w:bCs w:val="1"/>
                <w:color w:val="auto"/>
                <w:w w:val="90"/>
              </w:rPr>
              <w:t>March 31, 2020 using</w:t>
            </w:r>
          </w:p>
        </w:tc>
        <w:tc>
          <w:tcPr>
            <w:tcW w:w="900" w:type="dxa"/>
            <w:vAlign w:val="bottom"/>
          </w:tcPr>
          <w:p>
            <w:pPr>
              <w:spacing w:after="0"/>
              <w:rPr>
                <w:sz w:val="20"/>
                <w:szCs w:val="20"/>
                <w:color w:val="auto"/>
              </w:rPr>
            </w:pPr>
          </w:p>
        </w:tc>
      </w:tr>
      <w:tr>
        <w:trPr>
          <w:trHeight w:val="27"/>
        </w:trPr>
        <w:tc>
          <w:tcPr>
            <w:tcW w:w="7320" w:type="dxa"/>
            <w:vAlign w:val="bottom"/>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gridSpan w:val="2"/>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37"/>
        </w:trPr>
        <w:tc>
          <w:tcPr>
            <w:tcW w:w="7320" w:type="dxa"/>
            <w:vAlign w:val="bottom"/>
            <w:gridSpan w:val="2"/>
          </w:tcPr>
          <w:p>
            <w:pPr>
              <w:ind w:left="40"/>
              <w:spacing w:after="0"/>
              <w:rPr>
                <w:sz w:val="20"/>
                <w:szCs w:val="20"/>
                <w:color w:val="auto"/>
              </w:rPr>
            </w:pPr>
            <w:r>
              <w:rPr>
                <w:rFonts w:ascii="Arial" w:cs="Arial" w:eastAsia="Arial" w:hAnsi="Arial"/>
                <w:sz w:val="18"/>
                <w:szCs w:val="18"/>
                <w:b w:val="1"/>
                <w:bCs w:val="1"/>
                <w:color w:val="auto"/>
              </w:rPr>
              <w:t>Description</w:t>
            </w:r>
          </w:p>
        </w:tc>
        <w:tc>
          <w:tcPr>
            <w:tcW w:w="160" w:type="dxa"/>
            <w:vAlign w:val="bottom"/>
          </w:tcPr>
          <w:p>
            <w:pPr>
              <w:spacing w:after="0"/>
              <w:rPr>
                <w:sz w:val="20"/>
                <w:szCs w:val="20"/>
                <w:color w:val="auto"/>
              </w:rPr>
            </w:pPr>
          </w:p>
        </w:tc>
        <w:tc>
          <w:tcPr>
            <w:tcW w:w="700" w:type="dxa"/>
            <w:vAlign w:val="bottom"/>
          </w:tcPr>
          <w:p>
            <w:pPr>
              <w:ind w:left="20"/>
              <w:spacing w:after="0"/>
              <w:rPr>
                <w:sz w:val="20"/>
                <w:szCs w:val="20"/>
                <w:color w:val="auto"/>
              </w:rPr>
            </w:pPr>
            <w:r>
              <w:rPr>
                <w:rFonts w:ascii="Arial" w:cs="Arial" w:eastAsia="Arial" w:hAnsi="Arial"/>
                <w:sz w:val="18"/>
                <w:szCs w:val="18"/>
                <w:b w:val="1"/>
                <w:bCs w:val="1"/>
                <w:color w:val="auto"/>
              </w:rPr>
              <w:t>Level 1</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gridSpan w:val="2"/>
          </w:tcPr>
          <w:p>
            <w:pPr>
              <w:ind w:left="160"/>
              <w:spacing w:after="0"/>
              <w:rPr>
                <w:sz w:val="20"/>
                <w:szCs w:val="20"/>
                <w:color w:val="auto"/>
              </w:rPr>
            </w:pPr>
            <w:r>
              <w:rPr>
                <w:rFonts w:ascii="Arial" w:cs="Arial" w:eastAsia="Arial" w:hAnsi="Arial"/>
                <w:sz w:val="18"/>
                <w:szCs w:val="18"/>
                <w:b w:val="1"/>
                <w:bCs w:val="1"/>
                <w:color w:val="auto"/>
              </w:rPr>
              <w:t>Level 2</w:t>
            </w:r>
          </w:p>
        </w:tc>
        <w:tc>
          <w:tcPr>
            <w:tcW w:w="160" w:type="dxa"/>
            <w:vAlign w:val="bottom"/>
          </w:tcPr>
          <w:p>
            <w:pPr>
              <w:spacing w:after="0"/>
              <w:rPr>
                <w:sz w:val="20"/>
                <w:szCs w:val="20"/>
                <w:color w:val="auto"/>
              </w:rPr>
            </w:pPr>
          </w:p>
        </w:tc>
        <w:tc>
          <w:tcPr>
            <w:tcW w:w="840" w:type="dxa"/>
            <w:vAlign w:val="bottom"/>
            <w:gridSpan w:val="2"/>
          </w:tcPr>
          <w:p>
            <w:pPr>
              <w:ind w:left="20"/>
              <w:spacing w:after="0"/>
              <w:rPr>
                <w:sz w:val="20"/>
                <w:szCs w:val="20"/>
                <w:color w:val="auto"/>
              </w:rPr>
            </w:pPr>
            <w:r>
              <w:rPr>
                <w:rFonts w:ascii="Arial" w:cs="Arial" w:eastAsia="Arial" w:hAnsi="Arial"/>
                <w:sz w:val="18"/>
                <w:szCs w:val="18"/>
                <w:b w:val="1"/>
                <w:bCs w:val="1"/>
                <w:color w:val="auto"/>
              </w:rPr>
              <w:t>Level 3</w:t>
            </w:r>
          </w:p>
        </w:tc>
        <w:tc>
          <w:tcPr>
            <w:tcW w:w="900" w:type="dxa"/>
            <w:vAlign w:val="bottom"/>
          </w:tcPr>
          <w:p>
            <w:pPr>
              <w:jc w:val="right"/>
              <w:ind w:right="150"/>
              <w:spacing w:after="0"/>
              <w:rPr>
                <w:sz w:val="20"/>
                <w:szCs w:val="20"/>
                <w:color w:val="auto"/>
              </w:rPr>
            </w:pPr>
            <w:r>
              <w:rPr>
                <w:rFonts w:ascii="Arial" w:cs="Arial" w:eastAsia="Arial" w:hAnsi="Arial"/>
                <w:sz w:val="18"/>
                <w:szCs w:val="18"/>
                <w:b w:val="1"/>
                <w:bCs w:val="1"/>
                <w:color w:val="auto"/>
              </w:rPr>
              <w:t>Total</w:t>
            </w:r>
          </w:p>
        </w:tc>
      </w:tr>
      <w:tr>
        <w:trPr>
          <w:trHeight w:val="27"/>
        </w:trPr>
        <w:tc>
          <w:tcPr>
            <w:tcW w:w="7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43"/>
        </w:trPr>
        <w:tc>
          <w:tcPr>
            <w:tcW w:w="73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Assets (Liabilities)</w:t>
            </w:r>
          </w:p>
        </w:tc>
        <w:tc>
          <w:tcPr>
            <w:tcW w:w="1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r>
      <w:tr>
        <w:trPr>
          <w:trHeight w:val="243"/>
        </w:trPr>
        <w:tc>
          <w:tcPr>
            <w:tcW w:w="7320" w:type="dxa"/>
            <w:vAlign w:val="bottom"/>
            <w:gridSpan w:val="2"/>
          </w:tcPr>
          <w:p>
            <w:pPr>
              <w:ind w:left="180"/>
              <w:spacing w:after="0"/>
              <w:rPr>
                <w:sz w:val="20"/>
                <w:szCs w:val="20"/>
                <w:color w:val="auto"/>
              </w:rPr>
            </w:pPr>
            <w:r>
              <w:rPr>
                <w:rFonts w:ascii="Arial" w:cs="Arial" w:eastAsia="Arial" w:hAnsi="Arial"/>
                <w:sz w:val="18"/>
                <w:szCs w:val="18"/>
                <w:color w:val="auto"/>
              </w:rPr>
              <w:t>Oil derivatives and basis swaps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Pr>
          <w:p>
            <w:pPr>
              <w:ind w:left="480"/>
              <w:spacing w:after="0"/>
              <w:rPr>
                <w:sz w:val="20"/>
                <w:szCs w:val="20"/>
                <w:color w:val="auto"/>
              </w:rPr>
            </w:pPr>
            <w:r>
              <w:rPr>
                <w:rFonts w:ascii="Arial" w:cs="Arial" w:eastAsia="Arial" w:hAnsi="Arial"/>
                <w:sz w:val="18"/>
                <w:szCs w:val="18"/>
                <w:color w:val="auto"/>
              </w:rPr>
              <w:t>—</w:t>
            </w:r>
          </w:p>
        </w:tc>
        <w:tc>
          <w:tcPr>
            <w:tcW w:w="1060" w:type="dxa"/>
            <w:vAlign w:val="bottom"/>
            <w:gridSpan w:val="3"/>
          </w:tcPr>
          <w:p>
            <w:pPr>
              <w:jc w:val="right"/>
              <w:ind w:right="10"/>
              <w:spacing w:after="0"/>
              <w:rPr>
                <w:sz w:val="20"/>
                <w:szCs w:val="20"/>
                <w:color w:val="auto"/>
              </w:rPr>
            </w:pPr>
            <w:r>
              <w:rPr>
                <w:rFonts w:ascii="Arial" w:cs="Arial" w:eastAsia="Arial" w:hAnsi="Arial"/>
                <w:sz w:val="18"/>
                <w:szCs w:val="18"/>
                <w:color w:val="auto"/>
              </w:rPr>
              <w:t>$ 132,550</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w w:val="97"/>
              </w:rPr>
              <w:t>$ 132,550</w:t>
            </w:r>
          </w:p>
        </w:tc>
      </w:tr>
      <w:tr>
        <w:trPr>
          <w:trHeight w:val="27"/>
        </w:trPr>
        <w:tc>
          <w:tcPr>
            <w:tcW w:w="72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69"/>
        </w:trPr>
        <w:tc>
          <w:tcPr>
            <w:tcW w:w="732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Total</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$ 132,550</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7"/>
              </w:rPr>
              <w:t>$ 132,550</w:t>
            </w:r>
          </w:p>
        </w:tc>
      </w:tr>
      <w:tr>
        <w:trPr>
          <w:trHeight w:val="20"/>
        </w:trPr>
        <w:tc>
          <w:tcPr>
            <w:tcW w:w="7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7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360" w:type="dxa"/>
            <w:vAlign w:val="bottom"/>
            <w:gridSpan w:val="9"/>
          </w:tcPr>
          <w:p>
            <w:pPr>
              <w:jc w:val="center"/>
              <w:ind w:right="50"/>
              <w:spacing w:after="0"/>
              <w:rPr>
                <w:sz w:val="20"/>
                <w:szCs w:val="20"/>
                <w:color w:val="auto"/>
              </w:rPr>
            </w:pPr>
            <w:r>
              <w:rPr>
                <w:rFonts w:ascii="Arial" w:cs="Arial" w:eastAsia="Arial" w:hAnsi="Arial"/>
                <w:sz w:val="18"/>
                <w:szCs w:val="18"/>
                <w:b w:val="1"/>
                <w:bCs w:val="1"/>
                <w:color w:val="auto"/>
                <w:w w:val="91"/>
              </w:rPr>
              <w:t>Fair Value Measurements at</w:t>
            </w:r>
          </w:p>
        </w:tc>
        <w:tc>
          <w:tcPr>
            <w:tcW w:w="700" w:type="dxa"/>
            <w:vAlign w:val="bottom"/>
          </w:tcPr>
          <w:p>
            <w:pPr>
              <w:spacing w:after="0"/>
              <w:rPr>
                <w:sz w:val="18"/>
                <w:szCs w:val="18"/>
                <w:color w:val="auto"/>
              </w:rPr>
            </w:pPr>
          </w:p>
        </w:tc>
      </w:tr>
      <w:tr>
        <w:trPr>
          <w:trHeight w:val="234"/>
        </w:trPr>
        <w:tc>
          <w:tcPr>
            <w:tcW w:w="7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100" w:type="dxa"/>
            <w:vAlign w:val="bottom"/>
            <w:gridSpan w:val="7"/>
          </w:tcPr>
          <w:p>
            <w:pPr>
              <w:jc w:val="center"/>
              <w:spacing w:after="0"/>
              <w:rPr>
                <w:sz w:val="20"/>
                <w:szCs w:val="20"/>
                <w:color w:val="auto"/>
              </w:rPr>
            </w:pPr>
            <w:r>
              <w:rPr>
                <w:rFonts w:ascii="Arial" w:cs="Arial" w:eastAsia="Arial" w:hAnsi="Arial"/>
                <w:sz w:val="18"/>
                <w:szCs w:val="18"/>
                <w:b w:val="1"/>
                <w:bCs w:val="1"/>
                <w:color w:val="auto"/>
                <w:w w:val="88"/>
              </w:rPr>
              <w:t>December 31, 2019 using</w:t>
            </w: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r>
      <w:tr>
        <w:trPr>
          <w:trHeight w:val="27"/>
        </w:trPr>
        <w:tc>
          <w:tcPr>
            <w:tcW w:w="7320" w:type="dxa"/>
            <w:vAlign w:val="bottom"/>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37"/>
        </w:trPr>
        <w:tc>
          <w:tcPr>
            <w:tcW w:w="7320" w:type="dxa"/>
            <w:vAlign w:val="bottom"/>
            <w:gridSpan w:val="2"/>
          </w:tcPr>
          <w:p>
            <w:pPr>
              <w:ind w:left="40"/>
              <w:spacing w:after="0"/>
              <w:rPr>
                <w:sz w:val="20"/>
                <w:szCs w:val="20"/>
                <w:color w:val="auto"/>
              </w:rPr>
            </w:pPr>
            <w:r>
              <w:rPr>
                <w:rFonts w:ascii="Arial" w:cs="Arial" w:eastAsia="Arial" w:hAnsi="Arial"/>
                <w:sz w:val="18"/>
                <w:szCs w:val="18"/>
                <w:b w:val="1"/>
                <w:bCs w:val="1"/>
                <w:color w:val="auto"/>
              </w:rPr>
              <w:t>Description</w:t>
            </w:r>
          </w:p>
        </w:tc>
        <w:tc>
          <w:tcPr>
            <w:tcW w:w="160" w:type="dxa"/>
            <w:vAlign w:val="bottom"/>
          </w:tcPr>
          <w:p>
            <w:pPr>
              <w:spacing w:after="0"/>
              <w:rPr>
                <w:sz w:val="20"/>
                <w:szCs w:val="20"/>
                <w:color w:val="auto"/>
              </w:rPr>
            </w:pPr>
          </w:p>
        </w:tc>
        <w:tc>
          <w:tcPr>
            <w:tcW w:w="700" w:type="dxa"/>
            <w:vAlign w:val="bottom"/>
          </w:tcPr>
          <w:p>
            <w:pPr>
              <w:ind w:left="20"/>
              <w:spacing w:after="0"/>
              <w:rPr>
                <w:sz w:val="20"/>
                <w:szCs w:val="20"/>
                <w:color w:val="auto"/>
              </w:rPr>
            </w:pPr>
            <w:r>
              <w:rPr>
                <w:rFonts w:ascii="Arial" w:cs="Arial" w:eastAsia="Arial" w:hAnsi="Arial"/>
                <w:sz w:val="18"/>
                <w:szCs w:val="18"/>
                <w:b w:val="1"/>
                <w:bCs w:val="1"/>
                <w:color w:val="auto"/>
              </w:rPr>
              <w:t>Level 1</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gridSpan w:val="2"/>
          </w:tcPr>
          <w:p>
            <w:pPr>
              <w:ind w:left="20"/>
              <w:spacing w:after="0"/>
              <w:rPr>
                <w:sz w:val="20"/>
                <w:szCs w:val="20"/>
                <w:color w:val="auto"/>
              </w:rPr>
            </w:pPr>
            <w:r>
              <w:rPr>
                <w:rFonts w:ascii="Arial" w:cs="Arial" w:eastAsia="Arial" w:hAnsi="Arial"/>
                <w:sz w:val="18"/>
                <w:szCs w:val="18"/>
                <w:b w:val="1"/>
                <w:bCs w:val="1"/>
                <w:color w:val="auto"/>
              </w:rPr>
              <w:t>Level 2</w:t>
            </w:r>
          </w:p>
        </w:tc>
        <w:tc>
          <w:tcPr>
            <w:tcW w:w="160" w:type="dxa"/>
            <w:vAlign w:val="bottom"/>
          </w:tcPr>
          <w:p>
            <w:pPr>
              <w:spacing w:after="0"/>
              <w:rPr>
                <w:sz w:val="20"/>
                <w:szCs w:val="20"/>
                <w:color w:val="auto"/>
              </w:rPr>
            </w:pPr>
          </w:p>
        </w:tc>
        <w:tc>
          <w:tcPr>
            <w:tcW w:w="840" w:type="dxa"/>
            <w:vAlign w:val="bottom"/>
            <w:gridSpan w:val="2"/>
          </w:tcPr>
          <w:p>
            <w:pPr>
              <w:ind w:left="20"/>
              <w:spacing w:after="0"/>
              <w:rPr>
                <w:sz w:val="20"/>
                <w:szCs w:val="20"/>
                <w:color w:val="auto"/>
              </w:rPr>
            </w:pPr>
            <w:r>
              <w:rPr>
                <w:rFonts w:ascii="Arial" w:cs="Arial" w:eastAsia="Arial" w:hAnsi="Arial"/>
                <w:sz w:val="18"/>
                <w:szCs w:val="18"/>
                <w:b w:val="1"/>
                <w:bCs w:val="1"/>
                <w:color w:val="auto"/>
              </w:rPr>
              <w:t>Level 3</w:t>
            </w:r>
          </w:p>
        </w:tc>
        <w:tc>
          <w:tcPr>
            <w:tcW w:w="200" w:type="dxa"/>
            <w:vAlign w:val="bottom"/>
          </w:tcPr>
          <w:p>
            <w:pPr>
              <w:spacing w:after="0"/>
              <w:rPr>
                <w:sz w:val="20"/>
                <w:szCs w:val="20"/>
                <w:color w:val="auto"/>
              </w:rPr>
            </w:pPr>
          </w:p>
        </w:tc>
        <w:tc>
          <w:tcPr>
            <w:tcW w:w="700" w:type="dxa"/>
            <w:vAlign w:val="bottom"/>
          </w:tcPr>
          <w:p>
            <w:pPr>
              <w:jc w:val="right"/>
              <w:ind w:right="150"/>
              <w:spacing w:after="0"/>
              <w:rPr>
                <w:sz w:val="20"/>
                <w:szCs w:val="20"/>
                <w:color w:val="auto"/>
              </w:rPr>
            </w:pPr>
            <w:r>
              <w:rPr>
                <w:rFonts w:ascii="Arial" w:cs="Arial" w:eastAsia="Arial" w:hAnsi="Arial"/>
                <w:sz w:val="18"/>
                <w:szCs w:val="18"/>
                <w:b w:val="1"/>
                <w:bCs w:val="1"/>
                <w:color w:val="auto"/>
              </w:rPr>
              <w:t>Total</w:t>
            </w:r>
          </w:p>
        </w:tc>
      </w:tr>
      <w:tr>
        <w:trPr>
          <w:trHeight w:val="27"/>
        </w:trPr>
        <w:tc>
          <w:tcPr>
            <w:tcW w:w="7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44"/>
        </w:trPr>
        <w:tc>
          <w:tcPr>
            <w:tcW w:w="73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Assets (Liabilities)</w:t>
            </w:r>
          </w:p>
        </w:tc>
        <w:tc>
          <w:tcPr>
            <w:tcW w:w="1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r>
      <w:tr>
        <w:trPr>
          <w:trHeight w:val="243"/>
        </w:trPr>
        <w:tc>
          <w:tcPr>
            <w:tcW w:w="7320" w:type="dxa"/>
            <w:vAlign w:val="bottom"/>
            <w:gridSpan w:val="2"/>
          </w:tcPr>
          <w:p>
            <w:pPr>
              <w:ind w:left="180"/>
              <w:spacing w:after="0"/>
              <w:rPr>
                <w:sz w:val="20"/>
                <w:szCs w:val="20"/>
                <w:color w:val="auto"/>
              </w:rPr>
            </w:pPr>
            <w:r>
              <w:rPr>
                <w:rFonts w:ascii="Arial" w:cs="Arial" w:eastAsia="Arial" w:hAnsi="Arial"/>
                <w:sz w:val="18"/>
                <w:szCs w:val="18"/>
                <w:color w:val="auto"/>
              </w:rPr>
              <w:t>Oil derivatives and basis swaps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Pr>
          <w:p>
            <w:pPr>
              <w:ind w:left="480"/>
              <w:spacing w:after="0"/>
              <w:rPr>
                <w:sz w:val="20"/>
                <w:szCs w:val="20"/>
                <w:color w:val="auto"/>
              </w:rPr>
            </w:pPr>
            <w:r>
              <w:rPr>
                <w:rFonts w:ascii="Arial" w:cs="Arial" w:eastAsia="Arial" w:hAnsi="Arial"/>
                <w:sz w:val="18"/>
                <w:szCs w:val="18"/>
                <w:color w:val="auto"/>
              </w:rPr>
              <w:t>—</w:t>
            </w:r>
          </w:p>
        </w:tc>
        <w:tc>
          <w:tcPr>
            <w:tcW w:w="32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(3,881)</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(3,881)</w:t>
            </w:r>
          </w:p>
        </w:tc>
      </w:tr>
      <w:tr>
        <w:trPr>
          <w:trHeight w:val="27"/>
        </w:trPr>
        <w:tc>
          <w:tcPr>
            <w:tcW w:w="72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68"/>
        </w:trPr>
        <w:tc>
          <w:tcPr>
            <w:tcW w:w="732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Total</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(3,881)</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(3,881)</w:t>
            </w:r>
          </w:p>
        </w:tc>
      </w:tr>
      <w:tr>
        <w:trPr>
          <w:trHeight w:val="20"/>
        </w:trPr>
        <w:tc>
          <w:tcPr>
            <w:tcW w:w="7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Additional disclosures related to derivative financial instruments are provided in Note 7.</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Other Fair Value Measurements</w:t>
      </w:r>
    </w:p>
    <w:p>
      <w:pPr>
        <w:spacing w:after="0" w:line="117" w:lineRule="exact"/>
        <w:rPr>
          <w:sz w:val="20"/>
          <w:szCs w:val="20"/>
          <w:color w:val="auto"/>
        </w:rPr>
      </w:pPr>
    </w:p>
    <w:p>
      <w:pPr>
        <w:ind w:right="300" w:firstLine="432"/>
        <w:spacing w:after="0" w:line="311" w:lineRule="auto"/>
        <w:rPr>
          <w:sz w:val="20"/>
          <w:szCs w:val="20"/>
          <w:color w:val="auto"/>
        </w:rPr>
      </w:pPr>
      <w:r>
        <w:rPr>
          <w:rFonts w:ascii="Arial" w:cs="Arial" w:eastAsia="Arial" w:hAnsi="Arial"/>
          <w:sz w:val="16"/>
          <w:szCs w:val="16"/>
          <w:color w:val="auto"/>
        </w:rPr>
        <w:t>At March 31, 2020 and December 31, 2019, the carrying values reported on the interim unaudited condensed consolidated balance sheets for accounts receivable, prepaid expenses and other assets, accounts payable, accrued liabilities, royalties payable, amounts due to affiliates, advances from joint interest owners, amounts due to joint ventures and other current liabilities approximated their fair values due to their short-term maturities.</w:t>
      </w:r>
    </w:p>
    <w:p>
      <w:pPr>
        <w:spacing w:after="0" w:line="41" w:lineRule="exact"/>
        <w:rPr>
          <w:sz w:val="20"/>
          <w:szCs w:val="20"/>
          <w:color w:val="auto"/>
        </w:rPr>
      </w:pPr>
    </w:p>
    <w:p>
      <w:pPr>
        <w:ind w:right="200" w:firstLine="432"/>
        <w:spacing w:after="0" w:line="263" w:lineRule="auto"/>
        <w:rPr>
          <w:sz w:val="20"/>
          <w:szCs w:val="20"/>
          <w:color w:val="auto"/>
        </w:rPr>
      </w:pPr>
      <w:r>
        <w:rPr>
          <w:rFonts w:ascii="Arial" w:cs="Arial" w:eastAsia="Arial" w:hAnsi="Arial"/>
          <w:sz w:val="18"/>
          <w:szCs w:val="18"/>
          <w:color w:val="auto"/>
        </w:rPr>
        <w:t>At March 31, 2020 and December 31, 2019, the carrying value of borrowings under the Credit Agreement and the San Mateo Credit Facility approximated their fair value as both are subject to short-term floating interest rates that reflect market rates available to the Company at the time and are classified at Level 2 in the fair value hierarchy.</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240"/>
          </w:cols>
          <w:pgMar w:left="320" w:top="125" w:right="33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ind w:left="3820"/>
        <w:spacing w:after="0"/>
        <w:rPr>
          <w:sz w:val="20"/>
          <w:szCs w:val="20"/>
          <w:color w:val="auto"/>
        </w:rPr>
      </w:pPr>
      <w:r>
        <w:rPr>
          <w:rFonts w:ascii="Arial" w:cs="Arial" w:eastAsia="Arial" w:hAnsi="Arial"/>
          <w:sz w:val="18"/>
          <w:szCs w:val="18"/>
          <w:b w:val="1"/>
          <w:bCs w:val="1"/>
          <w:color w:val="auto"/>
        </w:rPr>
        <w:t>Matador Resources Company and Subsidiaries</w:t>
      </w:r>
    </w:p>
    <w:p>
      <w:pPr>
        <w:spacing w:after="0" w:line="72" w:lineRule="exact"/>
        <w:rPr>
          <w:sz w:val="20"/>
          <w:szCs w:val="20"/>
          <w:color w:val="auto"/>
        </w:rPr>
      </w:pPr>
    </w:p>
    <w:p>
      <w:pPr>
        <w:ind w:left="2560"/>
        <w:spacing w:after="0"/>
        <w:rPr>
          <w:sz w:val="20"/>
          <w:szCs w:val="20"/>
          <w:color w:val="auto"/>
        </w:rPr>
      </w:pPr>
      <w:r>
        <w:rPr>
          <w:rFonts w:ascii="Arial" w:cs="Arial" w:eastAsia="Arial" w:hAnsi="Arial"/>
          <w:sz w:val="18"/>
          <w:szCs w:val="18"/>
          <w:b w:val="1"/>
          <w:bCs w:val="1"/>
          <w:color w:val="auto"/>
        </w:rPr>
        <w:t>NOTES TO CONDENSED CONSOLIDATED FINANCIAL STATEMENTS —</w:t>
      </w:r>
    </w:p>
    <w:p>
      <w:pPr>
        <w:spacing w:after="0" w:line="27" w:lineRule="exact"/>
        <w:rPr>
          <w:sz w:val="20"/>
          <w:szCs w:val="20"/>
          <w:color w:val="auto"/>
        </w:rPr>
      </w:pPr>
    </w:p>
    <w:p>
      <w:pPr>
        <w:ind w:left="4400"/>
        <w:spacing w:after="0"/>
        <w:rPr>
          <w:sz w:val="20"/>
          <w:szCs w:val="20"/>
          <w:color w:val="auto"/>
        </w:rPr>
      </w:pPr>
      <w:r>
        <w:rPr>
          <w:rFonts w:ascii="Arial" w:cs="Arial" w:eastAsia="Arial" w:hAnsi="Arial"/>
          <w:sz w:val="18"/>
          <w:szCs w:val="18"/>
          <w:b w:val="1"/>
          <w:bCs w:val="1"/>
          <w:color w:val="auto"/>
        </w:rPr>
        <w:t>UNAUDITED — CONTINUED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FAIR VALUE MEASUREMENTS — Continued</w:t>
      </w:r>
    </w:p>
    <w:p>
      <w:pPr>
        <w:spacing w:after="0" w:line="337" w:lineRule="exact"/>
        <w:rPr>
          <w:sz w:val="20"/>
          <w:szCs w:val="20"/>
          <w:color w:val="auto"/>
        </w:rPr>
      </w:pPr>
    </w:p>
    <w:p>
      <w:pPr>
        <w:ind w:right="200" w:firstLine="432"/>
        <w:spacing w:after="0" w:line="308" w:lineRule="auto"/>
        <w:rPr>
          <w:sz w:val="20"/>
          <w:szCs w:val="20"/>
          <w:color w:val="auto"/>
        </w:rPr>
      </w:pPr>
      <w:r>
        <w:rPr>
          <w:rFonts w:ascii="Arial" w:cs="Arial" w:eastAsia="Arial" w:hAnsi="Arial"/>
          <w:sz w:val="17"/>
          <w:szCs w:val="17"/>
          <w:color w:val="auto"/>
        </w:rPr>
        <w:t>At March 31, 2020 and December 31, 2019, the fair value of the Notes was $307.1 million and $1.06 billion, respectively, based on quoted market prices, which represent Level 1 inputs in the fair value hierarchy. At April 29, 2020, the fair value of the Notes was $499.5 million.</w:t>
      </w: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COMMITMENTS AND CONTINGENCIES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Processing, Transportation and Salt Water Disposal Commitments</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Firm Commitments</w:t>
      </w:r>
    </w:p>
    <w:p>
      <w:pPr>
        <w:spacing w:after="0" w:line="117" w:lineRule="exact"/>
        <w:rPr>
          <w:sz w:val="20"/>
          <w:szCs w:val="20"/>
          <w:color w:val="auto"/>
        </w:rPr>
      </w:pPr>
    </w:p>
    <w:p>
      <w:pPr>
        <w:ind w:right="40" w:firstLine="432"/>
        <w:spacing w:after="0" w:line="272" w:lineRule="auto"/>
        <w:rPr>
          <w:sz w:val="20"/>
          <w:szCs w:val="20"/>
          <w:color w:val="auto"/>
        </w:rPr>
      </w:pPr>
      <w:r>
        <w:rPr>
          <w:rFonts w:ascii="Arial" w:cs="Arial" w:eastAsia="Arial" w:hAnsi="Arial"/>
          <w:sz w:val="17"/>
          <w:szCs w:val="17"/>
          <w:color w:val="auto"/>
        </w:rPr>
        <w:t>From time to time, the Company enters into agreements with third parties whereby the Company commits to deliver anticipated natural gas and oil production and salt water from certain portions of its acreage for gathering, transportation, processing, fractionation, sales and, in the case of salt water, disposal. The Company paid approximately $11.0 million and $6.8 million for deliveries under these agreements during the three months ended March 31, 2020 and 2019, respectively. Certain of these agreements contain minimum volume commitments. If the Company does not meet the minimum volume commitments under these agreements, it will be required to pay certain deficiency fees. If the Company ceased operations in the areas subject to these agreements at March 31, 2020, the total deficiencies required to be paid by the Company under these agreements would be approximately $398.1 million, in addition to the commitments described below.</w:t>
      </w:r>
    </w:p>
    <w:p>
      <w:pPr>
        <w:spacing w:after="0" w:line="69"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Future Commitments</w:t>
      </w:r>
    </w:p>
    <w:p>
      <w:pPr>
        <w:spacing w:after="0" w:line="117" w:lineRule="exact"/>
        <w:rPr>
          <w:sz w:val="20"/>
          <w:szCs w:val="20"/>
          <w:color w:val="auto"/>
        </w:rPr>
      </w:pPr>
    </w:p>
    <w:p>
      <w:pPr>
        <w:ind w:right="80" w:firstLine="432"/>
        <w:spacing w:after="0" w:line="269" w:lineRule="auto"/>
        <w:rPr>
          <w:sz w:val="20"/>
          <w:szCs w:val="20"/>
          <w:color w:val="auto"/>
        </w:rPr>
      </w:pPr>
      <w:r>
        <w:rPr>
          <w:rFonts w:ascii="Arial" w:cs="Arial" w:eastAsia="Arial" w:hAnsi="Arial"/>
          <w:sz w:val="17"/>
          <w:szCs w:val="17"/>
          <w:color w:val="auto"/>
        </w:rPr>
        <w:t>In late 2017, the Company entered into a fixed-fee NGL sales agreement whereby the Company committed to deliver its NGL production at the tailgate of the Black River cryogenic natural gas processing plant in Eddy County, New Mexico (the “Black River Processing Plant”) to a certain counterparty. The Company is committed to deliver a minimum amount of NGLs to the counterparty upon construction and completion of a pipeline extension and a fractionation facility by the counterparty, which is currently expected to be completed in 2020. The Company has no rights to compel the counterparty to construct this pipeline extension or fractionation facility. If the counterparty does not construct the pipeline extension and fractionation facility, then the Company would not have any minimum volume commitments under the agreement. If the counterparty constructs the pipeline extension and fractionation facility on or prior to February 28, 2021, then the Company would have a commitment to deliver a minimum amount of NGLs for seven years following the completion of the pipeline extension and fractionation facility. If the Company does not meet its NGL volume commitment in any quarter during the seven-year commitment period, it would be required to pay a deficiency fee per gallon of NGL below the Company’s commitment. Should the pipeline extension and fractionation facility be completed on or prior to February 28, 2021, the minimum contractual obligation during the seven-year period would be approximately $129.2 million.</w:t>
      </w:r>
    </w:p>
    <w:p>
      <w:pPr>
        <w:spacing w:after="0" w:line="74" w:lineRule="exact"/>
        <w:rPr>
          <w:sz w:val="20"/>
          <w:szCs w:val="20"/>
          <w:color w:val="auto"/>
        </w:rPr>
      </w:pPr>
    </w:p>
    <w:p>
      <w:pPr>
        <w:ind w:right="140" w:firstLine="405"/>
        <w:spacing w:after="0" w:line="275" w:lineRule="auto"/>
        <w:rPr>
          <w:sz w:val="20"/>
          <w:szCs w:val="20"/>
          <w:color w:val="auto"/>
        </w:rPr>
      </w:pPr>
      <w:r>
        <w:rPr>
          <w:rFonts w:ascii="Arial" w:cs="Arial" w:eastAsia="Arial" w:hAnsi="Arial"/>
          <w:sz w:val="17"/>
          <w:szCs w:val="17"/>
          <w:color w:val="auto"/>
        </w:rPr>
        <w:t>In October 2019, the Company entered into a 15-year, fixed-fee natural gas transportation agreement whereby the Company committed to deliver a portion of the residue gas production at the tailgate of the Black River Processing Plant to transport through the counterparty’s pipeline. The agreement begins when the counterparty’s pipeline is placed in service, which is anticipated to be the third quarter of 2020. Should the pipeline be placed in service, the Company would owe the fees to transport the committed volume whether or not the committed volume is transported through the counterparty’s pipeline, and the minimum contractual obligation would be approximately $106.9 million.</w:t>
      </w:r>
    </w:p>
    <w:p>
      <w:pPr>
        <w:spacing w:after="0" w:line="68"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Delaware Basin — San Mateo</w:t>
      </w:r>
    </w:p>
    <w:p>
      <w:pPr>
        <w:spacing w:after="0" w:line="117" w:lineRule="exact"/>
        <w:rPr>
          <w:sz w:val="20"/>
          <w:szCs w:val="20"/>
          <w:color w:val="auto"/>
        </w:rPr>
      </w:pPr>
    </w:p>
    <w:p>
      <w:pPr>
        <w:ind w:right="240" w:firstLine="405"/>
        <w:spacing w:after="0" w:line="273" w:lineRule="auto"/>
        <w:rPr>
          <w:sz w:val="20"/>
          <w:szCs w:val="20"/>
          <w:color w:val="auto"/>
        </w:rPr>
      </w:pPr>
      <w:r>
        <w:rPr>
          <w:rFonts w:ascii="Arial" w:cs="Arial" w:eastAsia="Arial" w:hAnsi="Arial"/>
          <w:sz w:val="17"/>
          <w:szCs w:val="17"/>
          <w:color w:val="auto"/>
        </w:rPr>
        <w:t>In February 2017, the Company dedicated its current and future leasehold interests in the Rustler Breaks and Wolf asset areas pursuant to 15-year, fixed-fee natural gas, oil and salt water gathering agreements and salt water disposal agreements with subsidiaries of San Mateo I. In addition, the Company dedicated its current and future leasehold interests in the Rustler Breaks asset area pursuant to a 15-year, fixed-fee natural gas processing agreement (collectively with the gathering and salt water disposal agreements, the “Operational Agreements”). San Mateo I provides the Company with firm service under each of the Operational Agreements in exchange for certain minimum volume commitments. The remaining minimum contractual obligation under the Operational Agreements at March 31, 2020 was approximately $150.7 million.</w:t>
      </w:r>
    </w:p>
    <w:p>
      <w:pPr>
        <w:spacing w:after="0" w:line="70" w:lineRule="exact"/>
        <w:rPr>
          <w:sz w:val="20"/>
          <w:szCs w:val="20"/>
          <w:color w:val="auto"/>
        </w:rPr>
      </w:pPr>
    </w:p>
    <w:p>
      <w:pPr>
        <w:ind w:firstLine="405"/>
        <w:spacing w:after="0" w:line="275" w:lineRule="auto"/>
        <w:rPr>
          <w:sz w:val="20"/>
          <w:szCs w:val="20"/>
          <w:color w:val="auto"/>
        </w:rPr>
      </w:pPr>
      <w:r>
        <w:rPr>
          <w:rFonts w:ascii="Arial" w:cs="Arial" w:eastAsia="Arial" w:hAnsi="Arial"/>
          <w:sz w:val="17"/>
          <w:szCs w:val="17"/>
          <w:color w:val="auto"/>
        </w:rPr>
        <w:t>In connection with the February 2019 formation of San Mateo II, the Company dedicated to San Mateo II acreage in the Greater Stebbins Area and the Stateline asset area pursuant to 15-year, fixed-fee agreements for oil, natural gas and salt water gathering, natural gas processing and salt water disposal (collectively, the “San Mateo II Operational Agreements”). San Mateo II will provide the Company with firm service under each of the San Mateo II Operational Agreements in exchange for certain minimum volume commitments. The remaining minimum contractual obligation under the San Mateo II Operational Agreements at March 31, 2020 was approximately $361.1 million.</w:t>
      </w:r>
    </w:p>
    <w:p>
      <w:pPr>
        <w:spacing w:after="0" w:line="17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180"/>
          </w:cols>
          <w:pgMar w:left="320" w:top="125" w:right="39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ind w:left="3820"/>
        <w:spacing w:after="0"/>
        <w:rPr>
          <w:sz w:val="20"/>
          <w:szCs w:val="20"/>
          <w:color w:val="auto"/>
        </w:rPr>
      </w:pPr>
      <w:r>
        <w:rPr>
          <w:rFonts w:ascii="Arial" w:cs="Arial" w:eastAsia="Arial" w:hAnsi="Arial"/>
          <w:sz w:val="18"/>
          <w:szCs w:val="18"/>
          <w:b w:val="1"/>
          <w:bCs w:val="1"/>
          <w:color w:val="auto"/>
        </w:rPr>
        <w:t>Matador Resources Company and Subsidiaries</w:t>
      </w:r>
    </w:p>
    <w:p>
      <w:pPr>
        <w:spacing w:after="0" w:line="72" w:lineRule="exact"/>
        <w:rPr>
          <w:sz w:val="20"/>
          <w:szCs w:val="20"/>
          <w:color w:val="auto"/>
        </w:rPr>
      </w:pPr>
    </w:p>
    <w:p>
      <w:pPr>
        <w:ind w:left="2560"/>
        <w:spacing w:after="0"/>
        <w:rPr>
          <w:sz w:val="20"/>
          <w:szCs w:val="20"/>
          <w:color w:val="auto"/>
        </w:rPr>
      </w:pPr>
      <w:r>
        <w:rPr>
          <w:rFonts w:ascii="Arial" w:cs="Arial" w:eastAsia="Arial" w:hAnsi="Arial"/>
          <w:sz w:val="18"/>
          <w:szCs w:val="18"/>
          <w:b w:val="1"/>
          <w:bCs w:val="1"/>
          <w:color w:val="auto"/>
        </w:rPr>
        <w:t>NOTES TO CONDENSED CONSOLIDATED FINANCIAL STATEMENTS —</w:t>
      </w:r>
    </w:p>
    <w:p>
      <w:pPr>
        <w:spacing w:after="0" w:line="27" w:lineRule="exact"/>
        <w:rPr>
          <w:sz w:val="20"/>
          <w:szCs w:val="20"/>
          <w:color w:val="auto"/>
        </w:rPr>
      </w:pPr>
    </w:p>
    <w:p>
      <w:pPr>
        <w:ind w:left="4400"/>
        <w:spacing w:after="0"/>
        <w:rPr>
          <w:sz w:val="20"/>
          <w:szCs w:val="20"/>
          <w:color w:val="auto"/>
        </w:rPr>
      </w:pPr>
      <w:r>
        <w:rPr>
          <w:rFonts w:ascii="Arial" w:cs="Arial" w:eastAsia="Arial" w:hAnsi="Arial"/>
          <w:sz w:val="18"/>
          <w:szCs w:val="18"/>
          <w:b w:val="1"/>
          <w:bCs w:val="1"/>
          <w:color w:val="auto"/>
        </w:rPr>
        <w:t>UNAUDITED — CONTINUED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COMMITMENTS AND CONTINGENCIES — Continued</w:t>
      </w:r>
    </w:p>
    <w:p>
      <w:pPr>
        <w:spacing w:after="0" w:line="337" w:lineRule="exact"/>
        <w:rPr>
          <w:sz w:val="20"/>
          <w:szCs w:val="20"/>
          <w:color w:val="auto"/>
        </w:rPr>
      </w:pPr>
    </w:p>
    <w:p>
      <w:pPr>
        <w:ind w:right="20" w:firstLine="432"/>
        <w:spacing w:after="0" w:line="257" w:lineRule="auto"/>
        <w:rPr>
          <w:sz w:val="20"/>
          <w:szCs w:val="20"/>
          <w:color w:val="auto"/>
        </w:rPr>
      </w:pPr>
      <w:r>
        <w:rPr>
          <w:rFonts w:ascii="Arial" w:cs="Arial" w:eastAsia="Arial" w:hAnsi="Arial"/>
          <w:sz w:val="18"/>
          <w:szCs w:val="18"/>
          <w:color w:val="auto"/>
        </w:rPr>
        <w:t>In June 2019, a subsidiary of San Mateo II entered into an agreement with third parties for the engineering, procurement, construction and installation of an expansion of the Black River Processing Plant, including required compression. The expansion is expected to be placed in service in 2020. San Mateo II’s total commitments under this agreement are $80.6 million. San Mateo II paid approximately $21.1 million under this agreement during the three months ended March 31, 2020. As of March 31, 2020, the remaining obligations of San Mateo II under this agreement were $19.4 million, which are expected to be paid within the next 12 months.</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Legal Proceedings</w:t>
      </w:r>
    </w:p>
    <w:p>
      <w:pPr>
        <w:spacing w:after="0" w:line="117" w:lineRule="exact"/>
        <w:rPr>
          <w:sz w:val="20"/>
          <w:szCs w:val="20"/>
          <w:color w:val="auto"/>
        </w:rPr>
      </w:pPr>
    </w:p>
    <w:p>
      <w:pPr>
        <w:ind w:firstLine="432"/>
        <w:spacing w:after="0" w:line="263" w:lineRule="auto"/>
        <w:rPr>
          <w:sz w:val="20"/>
          <w:szCs w:val="20"/>
          <w:color w:val="auto"/>
        </w:rPr>
      </w:pPr>
      <w:r>
        <w:rPr>
          <w:rFonts w:ascii="Arial" w:cs="Arial" w:eastAsia="Arial" w:hAnsi="Arial"/>
          <w:sz w:val="18"/>
          <w:szCs w:val="18"/>
          <w:color w:val="auto"/>
        </w:rPr>
        <w:t>The Company is a party to several legal proceedings encountered in the ordinary course of its business. While the ultimate outcome and impact on the Company cannot be predicted with certainty, in the opinion of management, it is remote that these legal proceedings will have a material adverse impact on the Company’s financial condition, results of operations or cash flows.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 SUPPLEMENTAL DISCLOSURES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Accrued Liabilities</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summarizes the Company’s current accrued liabilities at March 31, 2020 and December 31, 2019 (in thousands).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ind w:left="80"/>
              <w:spacing w:after="0"/>
              <w:rPr>
                <w:sz w:val="20"/>
                <w:szCs w:val="20"/>
                <w:color w:val="auto"/>
              </w:rPr>
            </w:pPr>
            <w:r>
              <w:rPr>
                <w:rFonts w:ascii="Arial" w:cs="Arial" w:eastAsia="Arial" w:hAnsi="Arial"/>
                <w:sz w:val="18"/>
                <w:szCs w:val="18"/>
                <w:b w:val="1"/>
                <w:bCs w:val="1"/>
                <w:color w:val="auto"/>
              </w:rPr>
              <w:t>March 31,</w:t>
            </w:r>
          </w:p>
        </w:tc>
        <w:tc>
          <w:tcPr>
            <w:tcW w:w="160" w:type="dxa"/>
            <w:vAlign w:val="bottom"/>
          </w:tcPr>
          <w:p>
            <w:pPr>
              <w:spacing w:after="0"/>
              <w:rPr>
                <w:sz w:val="18"/>
                <w:szCs w:val="18"/>
                <w:color w:val="auto"/>
              </w:rPr>
            </w:pPr>
          </w:p>
        </w:tc>
        <w:tc>
          <w:tcPr>
            <w:tcW w:w="1300" w:type="dxa"/>
            <w:vAlign w:val="bottom"/>
          </w:tcPr>
          <w:p>
            <w:pPr>
              <w:jc w:val="right"/>
              <w:ind w:right="130"/>
              <w:spacing w:after="0"/>
              <w:rPr>
                <w:sz w:val="20"/>
                <w:szCs w:val="20"/>
                <w:color w:val="auto"/>
              </w:rPr>
            </w:pPr>
            <w:r>
              <w:rPr>
                <w:rFonts w:ascii="Arial" w:cs="Arial" w:eastAsia="Arial" w:hAnsi="Arial"/>
                <w:sz w:val="18"/>
                <w:szCs w:val="18"/>
                <w:b w:val="1"/>
                <w:bCs w:val="1"/>
                <w:color w:val="auto"/>
                <w:w w:val="90"/>
              </w:rPr>
              <w:t>December 31,</w:t>
            </w:r>
          </w:p>
        </w:tc>
      </w:tr>
      <w:tr>
        <w:trPr>
          <w:trHeight w:val="234"/>
        </w:trPr>
        <w:tc>
          <w:tcPr>
            <w:tcW w:w="8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jc w:val="right"/>
              <w:ind w:right="47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jc w:val="right"/>
              <w:ind w:right="450"/>
              <w:spacing w:after="0"/>
              <w:rPr>
                <w:sz w:val="20"/>
                <w:szCs w:val="20"/>
                <w:color w:val="auto"/>
              </w:rPr>
            </w:pPr>
            <w:r>
              <w:rPr>
                <w:rFonts w:ascii="Arial" w:cs="Arial" w:eastAsia="Arial" w:hAnsi="Arial"/>
                <w:sz w:val="18"/>
                <w:szCs w:val="18"/>
                <w:b w:val="1"/>
                <w:bCs w:val="1"/>
                <w:color w:val="auto"/>
              </w:rPr>
              <w:t>2019</w:t>
            </w:r>
          </w:p>
        </w:tc>
      </w:tr>
      <w:tr>
        <w:trPr>
          <w:trHeight w:val="27"/>
        </w:trPr>
        <w:tc>
          <w:tcPr>
            <w:tcW w:w="82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3"/>
        </w:trPr>
        <w:tc>
          <w:tcPr>
            <w:tcW w:w="8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Accrued evaluated and unproved and unevaluated property costs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107,173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72,376</w:t>
            </w:r>
          </w:p>
        </w:tc>
      </w:tr>
      <w:tr>
        <w:trPr>
          <w:trHeight w:val="243"/>
        </w:trPr>
        <w:tc>
          <w:tcPr>
            <w:tcW w:w="8220" w:type="dxa"/>
            <w:vAlign w:val="bottom"/>
          </w:tcPr>
          <w:p>
            <w:pPr>
              <w:ind w:left="40"/>
              <w:spacing w:after="0"/>
              <w:rPr>
                <w:sz w:val="20"/>
                <w:szCs w:val="20"/>
                <w:color w:val="auto"/>
              </w:rPr>
            </w:pPr>
            <w:r>
              <w:rPr>
                <w:rFonts w:ascii="Arial" w:cs="Arial" w:eastAsia="Arial" w:hAnsi="Arial"/>
                <w:sz w:val="18"/>
                <w:szCs w:val="18"/>
                <w:color w:val="auto"/>
              </w:rPr>
              <w:t>Accrued midstream properties costs</w:t>
            </w:r>
          </w:p>
        </w:tc>
        <w:tc>
          <w:tcPr>
            <w:tcW w:w="22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40,781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46,402</w:t>
            </w:r>
          </w:p>
        </w:tc>
      </w:tr>
      <w:tr>
        <w:trPr>
          <w:trHeight w:val="27"/>
        </w:trPr>
        <w:tc>
          <w:tcPr>
            <w:tcW w:w="8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Accrued lease operating expenses</w:t>
            </w: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20,849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18,223</w:t>
            </w:r>
          </w:p>
        </w:tc>
      </w:tr>
      <w:tr>
        <w:trPr>
          <w:trHeight w:val="243"/>
        </w:trPr>
        <w:tc>
          <w:tcPr>
            <w:tcW w:w="8220" w:type="dxa"/>
            <w:vAlign w:val="bottom"/>
          </w:tcPr>
          <w:p>
            <w:pPr>
              <w:ind w:left="40"/>
              <w:spacing w:after="0"/>
              <w:rPr>
                <w:sz w:val="20"/>
                <w:szCs w:val="20"/>
                <w:color w:val="auto"/>
              </w:rPr>
            </w:pPr>
            <w:r>
              <w:rPr>
                <w:rFonts w:ascii="Arial" w:cs="Arial" w:eastAsia="Arial" w:hAnsi="Arial"/>
                <w:sz w:val="18"/>
                <w:szCs w:val="18"/>
                <w:color w:val="auto"/>
              </w:rPr>
              <w:t>Accrued interest on debt</w:t>
            </w:r>
          </w:p>
        </w:tc>
        <w:tc>
          <w:tcPr>
            <w:tcW w:w="22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2,861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18,569</w:t>
            </w:r>
          </w:p>
        </w:tc>
      </w:tr>
      <w:tr>
        <w:trPr>
          <w:trHeight w:val="27"/>
        </w:trPr>
        <w:tc>
          <w:tcPr>
            <w:tcW w:w="8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Accrued asset retirement obligations</w:t>
            </w: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515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619</w:t>
            </w:r>
          </w:p>
        </w:tc>
      </w:tr>
      <w:tr>
        <w:trPr>
          <w:trHeight w:val="243"/>
        </w:trPr>
        <w:tc>
          <w:tcPr>
            <w:tcW w:w="8220" w:type="dxa"/>
            <w:vAlign w:val="bottom"/>
          </w:tcPr>
          <w:p>
            <w:pPr>
              <w:ind w:left="40"/>
              <w:spacing w:after="0"/>
              <w:rPr>
                <w:sz w:val="20"/>
                <w:szCs w:val="20"/>
                <w:color w:val="auto"/>
              </w:rPr>
            </w:pPr>
            <w:r>
              <w:rPr>
                <w:rFonts w:ascii="Arial" w:cs="Arial" w:eastAsia="Arial" w:hAnsi="Arial"/>
                <w:sz w:val="18"/>
                <w:szCs w:val="18"/>
                <w:color w:val="auto"/>
              </w:rPr>
              <w:t>Accrued partners’ share of joint interest charges</w:t>
            </w:r>
          </w:p>
        </w:tc>
        <w:tc>
          <w:tcPr>
            <w:tcW w:w="22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18,202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14,322</w:t>
            </w:r>
          </w:p>
        </w:tc>
      </w:tr>
      <w:tr>
        <w:trPr>
          <w:trHeight w:val="27"/>
        </w:trPr>
        <w:tc>
          <w:tcPr>
            <w:tcW w:w="8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Accrued payable related to purchased natural gas</w:t>
            </w: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1,770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17,806</w:t>
            </w:r>
          </w:p>
        </w:tc>
      </w:tr>
      <w:tr>
        <w:trPr>
          <w:trHeight w:val="243"/>
        </w:trPr>
        <w:tc>
          <w:tcPr>
            <w:tcW w:w="8220" w:type="dxa"/>
            <w:vAlign w:val="bottom"/>
          </w:tcPr>
          <w:p>
            <w:pPr>
              <w:ind w:left="40"/>
              <w:spacing w:after="0"/>
              <w:rPr>
                <w:sz w:val="20"/>
                <w:szCs w:val="20"/>
                <w:color w:val="auto"/>
              </w:rPr>
            </w:pPr>
            <w:r>
              <w:rPr>
                <w:rFonts w:ascii="Arial" w:cs="Arial" w:eastAsia="Arial" w:hAnsi="Arial"/>
                <w:sz w:val="18"/>
                <w:szCs w:val="18"/>
                <w:color w:val="auto"/>
              </w:rPr>
              <w:t>Other</w:t>
            </w:r>
          </w:p>
        </w:tc>
        <w:tc>
          <w:tcPr>
            <w:tcW w:w="22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5,154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12,378</w:t>
            </w:r>
          </w:p>
        </w:tc>
      </w:tr>
      <w:tr>
        <w:trPr>
          <w:trHeight w:val="27"/>
        </w:trPr>
        <w:tc>
          <w:tcPr>
            <w:tcW w:w="82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68"/>
        </w:trPr>
        <w:tc>
          <w:tcPr>
            <w:tcW w:w="822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8"/>
                <w:szCs w:val="18"/>
                <w:color w:val="auto"/>
              </w:rPr>
              <w:t>Total accrued liabilities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197,305</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200,695</w:t>
            </w:r>
          </w:p>
        </w:tc>
      </w:tr>
      <w:tr>
        <w:trPr>
          <w:trHeight w:val="20"/>
        </w:trPr>
        <w:tc>
          <w:tcPr>
            <w:tcW w:w="8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Supplemental Cash Flow Information</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following table provides supplemental disclosures of cash flow information for the three months ended March 31, 2020 and 2019 (in thousands).</w:t>
      </w:r>
    </w:p>
    <w:p>
      <w:pPr>
        <w:spacing w:after="0" w:line="190" w:lineRule="exact"/>
        <w:rPr>
          <w:sz w:val="20"/>
          <w:szCs w:val="20"/>
          <w:color w:val="auto"/>
        </w:rPr>
      </w:pPr>
    </w:p>
    <w:p>
      <w:pPr>
        <w:ind w:left="8900"/>
        <w:spacing w:after="0"/>
        <w:rPr>
          <w:sz w:val="20"/>
          <w:szCs w:val="20"/>
          <w:color w:val="auto"/>
        </w:rPr>
      </w:pPr>
      <w:r>
        <w:rPr>
          <w:rFonts w:ascii="Arial" w:cs="Arial" w:eastAsia="Arial" w:hAnsi="Arial"/>
          <w:sz w:val="18"/>
          <w:szCs w:val="18"/>
          <w:b w:val="1"/>
          <w:bCs w:val="1"/>
          <w:color w:val="auto"/>
        </w:rPr>
        <w:t>Three Months Ended</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5480" w:type="dxa"/>
            <w:vAlign w:val="bottom"/>
          </w:tcPr>
          <w:p>
            <w:pPr>
              <w:spacing w:after="0"/>
              <w:rPr>
                <w:sz w:val="20"/>
                <w:szCs w:val="20"/>
                <w:color w:val="auto"/>
              </w:rPr>
            </w:pPr>
          </w:p>
        </w:tc>
        <w:tc>
          <w:tcPr>
            <w:tcW w:w="274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March 31,</w:t>
            </w:r>
          </w:p>
        </w:tc>
        <w:tc>
          <w:tcPr>
            <w:tcW w:w="1000" w:type="dxa"/>
            <w:vAlign w:val="bottom"/>
            <w:tcBorders>
              <w:bottom w:val="single" w:sz="8" w:color="auto"/>
            </w:tcBorders>
          </w:tcPr>
          <w:p>
            <w:pPr>
              <w:spacing w:after="0"/>
              <w:rPr>
                <w:sz w:val="20"/>
                <w:szCs w:val="20"/>
                <w:color w:val="auto"/>
              </w:rPr>
            </w:pPr>
          </w:p>
        </w:tc>
      </w:tr>
      <w:tr>
        <w:trPr>
          <w:trHeight w:val="241"/>
        </w:trPr>
        <w:tc>
          <w:tcPr>
            <w:tcW w:w="5480" w:type="dxa"/>
            <w:vAlign w:val="bottom"/>
          </w:tcPr>
          <w:p>
            <w:pPr>
              <w:spacing w:after="0"/>
              <w:rPr>
                <w:sz w:val="20"/>
                <w:szCs w:val="20"/>
                <w:color w:val="auto"/>
              </w:rPr>
            </w:pPr>
          </w:p>
        </w:tc>
        <w:tc>
          <w:tcPr>
            <w:tcW w:w="27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0" w:type="dxa"/>
            <w:vAlign w:val="bottom"/>
          </w:tcPr>
          <w:p>
            <w:pPr>
              <w:jc w:val="right"/>
              <w:ind w:right="450"/>
              <w:spacing w:after="0"/>
              <w:rPr>
                <w:sz w:val="20"/>
                <w:szCs w:val="20"/>
                <w:color w:val="auto"/>
              </w:rPr>
            </w:pPr>
            <w:r>
              <w:rPr>
                <w:rFonts w:ascii="Arial" w:cs="Arial" w:eastAsia="Arial" w:hAnsi="Arial"/>
                <w:sz w:val="18"/>
                <w:szCs w:val="18"/>
                <w:b w:val="1"/>
                <w:bCs w:val="1"/>
                <w:color w:val="auto"/>
              </w:rPr>
              <w:t>2019</w:t>
            </w:r>
          </w:p>
        </w:tc>
      </w:tr>
      <w:tr>
        <w:trPr>
          <w:trHeight w:val="27"/>
        </w:trPr>
        <w:tc>
          <w:tcPr>
            <w:tcW w:w="5480" w:type="dxa"/>
            <w:vAlign w:val="bottom"/>
            <w:tcBorders>
              <w:bottom w:val="single" w:sz="8" w:color="CCEEFF"/>
            </w:tcBorders>
          </w:tcPr>
          <w:p>
            <w:pPr>
              <w:spacing w:after="0"/>
              <w:rPr>
                <w:sz w:val="2"/>
                <w:szCs w:val="2"/>
                <w:color w:val="auto"/>
              </w:rPr>
            </w:pPr>
          </w:p>
        </w:tc>
        <w:tc>
          <w:tcPr>
            <w:tcW w:w="27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44"/>
        </w:trPr>
        <w:tc>
          <w:tcPr>
            <w:tcW w:w="5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paid for interest expense, net of amounts capitalized</w:t>
            </w:r>
          </w:p>
        </w:tc>
        <w:tc>
          <w:tcPr>
            <w:tcW w:w="30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35,461</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35,326</w:t>
            </w:r>
          </w:p>
        </w:tc>
      </w:tr>
      <w:tr>
        <w:trPr>
          <w:trHeight w:val="243"/>
        </w:trPr>
        <w:tc>
          <w:tcPr>
            <w:tcW w:w="5480" w:type="dxa"/>
            <w:vAlign w:val="bottom"/>
          </w:tcPr>
          <w:p>
            <w:pPr>
              <w:ind w:left="40"/>
              <w:spacing w:after="0"/>
              <w:rPr>
                <w:sz w:val="20"/>
                <w:szCs w:val="20"/>
                <w:color w:val="auto"/>
              </w:rPr>
            </w:pPr>
            <w:r>
              <w:rPr>
                <w:rFonts w:ascii="Arial" w:cs="Arial" w:eastAsia="Arial" w:hAnsi="Arial"/>
                <w:sz w:val="18"/>
                <w:szCs w:val="18"/>
                <w:color w:val="auto"/>
                <w:w w:val="99"/>
              </w:rPr>
              <w:t>Increase in asset retirement obligations related to mineral properties</w:t>
            </w:r>
          </w:p>
        </w:tc>
        <w:tc>
          <w:tcPr>
            <w:tcW w:w="3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738</w:t>
            </w:r>
          </w:p>
        </w:tc>
        <w:tc>
          <w:tcPr>
            <w:tcW w:w="100" w:type="dxa"/>
            <w:vAlign w:val="bottom"/>
          </w:tcPr>
          <w:p>
            <w:pPr>
              <w:spacing w:after="0"/>
              <w:rPr>
                <w:sz w:val="21"/>
                <w:szCs w:val="21"/>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445</w:t>
            </w:r>
          </w:p>
        </w:tc>
      </w:tr>
      <w:tr>
        <w:trPr>
          <w:trHeight w:val="27"/>
        </w:trPr>
        <w:tc>
          <w:tcPr>
            <w:tcW w:w="5480" w:type="dxa"/>
            <w:vAlign w:val="bottom"/>
          </w:tcPr>
          <w:p>
            <w:pPr>
              <w:spacing w:after="0"/>
              <w:rPr>
                <w:sz w:val="2"/>
                <w:szCs w:val="2"/>
                <w:color w:val="auto"/>
              </w:rPr>
            </w:pPr>
          </w:p>
        </w:tc>
        <w:tc>
          <w:tcPr>
            <w:tcW w:w="27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5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5"/>
              </w:rPr>
              <w:t>Increase in asset retirement obligations related to midstream properties</w:t>
            </w:r>
          </w:p>
        </w:tc>
        <w:tc>
          <w:tcPr>
            <w:tcW w:w="30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213</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5480" w:type="dxa"/>
            <w:vAlign w:val="bottom"/>
          </w:tcPr>
          <w:p>
            <w:pPr>
              <w:ind w:left="40"/>
              <w:spacing w:after="0"/>
              <w:rPr>
                <w:sz w:val="20"/>
                <w:szCs w:val="20"/>
                <w:color w:val="auto"/>
              </w:rPr>
            </w:pPr>
            <w:r>
              <w:rPr>
                <w:rFonts w:ascii="Arial" w:cs="Arial" w:eastAsia="Arial" w:hAnsi="Arial"/>
                <w:sz w:val="18"/>
                <w:szCs w:val="18"/>
                <w:color w:val="auto"/>
                <w:w w:val="91"/>
              </w:rPr>
              <w:t>Increase in liabilities for oil and natural gas properties capital expenditures</w:t>
            </w:r>
          </w:p>
        </w:tc>
        <w:tc>
          <w:tcPr>
            <w:tcW w:w="3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34,602</w:t>
            </w:r>
          </w:p>
        </w:tc>
        <w:tc>
          <w:tcPr>
            <w:tcW w:w="100" w:type="dxa"/>
            <w:vAlign w:val="bottom"/>
          </w:tcPr>
          <w:p>
            <w:pPr>
              <w:spacing w:after="0"/>
              <w:rPr>
                <w:sz w:val="21"/>
                <w:szCs w:val="21"/>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16,184</w:t>
            </w:r>
          </w:p>
        </w:tc>
      </w:tr>
      <w:tr>
        <w:trPr>
          <w:trHeight w:val="27"/>
        </w:trPr>
        <w:tc>
          <w:tcPr>
            <w:tcW w:w="5480" w:type="dxa"/>
            <w:vAlign w:val="bottom"/>
          </w:tcPr>
          <w:p>
            <w:pPr>
              <w:spacing w:after="0"/>
              <w:rPr>
                <w:sz w:val="2"/>
                <w:szCs w:val="2"/>
                <w:color w:val="auto"/>
              </w:rPr>
            </w:pPr>
          </w:p>
        </w:tc>
        <w:tc>
          <w:tcPr>
            <w:tcW w:w="27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5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Decrease in liabilities for midstream properties capital expenditures</w:t>
            </w:r>
          </w:p>
        </w:tc>
        <w:tc>
          <w:tcPr>
            <w:tcW w:w="30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(5,579)</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(3,908)</w:t>
            </w:r>
          </w:p>
        </w:tc>
      </w:tr>
      <w:tr>
        <w:trPr>
          <w:trHeight w:val="243"/>
        </w:trPr>
        <w:tc>
          <w:tcPr>
            <w:tcW w:w="5480" w:type="dxa"/>
            <w:vAlign w:val="bottom"/>
          </w:tcPr>
          <w:p>
            <w:pPr>
              <w:ind w:left="40"/>
              <w:spacing w:after="0"/>
              <w:rPr>
                <w:sz w:val="20"/>
                <w:szCs w:val="20"/>
                <w:color w:val="auto"/>
              </w:rPr>
            </w:pPr>
            <w:r>
              <w:rPr>
                <w:rFonts w:ascii="Arial" w:cs="Arial" w:eastAsia="Arial" w:hAnsi="Arial"/>
                <w:sz w:val="18"/>
                <w:szCs w:val="18"/>
                <w:color w:val="auto"/>
              </w:rPr>
              <w:t>Stock-based compensation (benefit) expense recognized as liability</w:t>
            </w:r>
          </w:p>
        </w:tc>
        <w:tc>
          <w:tcPr>
            <w:tcW w:w="3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(1,411)</w:t>
            </w:r>
          </w:p>
        </w:tc>
        <w:tc>
          <w:tcPr>
            <w:tcW w:w="100" w:type="dxa"/>
            <w:vAlign w:val="bottom"/>
          </w:tcPr>
          <w:p>
            <w:pPr>
              <w:spacing w:after="0"/>
              <w:rPr>
                <w:sz w:val="21"/>
                <w:szCs w:val="21"/>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605</w:t>
            </w:r>
          </w:p>
        </w:tc>
      </w:tr>
      <w:tr>
        <w:trPr>
          <w:trHeight w:val="27"/>
        </w:trPr>
        <w:tc>
          <w:tcPr>
            <w:tcW w:w="5480" w:type="dxa"/>
            <w:vAlign w:val="bottom"/>
          </w:tcPr>
          <w:p>
            <w:pPr>
              <w:spacing w:after="0"/>
              <w:rPr>
                <w:sz w:val="2"/>
                <w:szCs w:val="2"/>
                <w:color w:val="auto"/>
              </w:rPr>
            </w:pPr>
          </w:p>
        </w:tc>
        <w:tc>
          <w:tcPr>
            <w:tcW w:w="27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5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Transfer of inventory from oil and natural gas properties</w:t>
            </w:r>
          </w:p>
        </w:tc>
        <w:tc>
          <w:tcPr>
            <w:tcW w:w="30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401</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250</w:t>
            </w:r>
          </w:p>
        </w:tc>
      </w:tr>
      <w:tr>
        <w:trPr>
          <w:trHeight w:val="432"/>
        </w:trPr>
        <w:tc>
          <w:tcPr>
            <w:tcW w:w="5480" w:type="dxa"/>
            <w:vAlign w:val="bottom"/>
          </w:tcPr>
          <w:p>
            <w:pPr>
              <w:spacing w:after="0"/>
              <w:rPr>
                <w:sz w:val="24"/>
                <w:szCs w:val="24"/>
                <w:color w:val="auto"/>
              </w:rPr>
            </w:pPr>
          </w:p>
        </w:tc>
        <w:tc>
          <w:tcPr>
            <w:tcW w:w="2740" w:type="dxa"/>
            <w:vAlign w:val="bottom"/>
          </w:tcPr>
          <w:p>
            <w:pPr>
              <w:jc w:val="right"/>
              <w:ind w:right="2410"/>
              <w:spacing w:after="0"/>
              <w:rPr>
                <w:sz w:val="20"/>
                <w:szCs w:val="20"/>
                <w:color w:val="auto"/>
              </w:rPr>
            </w:pPr>
            <w:r>
              <w:rPr>
                <w:rFonts w:ascii="Arial" w:cs="Arial" w:eastAsia="Arial" w:hAnsi="Arial"/>
                <w:sz w:val="18"/>
                <w:szCs w:val="18"/>
                <w:color w:val="auto"/>
              </w:rPr>
              <w:t>16</w:t>
            </w: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0" w:type="dxa"/>
            <w:vAlign w:val="bottom"/>
          </w:tcPr>
          <w:p>
            <w:pPr>
              <w:spacing w:after="0"/>
              <w:rPr>
                <w:sz w:val="24"/>
                <w:szCs w:val="24"/>
                <w:color w:val="auto"/>
              </w:rPr>
            </w:pPr>
          </w:p>
        </w:tc>
      </w:tr>
    </w:tbl>
    <w:p>
      <w:pPr>
        <w:sectPr>
          <w:pgSz w:w="11900" w:h="16838" w:orient="portrait"/>
          <w:cols w:equalWidth="0" w:num="1">
            <w:col w:w="11240"/>
          </w:cols>
          <w:pgMar w:left="320" w:top="125" w:right="33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ind w:left="3820"/>
        <w:spacing w:after="0"/>
        <w:rPr>
          <w:sz w:val="20"/>
          <w:szCs w:val="20"/>
          <w:color w:val="auto"/>
        </w:rPr>
      </w:pPr>
      <w:r>
        <w:rPr>
          <w:rFonts w:ascii="Arial" w:cs="Arial" w:eastAsia="Arial" w:hAnsi="Arial"/>
          <w:sz w:val="18"/>
          <w:szCs w:val="18"/>
          <w:b w:val="1"/>
          <w:bCs w:val="1"/>
          <w:color w:val="auto"/>
        </w:rPr>
        <w:t>Matador Resources Company and Subsidiaries</w:t>
      </w:r>
    </w:p>
    <w:p>
      <w:pPr>
        <w:spacing w:after="0" w:line="72" w:lineRule="exact"/>
        <w:rPr>
          <w:sz w:val="20"/>
          <w:szCs w:val="20"/>
          <w:color w:val="auto"/>
        </w:rPr>
      </w:pPr>
    </w:p>
    <w:p>
      <w:pPr>
        <w:ind w:left="2560"/>
        <w:spacing w:after="0"/>
        <w:rPr>
          <w:sz w:val="20"/>
          <w:szCs w:val="20"/>
          <w:color w:val="auto"/>
        </w:rPr>
      </w:pPr>
      <w:r>
        <w:rPr>
          <w:rFonts w:ascii="Arial" w:cs="Arial" w:eastAsia="Arial" w:hAnsi="Arial"/>
          <w:sz w:val="18"/>
          <w:szCs w:val="18"/>
          <w:b w:val="1"/>
          <w:bCs w:val="1"/>
          <w:color w:val="auto"/>
        </w:rPr>
        <w:t>NOTES TO CONDENSED CONSOLIDATED FINANCIAL STATEMENTS —</w:t>
      </w:r>
    </w:p>
    <w:p>
      <w:pPr>
        <w:spacing w:after="0" w:line="27" w:lineRule="exact"/>
        <w:rPr>
          <w:sz w:val="20"/>
          <w:szCs w:val="20"/>
          <w:color w:val="auto"/>
        </w:rPr>
      </w:pPr>
    </w:p>
    <w:p>
      <w:pPr>
        <w:ind w:left="4400"/>
        <w:spacing w:after="0"/>
        <w:rPr>
          <w:sz w:val="20"/>
          <w:szCs w:val="20"/>
          <w:color w:val="auto"/>
        </w:rPr>
      </w:pPr>
      <w:r>
        <w:rPr>
          <w:rFonts w:ascii="Arial" w:cs="Arial" w:eastAsia="Arial" w:hAnsi="Arial"/>
          <w:sz w:val="18"/>
          <w:szCs w:val="18"/>
          <w:b w:val="1"/>
          <w:bCs w:val="1"/>
          <w:color w:val="auto"/>
        </w:rPr>
        <w:t>UNAUDITED — CONTINUED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 SUPPLEMENTAL DISCLOSURES — Continued</w:t>
      </w:r>
    </w:p>
    <w:p>
      <w:pPr>
        <w:spacing w:after="0" w:line="337" w:lineRule="exact"/>
        <w:rPr>
          <w:sz w:val="20"/>
          <w:szCs w:val="20"/>
          <w:color w:val="auto"/>
        </w:rPr>
      </w:pPr>
    </w:p>
    <w:p>
      <w:pPr>
        <w:ind w:right="140" w:firstLine="432"/>
        <w:spacing w:after="0" w:line="308" w:lineRule="auto"/>
        <w:rPr>
          <w:sz w:val="20"/>
          <w:szCs w:val="20"/>
          <w:color w:val="auto"/>
        </w:rPr>
      </w:pPr>
      <w:r>
        <w:rPr>
          <w:rFonts w:ascii="Arial" w:cs="Arial" w:eastAsia="Arial" w:hAnsi="Arial"/>
          <w:sz w:val="17"/>
          <w:szCs w:val="17"/>
          <w:color w:val="auto"/>
        </w:rPr>
        <w:t>The following table provides a reconciliation of cash and restricted cash recorded in the interim unaudited condensed consolidated balance sheets to cash and restricted cash as presented on the interim unaudited condensed consolidated statements of cash flows (in thousands).</w:t>
      </w:r>
    </w:p>
    <w:p>
      <w:pPr>
        <w:spacing w:after="0" w:line="88" w:lineRule="exact"/>
        <w:rPr>
          <w:sz w:val="20"/>
          <w:szCs w:val="20"/>
          <w:color w:val="auto"/>
        </w:rPr>
      </w:pPr>
    </w:p>
    <w:p>
      <w:pPr>
        <w:ind w:left="8900"/>
        <w:spacing w:after="0"/>
        <w:rPr>
          <w:sz w:val="20"/>
          <w:szCs w:val="20"/>
          <w:color w:val="auto"/>
        </w:rPr>
      </w:pPr>
      <w:r>
        <w:rPr>
          <w:rFonts w:ascii="Arial" w:cs="Arial" w:eastAsia="Arial" w:hAnsi="Arial"/>
          <w:sz w:val="18"/>
          <w:szCs w:val="18"/>
          <w:b w:val="1"/>
          <w:bCs w:val="1"/>
          <w:color w:val="auto"/>
        </w:rPr>
        <w:t>Three Months Ended</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82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March 31,</w:t>
            </w:r>
          </w:p>
        </w:tc>
        <w:tc>
          <w:tcPr>
            <w:tcW w:w="1000" w:type="dxa"/>
            <w:vAlign w:val="bottom"/>
            <w:tcBorders>
              <w:bottom w:val="single" w:sz="8" w:color="auto"/>
            </w:tcBorders>
          </w:tcPr>
          <w:p>
            <w:pPr>
              <w:spacing w:after="0"/>
              <w:rPr>
                <w:sz w:val="20"/>
                <w:szCs w:val="20"/>
                <w:color w:val="auto"/>
              </w:rPr>
            </w:pPr>
          </w:p>
        </w:tc>
      </w:tr>
      <w:tr>
        <w:trPr>
          <w:trHeight w:val="241"/>
        </w:trPr>
        <w:tc>
          <w:tcPr>
            <w:tcW w:w="8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0" w:type="dxa"/>
            <w:vAlign w:val="bottom"/>
          </w:tcPr>
          <w:p>
            <w:pPr>
              <w:jc w:val="right"/>
              <w:ind w:right="450"/>
              <w:spacing w:after="0"/>
              <w:rPr>
                <w:sz w:val="20"/>
                <w:szCs w:val="20"/>
                <w:color w:val="auto"/>
              </w:rPr>
            </w:pPr>
            <w:r>
              <w:rPr>
                <w:rFonts w:ascii="Arial" w:cs="Arial" w:eastAsia="Arial" w:hAnsi="Arial"/>
                <w:sz w:val="18"/>
                <w:szCs w:val="18"/>
                <w:b w:val="1"/>
                <w:bCs w:val="1"/>
                <w:color w:val="auto"/>
              </w:rPr>
              <w:t>2019</w:t>
            </w:r>
          </w:p>
        </w:tc>
      </w:tr>
      <w:tr>
        <w:trPr>
          <w:trHeight w:val="27"/>
        </w:trPr>
        <w:tc>
          <w:tcPr>
            <w:tcW w:w="82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43"/>
        </w:trPr>
        <w:tc>
          <w:tcPr>
            <w:tcW w:w="8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27,063</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20,758</w:t>
            </w:r>
          </w:p>
        </w:tc>
      </w:tr>
      <w:tr>
        <w:trPr>
          <w:trHeight w:val="243"/>
        </w:trPr>
        <w:tc>
          <w:tcPr>
            <w:tcW w:w="8220" w:type="dxa"/>
            <w:vAlign w:val="bottom"/>
          </w:tcPr>
          <w:p>
            <w:pPr>
              <w:ind w:left="40"/>
              <w:spacing w:after="0"/>
              <w:rPr>
                <w:sz w:val="20"/>
                <w:szCs w:val="20"/>
                <w:color w:val="auto"/>
              </w:rPr>
            </w:pPr>
            <w:r>
              <w:rPr>
                <w:rFonts w:ascii="Arial" w:cs="Arial" w:eastAsia="Arial" w:hAnsi="Arial"/>
                <w:sz w:val="18"/>
                <w:szCs w:val="18"/>
                <w:color w:val="auto"/>
              </w:rPr>
              <w:t>Restricted cash</w:t>
            </w:r>
          </w:p>
        </w:tc>
        <w:tc>
          <w:tcPr>
            <w:tcW w:w="32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29,732</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25,954</w:t>
            </w:r>
          </w:p>
        </w:tc>
      </w:tr>
      <w:tr>
        <w:trPr>
          <w:trHeight w:val="27"/>
        </w:trPr>
        <w:tc>
          <w:tcPr>
            <w:tcW w:w="82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69"/>
        </w:trPr>
        <w:tc>
          <w:tcPr>
            <w:tcW w:w="82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cash and restricted cash</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56,795</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46,712</w:t>
            </w:r>
          </w:p>
        </w:tc>
      </w:tr>
      <w:tr>
        <w:trPr>
          <w:trHeight w:val="20"/>
        </w:trPr>
        <w:tc>
          <w:tcPr>
            <w:tcW w:w="82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 SEGMENT INFORMATION</w:t>
      </w:r>
    </w:p>
    <w:p>
      <w:pPr>
        <w:spacing w:after="0" w:line="121" w:lineRule="exact"/>
        <w:rPr>
          <w:sz w:val="20"/>
          <w:szCs w:val="20"/>
          <w:color w:val="auto"/>
        </w:rPr>
      </w:pPr>
    </w:p>
    <w:p>
      <w:pPr>
        <w:ind w:right="60" w:firstLine="432"/>
        <w:spacing w:after="0" w:line="254" w:lineRule="auto"/>
        <w:rPr>
          <w:sz w:val="20"/>
          <w:szCs w:val="20"/>
          <w:color w:val="auto"/>
        </w:rPr>
      </w:pPr>
      <w:r>
        <w:rPr>
          <w:rFonts w:ascii="Arial" w:cs="Arial" w:eastAsia="Arial" w:hAnsi="Arial"/>
          <w:sz w:val="18"/>
          <w:szCs w:val="18"/>
          <w:color w:val="auto"/>
        </w:rPr>
        <w:t>The Company operates in two business segments: (i) exploration and production and (ii) midstream. The exploration and production segment is engaged in the exploration, development, production and acquisition of oil and natural gas resources in the United States and is currently focused primarily on the oil and liquids-rich portion of the Wolfcamp and Bone Spring plays in the Delaware Basin in Southeast New Mexico and West Texas. The Company also operates in the Eagle Ford shale play in South Texas and the Haynesville shale and Cotton Valley plays in Northwest Louisiana. The midstream segment conducts midstream operations in support of the Company’s exploration, development and production operations and provides natural gas processing, oil transportation services, oil, natural gas and salt water gathering services and salt water disposal services to third parties. Substantially all of the Company’s midstream operations in the Rustler Breaks, Wolf and Stateline asset areas and the Greater Stebbins Area in the Delaware Basin are conducted through San Mateo.</w:t>
      </w:r>
    </w:p>
    <w:p>
      <w:pPr>
        <w:spacing w:after="0" w:line="84" w:lineRule="exact"/>
        <w:rPr>
          <w:sz w:val="20"/>
          <w:szCs w:val="20"/>
          <w:color w:val="auto"/>
        </w:rPr>
      </w:pPr>
    </w:p>
    <w:p>
      <w:pPr>
        <w:ind w:right="220" w:firstLine="432"/>
        <w:spacing w:after="0" w:line="272" w:lineRule="auto"/>
        <w:rPr>
          <w:sz w:val="20"/>
          <w:szCs w:val="20"/>
          <w:color w:val="auto"/>
        </w:rPr>
      </w:pPr>
      <w:r>
        <w:rPr>
          <w:rFonts w:ascii="Arial" w:cs="Arial" w:eastAsia="Arial" w:hAnsi="Arial"/>
          <w:sz w:val="17"/>
          <w:szCs w:val="17"/>
          <w:color w:val="auto"/>
        </w:rPr>
        <w:t>The following tables present selected financial information for the periods presented regarding the Company’s business segments on a stand-alone basis, corporate expenses that are not allocated to a segment and the consolidation and elimination entries necessary to arrive at the financial information for the Company on a consolidated basis (in thousands). On a consolidated basis, midstream services revenues consist primarily of those revenues from midstream operations related to third parties, including working interest owners in the Company’s operated wells. All midstream services revenues associated with Company-owned production are eliminated in consolidation. In evaluating the operating results of the exploration and production and midstream segments, the Company does not allocate certain expenses to the individual segments, including general and administrative expenses. Such expenses are reflected in the column labeled “Corporate.”</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820" w:type="dxa"/>
            <w:vAlign w:val="bottom"/>
          </w:tcPr>
          <w:p>
            <w:pPr>
              <w:spacing w:after="0"/>
              <w:rPr>
                <w:sz w:val="18"/>
                <w:szCs w:val="18"/>
                <w:color w:val="auto"/>
              </w:rPr>
            </w:pPr>
          </w:p>
        </w:tc>
        <w:tc>
          <w:tcPr>
            <w:tcW w:w="148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2"/>
              </w:rPr>
              <w:t>Exploration and</w:t>
            </w: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60" w:type="dxa"/>
            <w:vAlign w:val="bottom"/>
            <w:gridSpan w:val="3"/>
          </w:tcPr>
          <w:p>
            <w:pPr>
              <w:ind w:left="40"/>
              <w:spacing w:after="0"/>
              <w:rPr>
                <w:sz w:val="20"/>
                <w:szCs w:val="20"/>
                <w:color w:val="auto"/>
              </w:rPr>
            </w:pPr>
            <w:r>
              <w:rPr>
                <w:rFonts w:ascii="Arial" w:cs="Arial" w:eastAsia="Arial" w:hAnsi="Arial"/>
                <w:sz w:val="18"/>
                <w:szCs w:val="18"/>
                <w:b w:val="1"/>
                <w:bCs w:val="1"/>
                <w:color w:val="auto"/>
                <w:w w:val="95"/>
              </w:rPr>
              <w:t>Consolidations and</w:t>
            </w:r>
          </w:p>
        </w:tc>
        <w:tc>
          <w:tcPr>
            <w:tcW w:w="160" w:type="dxa"/>
            <w:vAlign w:val="bottom"/>
          </w:tcPr>
          <w:p>
            <w:pPr>
              <w:spacing w:after="0"/>
              <w:rPr>
                <w:sz w:val="18"/>
                <w:szCs w:val="18"/>
                <w:color w:val="auto"/>
              </w:rPr>
            </w:pPr>
          </w:p>
        </w:tc>
        <w:tc>
          <w:tcPr>
            <w:tcW w:w="1200" w:type="dxa"/>
            <w:vAlign w:val="bottom"/>
          </w:tcPr>
          <w:p>
            <w:pPr>
              <w:jc w:val="right"/>
              <w:ind w:right="90"/>
              <w:spacing w:after="0"/>
              <w:rPr>
                <w:sz w:val="20"/>
                <w:szCs w:val="20"/>
                <w:color w:val="auto"/>
              </w:rPr>
            </w:pPr>
            <w:r>
              <w:rPr>
                <w:rFonts w:ascii="Arial" w:cs="Arial" w:eastAsia="Arial" w:hAnsi="Arial"/>
                <w:sz w:val="18"/>
                <w:szCs w:val="18"/>
                <w:b w:val="1"/>
                <w:bCs w:val="1"/>
                <w:color w:val="auto"/>
                <w:w w:val="87"/>
              </w:rPr>
              <w:t>Consolidated</w:t>
            </w:r>
          </w:p>
        </w:tc>
        <w:tc>
          <w:tcPr>
            <w:tcW w:w="0" w:type="dxa"/>
            <w:vAlign w:val="bottom"/>
          </w:tcPr>
          <w:p>
            <w:pPr>
              <w:spacing w:after="0"/>
              <w:rPr>
                <w:sz w:val="1"/>
                <w:szCs w:val="1"/>
                <w:color w:val="auto"/>
              </w:rPr>
            </w:pPr>
          </w:p>
        </w:tc>
      </w:tr>
      <w:tr>
        <w:trPr>
          <w:trHeight w:val="234"/>
        </w:trPr>
        <w:tc>
          <w:tcPr>
            <w:tcW w:w="38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0"/>
              </w:rPr>
              <w:t>Production</w:t>
            </w:r>
          </w:p>
        </w:tc>
        <w:tc>
          <w:tcPr>
            <w:tcW w:w="180" w:type="dxa"/>
            <w:vAlign w:val="bottom"/>
          </w:tcPr>
          <w:p>
            <w:pPr>
              <w:spacing w:after="0"/>
              <w:rPr>
                <w:sz w:val="20"/>
                <w:szCs w:val="20"/>
                <w:color w:val="auto"/>
              </w:rPr>
            </w:pPr>
          </w:p>
        </w:tc>
        <w:tc>
          <w:tcPr>
            <w:tcW w:w="1280" w:type="dxa"/>
            <w:vAlign w:val="bottom"/>
            <w:gridSpan w:val="2"/>
          </w:tcPr>
          <w:p>
            <w:pPr>
              <w:ind w:left="80"/>
              <w:spacing w:after="0"/>
              <w:rPr>
                <w:sz w:val="20"/>
                <w:szCs w:val="20"/>
                <w:color w:val="auto"/>
              </w:rPr>
            </w:pPr>
            <w:r>
              <w:rPr>
                <w:rFonts w:ascii="Arial" w:cs="Arial" w:eastAsia="Arial" w:hAnsi="Arial"/>
                <w:sz w:val="18"/>
                <w:szCs w:val="18"/>
                <w:b w:val="1"/>
                <w:bCs w:val="1"/>
                <w:color w:val="auto"/>
              </w:rPr>
              <w:t>Midstream</w:t>
            </w:r>
          </w:p>
        </w:tc>
        <w:tc>
          <w:tcPr>
            <w:tcW w:w="200" w:type="dxa"/>
            <w:vAlign w:val="bottom"/>
          </w:tcPr>
          <w:p>
            <w:pPr>
              <w:spacing w:after="0"/>
              <w:rPr>
                <w:sz w:val="20"/>
                <w:szCs w:val="20"/>
                <w:color w:val="auto"/>
              </w:rPr>
            </w:pPr>
          </w:p>
        </w:tc>
        <w:tc>
          <w:tcPr>
            <w:tcW w:w="1260" w:type="dxa"/>
            <w:vAlign w:val="bottom"/>
            <w:gridSpan w:val="2"/>
          </w:tcPr>
          <w:p>
            <w:pPr>
              <w:ind w:left="80"/>
              <w:spacing w:after="0"/>
              <w:rPr>
                <w:sz w:val="20"/>
                <w:szCs w:val="20"/>
                <w:color w:val="auto"/>
              </w:rPr>
            </w:pPr>
            <w:r>
              <w:rPr>
                <w:rFonts w:ascii="Arial" w:cs="Arial" w:eastAsia="Arial" w:hAnsi="Arial"/>
                <w:sz w:val="18"/>
                <w:szCs w:val="18"/>
                <w:b w:val="1"/>
                <w:bCs w:val="1"/>
                <w:color w:val="auto"/>
              </w:rPr>
              <w:t>Corporate</w:t>
            </w:r>
          </w:p>
        </w:tc>
        <w:tc>
          <w:tcPr>
            <w:tcW w:w="200" w:type="dxa"/>
            <w:vAlign w:val="bottom"/>
          </w:tcPr>
          <w:p>
            <w:pPr>
              <w:spacing w:after="0"/>
              <w:rPr>
                <w:sz w:val="20"/>
                <w:szCs w:val="20"/>
                <w:color w:val="auto"/>
              </w:rPr>
            </w:pPr>
          </w:p>
        </w:tc>
        <w:tc>
          <w:tcPr>
            <w:tcW w:w="1460" w:type="dxa"/>
            <w:vAlign w:val="bottom"/>
            <w:gridSpan w:val="2"/>
          </w:tcPr>
          <w:p>
            <w:pPr>
              <w:ind w:left="80"/>
              <w:spacing w:after="0"/>
              <w:rPr>
                <w:sz w:val="20"/>
                <w:szCs w:val="20"/>
                <w:color w:val="auto"/>
              </w:rPr>
            </w:pPr>
            <w:r>
              <w:rPr>
                <w:rFonts w:ascii="Arial" w:cs="Arial" w:eastAsia="Arial" w:hAnsi="Arial"/>
                <w:sz w:val="18"/>
                <w:szCs w:val="18"/>
                <w:b w:val="1"/>
                <w:bCs w:val="1"/>
                <w:color w:val="auto"/>
              </w:rPr>
              <w:t>Eliminations</w:t>
            </w:r>
          </w:p>
        </w:tc>
        <w:tc>
          <w:tcPr>
            <w:tcW w:w="160" w:type="dxa"/>
            <w:vAlign w:val="bottom"/>
          </w:tcPr>
          <w:p>
            <w:pPr>
              <w:spacing w:after="0"/>
              <w:rPr>
                <w:sz w:val="20"/>
                <w:szCs w:val="20"/>
                <w:color w:val="auto"/>
              </w:rPr>
            </w:pPr>
          </w:p>
        </w:tc>
        <w:tc>
          <w:tcPr>
            <w:tcW w:w="1200" w:type="dxa"/>
            <w:vAlign w:val="bottom"/>
          </w:tcPr>
          <w:p>
            <w:pPr>
              <w:jc w:val="right"/>
              <w:ind w:right="210"/>
              <w:spacing w:after="0"/>
              <w:rPr>
                <w:sz w:val="20"/>
                <w:szCs w:val="20"/>
                <w:color w:val="auto"/>
              </w:rPr>
            </w:pPr>
            <w:r>
              <w:rPr>
                <w:rFonts w:ascii="Arial" w:cs="Arial" w:eastAsia="Arial" w:hAnsi="Arial"/>
                <w:sz w:val="18"/>
                <w:szCs w:val="18"/>
                <w:b w:val="1"/>
                <w:bCs w:val="1"/>
                <w:color w:val="auto"/>
              </w:rPr>
              <w:t>Company</w:t>
            </w:r>
          </w:p>
        </w:tc>
        <w:tc>
          <w:tcPr>
            <w:tcW w:w="0" w:type="dxa"/>
            <w:vAlign w:val="bottom"/>
          </w:tcPr>
          <w:p>
            <w:pPr>
              <w:spacing w:after="0"/>
              <w:rPr>
                <w:sz w:val="1"/>
                <w:szCs w:val="1"/>
                <w:color w:val="auto"/>
              </w:rPr>
            </w:pPr>
          </w:p>
        </w:tc>
      </w:tr>
      <w:tr>
        <w:trPr>
          <w:trHeight w:val="27"/>
        </w:trPr>
        <w:tc>
          <w:tcPr>
            <w:tcW w:w="38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3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Three Months Ended March 31, 2020</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820" w:type="dxa"/>
            <w:vAlign w:val="bottom"/>
          </w:tcPr>
          <w:p>
            <w:pPr>
              <w:ind w:left="40"/>
              <w:spacing w:after="0"/>
              <w:rPr>
                <w:sz w:val="20"/>
                <w:szCs w:val="20"/>
                <w:color w:val="auto"/>
              </w:rPr>
            </w:pPr>
            <w:r>
              <w:rPr>
                <w:rFonts w:ascii="Arial" w:cs="Arial" w:eastAsia="Arial" w:hAnsi="Arial"/>
                <w:sz w:val="18"/>
                <w:szCs w:val="18"/>
                <w:color w:val="auto"/>
              </w:rPr>
              <w:t>Oil and natural gas revenues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196,795</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1,119</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ind w:left="20"/>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197,914</w:t>
            </w:r>
          </w:p>
        </w:tc>
        <w:tc>
          <w:tcPr>
            <w:tcW w:w="0" w:type="dxa"/>
            <w:vAlign w:val="bottom"/>
          </w:tcPr>
          <w:p>
            <w:pPr>
              <w:spacing w:after="0"/>
              <w:rPr>
                <w:sz w:val="1"/>
                <w:szCs w:val="1"/>
                <w:color w:val="auto"/>
              </w:rPr>
            </w:pPr>
          </w:p>
        </w:tc>
      </w:tr>
      <w:tr>
        <w:trPr>
          <w:trHeight w:val="27"/>
        </w:trPr>
        <w:tc>
          <w:tcPr>
            <w:tcW w:w="3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Midstream services revenues</w:t>
            </w: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37,749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(21,919)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15,830</w:t>
            </w:r>
          </w:p>
        </w:tc>
        <w:tc>
          <w:tcPr>
            <w:tcW w:w="0" w:type="dxa"/>
            <w:vAlign w:val="bottom"/>
          </w:tcPr>
          <w:p>
            <w:pPr>
              <w:spacing w:after="0"/>
              <w:rPr>
                <w:sz w:val="1"/>
                <w:szCs w:val="1"/>
                <w:color w:val="auto"/>
              </w:rPr>
            </w:pPr>
          </w:p>
        </w:tc>
      </w:tr>
      <w:tr>
        <w:trPr>
          <w:trHeight w:val="243"/>
        </w:trPr>
        <w:tc>
          <w:tcPr>
            <w:tcW w:w="3820" w:type="dxa"/>
            <w:vAlign w:val="bottom"/>
          </w:tcPr>
          <w:p>
            <w:pPr>
              <w:ind w:left="40"/>
              <w:spacing w:after="0"/>
              <w:rPr>
                <w:sz w:val="20"/>
                <w:szCs w:val="20"/>
                <w:color w:val="auto"/>
              </w:rPr>
            </w:pPr>
            <w:r>
              <w:rPr>
                <w:rFonts w:ascii="Arial" w:cs="Arial" w:eastAsia="Arial" w:hAnsi="Arial"/>
                <w:sz w:val="18"/>
                <w:szCs w:val="18"/>
                <w:color w:val="auto"/>
              </w:rPr>
              <w:t>Sales of purchased natural gas</w:t>
            </w:r>
          </w:p>
        </w:tc>
        <w:tc>
          <w:tcPr>
            <w:tcW w:w="200" w:type="dxa"/>
            <w:vAlign w:val="bottom"/>
          </w:tcPr>
          <w:p>
            <w:pPr>
              <w:spacing w:after="0"/>
              <w:rPr>
                <w:sz w:val="21"/>
                <w:szCs w:val="21"/>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3,595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6,949</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4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10,544</w:t>
            </w:r>
          </w:p>
        </w:tc>
        <w:tc>
          <w:tcPr>
            <w:tcW w:w="0" w:type="dxa"/>
            <w:vAlign w:val="bottom"/>
          </w:tcPr>
          <w:p>
            <w:pPr>
              <w:spacing w:after="0"/>
              <w:rPr>
                <w:sz w:val="1"/>
                <w:szCs w:val="1"/>
                <w:color w:val="auto"/>
              </w:rPr>
            </w:pPr>
          </w:p>
        </w:tc>
      </w:tr>
      <w:tr>
        <w:trPr>
          <w:trHeight w:val="27"/>
        </w:trPr>
        <w:tc>
          <w:tcPr>
            <w:tcW w:w="3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Realized gain on derivatives</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10,867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10,867</w:t>
            </w:r>
          </w:p>
        </w:tc>
        <w:tc>
          <w:tcPr>
            <w:tcW w:w="0" w:type="dxa"/>
            <w:vAlign w:val="bottom"/>
          </w:tcPr>
          <w:p>
            <w:pPr>
              <w:spacing w:after="0"/>
              <w:rPr>
                <w:sz w:val="1"/>
                <w:szCs w:val="1"/>
                <w:color w:val="auto"/>
              </w:rPr>
            </w:pPr>
          </w:p>
        </w:tc>
      </w:tr>
      <w:tr>
        <w:trPr>
          <w:trHeight w:val="243"/>
        </w:trPr>
        <w:tc>
          <w:tcPr>
            <w:tcW w:w="3820" w:type="dxa"/>
            <w:vAlign w:val="bottom"/>
          </w:tcPr>
          <w:p>
            <w:pPr>
              <w:ind w:left="40"/>
              <w:spacing w:after="0"/>
              <w:rPr>
                <w:sz w:val="20"/>
                <w:szCs w:val="20"/>
                <w:color w:val="auto"/>
              </w:rPr>
            </w:pPr>
            <w:r>
              <w:rPr>
                <w:rFonts w:ascii="Arial" w:cs="Arial" w:eastAsia="Arial" w:hAnsi="Arial"/>
                <w:sz w:val="18"/>
                <w:szCs w:val="18"/>
                <w:color w:val="auto"/>
              </w:rPr>
              <w:t>Unrealized gain on derivatives</w:t>
            </w:r>
          </w:p>
        </w:tc>
        <w:tc>
          <w:tcPr>
            <w:tcW w:w="200" w:type="dxa"/>
            <w:vAlign w:val="bottom"/>
          </w:tcPr>
          <w:p>
            <w:pPr>
              <w:spacing w:after="0"/>
              <w:rPr>
                <w:sz w:val="21"/>
                <w:szCs w:val="21"/>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136,430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4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136,430</w:t>
            </w:r>
          </w:p>
        </w:tc>
        <w:tc>
          <w:tcPr>
            <w:tcW w:w="0" w:type="dxa"/>
            <w:vAlign w:val="bottom"/>
          </w:tcPr>
          <w:p>
            <w:pPr>
              <w:spacing w:after="0"/>
              <w:rPr>
                <w:sz w:val="1"/>
                <w:szCs w:val="1"/>
                <w:color w:val="auto"/>
              </w:rPr>
            </w:pPr>
          </w:p>
        </w:tc>
      </w:tr>
      <w:tr>
        <w:trPr>
          <w:trHeight w:val="27"/>
        </w:trPr>
        <w:tc>
          <w:tcPr>
            <w:tcW w:w="3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82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Expenses</w:t>
            </w:r>
            <w:r>
              <w:rPr>
                <w:rFonts w:ascii="Arial" w:cs="Arial" w:eastAsia="Arial" w:hAnsi="Arial"/>
                <w:sz w:val="25"/>
                <w:szCs w:val="25"/>
                <w:color w:val="auto"/>
                <w:vertAlign w:val="superscript"/>
              </w:rPr>
              <w:t>(1)</w:t>
            </w:r>
          </w:p>
        </w:tc>
        <w:tc>
          <w:tcPr>
            <w:tcW w:w="20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161,325</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24,330</w:t>
            </w:r>
          </w:p>
        </w:tc>
        <w:tc>
          <w:tcPr>
            <w:tcW w:w="12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14,317</w:t>
            </w:r>
          </w:p>
        </w:tc>
        <w:tc>
          <w:tcPr>
            <w:tcW w:w="12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(21,919)</w:t>
            </w: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178,053</w:t>
            </w:r>
          </w:p>
        </w:tc>
        <w:tc>
          <w:tcPr>
            <w:tcW w:w="0" w:type="dxa"/>
            <w:vAlign w:val="bottom"/>
          </w:tcPr>
          <w:p>
            <w:pPr>
              <w:spacing w:after="0"/>
              <w:rPr>
                <w:sz w:val="1"/>
                <w:szCs w:val="1"/>
                <w:color w:val="auto"/>
              </w:rPr>
            </w:pPr>
          </w:p>
        </w:tc>
      </w:tr>
      <w:tr>
        <w:trPr>
          <w:trHeight w:val="303"/>
        </w:trPr>
        <w:tc>
          <w:tcPr>
            <w:tcW w:w="3820" w:type="dxa"/>
            <w:vAlign w:val="bottom"/>
            <w:tcBorders>
              <w:bottom w:val="single" w:sz="8" w:color="CCEEFF"/>
            </w:tcBorders>
          </w:tcPr>
          <w:p>
            <w:pPr>
              <w:ind w:left="40"/>
              <w:spacing w:after="0" w:line="263" w:lineRule="exact"/>
              <w:rPr>
                <w:sz w:val="20"/>
                <w:szCs w:val="20"/>
                <w:color w:val="auto"/>
              </w:rPr>
            </w:pPr>
            <w:r>
              <w:rPr>
                <w:rFonts w:ascii="Arial" w:cs="Arial" w:eastAsia="Arial" w:hAnsi="Arial"/>
                <w:sz w:val="18"/>
                <w:szCs w:val="18"/>
                <w:color w:val="auto"/>
              </w:rPr>
              <w:t>Operating income (loss)</w:t>
            </w:r>
            <w:r>
              <w:rPr>
                <w:rFonts w:ascii="Arial" w:cs="Arial" w:eastAsia="Arial" w:hAnsi="Arial"/>
                <w:sz w:val="25"/>
                <w:szCs w:val="25"/>
                <w:color w:val="auto"/>
                <w:vertAlign w:val="superscript"/>
              </w:rPr>
              <w:t>(2)</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186,362</w:t>
            </w: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21,487</w:t>
            </w:r>
          </w:p>
        </w:tc>
        <w:tc>
          <w:tcPr>
            <w:tcW w:w="12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(14,317)</w:t>
            </w:r>
          </w:p>
        </w:tc>
        <w:tc>
          <w:tcPr>
            <w:tcW w:w="12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193,532</w:t>
            </w:r>
          </w:p>
        </w:tc>
        <w:tc>
          <w:tcPr>
            <w:tcW w:w="0" w:type="dxa"/>
            <w:vAlign w:val="bottom"/>
          </w:tcPr>
          <w:p>
            <w:pPr>
              <w:spacing w:after="0"/>
              <w:rPr>
                <w:sz w:val="1"/>
                <w:szCs w:val="1"/>
                <w:color w:val="auto"/>
              </w:rPr>
            </w:pPr>
          </w:p>
        </w:tc>
      </w:tr>
      <w:tr>
        <w:trPr>
          <w:trHeight w:val="244"/>
        </w:trPr>
        <w:tc>
          <w:tcPr>
            <w:tcW w:w="3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assets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3,571,257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715,413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47,001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4,333,671</w:t>
            </w:r>
          </w:p>
        </w:tc>
        <w:tc>
          <w:tcPr>
            <w:tcW w:w="0" w:type="dxa"/>
            <w:vAlign w:val="bottom"/>
          </w:tcPr>
          <w:p>
            <w:pPr>
              <w:spacing w:after="0"/>
              <w:rPr>
                <w:sz w:val="1"/>
                <w:szCs w:val="1"/>
                <w:color w:val="auto"/>
              </w:rPr>
            </w:pPr>
          </w:p>
        </w:tc>
      </w:tr>
      <w:tr>
        <w:trPr>
          <w:trHeight w:val="20"/>
        </w:trPr>
        <w:tc>
          <w:tcPr>
            <w:tcW w:w="38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3820" w:type="dxa"/>
            <w:vAlign w:val="bottom"/>
          </w:tcPr>
          <w:p>
            <w:pPr>
              <w:ind w:left="40"/>
              <w:spacing w:after="0" w:line="257" w:lineRule="exact"/>
              <w:rPr>
                <w:sz w:val="20"/>
                <w:szCs w:val="20"/>
                <w:color w:val="auto"/>
              </w:rPr>
            </w:pPr>
            <w:r>
              <w:rPr>
                <w:rFonts w:ascii="Arial" w:cs="Arial" w:eastAsia="Arial" w:hAnsi="Arial"/>
                <w:sz w:val="18"/>
                <w:szCs w:val="18"/>
                <w:color w:val="auto"/>
              </w:rPr>
              <w:t>Capital expenditures</w:t>
            </w:r>
            <w:r>
              <w:rPr>
                <w:rFonts w:ascii="Arial" w:cs="Arial" w:eastAsia="Arial" w:hAnsi="Arial"/>
                <w:sz w:val="25"/>
                <w:szCs w:val="25"/>
                <w:color w:val="auto"/>
                <w:vertAlign w:val="superscript"/>
              </w:rPr>
              <w:t>(3)</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209,735</w:t>
            </w:r>
          </w:p>
        </w:tc>
        <w:tc>
          <w:tcPr>
            <w:tcW w:w="10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68,073</w:t>
            </w:r>
          </w:p>
        </w:tc>
        <w:tc>
          <w:tcPr>
            <w:tcW w:w="120" w:type="dxa"/>
            <w:vAlign w:val="bottom"/>
          </w:tcPr>
          <w:p>
            <w:pPr>
              <w:spacing w:after="0"/>
              <w:rPr>
                <w:sz w:val="22"/>
                <w:szCs w:val="22"/>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787</w:t>
            </w:r>
          </w:p>
        </w:tc>
        <w:tc>
          <w:tcPr>
            <w:tcW w:w="120" w:type="dxa"/>
            <w:vAlign w:val="bottom"/>
          </w:tcPr>
          <w:p>
            <w:pPr>
              <w:spacing w:after="0"/>
              <w:rPr>
                <w:sz w:val="22"/>
                <w:szCs w:val="22"/>
                <w:color w:val="auto"/>
              </w:rPr>
            </w:pPr>
          </w:p>
        </w:tc>
        <w:tc>
          <w:tcPr>
            <w:tcW w:w="200" w:type="dxa"/>
            <w:vAlign w:val="bottom"/>
          </w:tcPr>
          <w:p>
            <w:pPr>
              <w:ind w:left="20"/>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278,595</w:t>
            </w:r>
          </w:p>
        </w:tc>
        <w:tc>
          <w:tcPr>
            <w:tcW w:w="0" w:type="dxa"/>
            <w:vAlign w:val="bottom"/>
          </w:tcPr>
          <w:p>
            <w:pPr>
              <w:spacing w:after="0"/>
              <w:rPr>
                <w:sz w:val="1"/>
                <w:szCs w:val="1"/>
                <w:color w:val="auto"/>
              </w:rPr>
            </w:pPr>
          </w:p>
        </w:tc>
      </w:tr>
      <w:tr>
        <w:trPr>
          <w:trHeight w:val="20"/>
        </w:trPr>
        <w:tc>
          <w:tcPr>
            <w:tcW w:w="3820" w:type="dxa"/>
            <w:vAlign w:val="bottom"/>
            <w:vMerge w:val="restart"/>
          </w:tcPr>
          <w:p>
            <w:pPr>
              <w:spacing w:after="0"/>
              <w:rPr>
                <w:sz w:val="20"/>
                <w:szCs w:val="20"/>
                <w:color w:val="auto"/>
              </w:rPr>
            </w:pPr>
            <w:r>
              <w:rPr>
                <w:rFonts w:ascii="Arial" w:cs="Arial" w:eastAsia="Arial" w:hAnsi="Arial"/>
                <w:sz w:val="18"/>
                <w:szCs w:val="18"/>
                <w:color w:val="auto"/>
              </w:rPr>
              <w:t>_____________________</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82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89" w:lineRule="exact"/>
        <w:rPr>
          <w:sz w:val="20"/>
          <w:szCs w:val="20"/>
          <w:color w:val="auto"/>
        </w:rPr>
      </w:pPr>
    </w:p>
    <w:p>
      <w:pPr>
        <w:ind w:left="340" w:right="480" w:hanging="332"/>
        <w:spacing w:after="0" w:line="273" w:lineRule="auto"/>
        <w:tabs>
          <w:tab w:leader="none" w:pos="340" w:val="left"/>
        </w:tabs>
        <w:numPr>
          <w:ilvl w:val="0"/>
          <w:numId w:val="11"/>
        </w:numPr>
        <w:rPr>
          <w:rFonts w:ascii="Arial" w:cs="Arial" w:eastAsia="Arial" w:hAnsi="Arial"/>
          <w:sz w:val="14"/>
          <w:szCs w:val="14"/>
          <w:color w:val="auto"/>
        </w:rPr>
      </w:pPr>
      <w:r>
        <w:rPr>
          <w:rFonts w:ascii="Arial" w:cs="Arial" w:eastAsia="Arial" w:hAnsi="Arial"/>
          <w:sz w:val="14"/>
          <w:szCs w:val="14"/>
          <w:color w:val="auto"/>
        </w:rPr>
        <w:t>Includes depletion, depreciation and amortization expenses of $85.2 million and $4.8 million for the exploration and production and midstream segments, respectively. Also includes corporate depletion, depreciation and amortization expenses of $0.7 million.</w:t>
      </w:r>
    </w:p>
    <w:p>
      <w:pPr>
        <w:spacing w:after="0" w:line="65" w:lineRule="exact"/>
        <w:rPr>
          <w:rFonts w:ascii="Arial" w:cs="Arial" w:eastAsia="Arial" w:hAnsi="Arial"/>
          <w:sz w:val="14"/>
          <w:szCs w:val="14"/>
          <w:color w:val="auto"/>
        </w:rPr>
      </w:pPr>
    </w:p>
    <w:p>
      <w:pPr>
        <w:ind w:left="340" w:hanging="332"/>
        <w:spacing w:after="0"/>
        <w:tabs>
          <w:tab w:leader="none" w:pos="340" w:val="left"/>
        </w:tabs>
        <w:numPr>
          <w:ilvl w:val="0"/>
          <w:numId w:val="11"/>
        </w:numPr>
        <w:rPr>
          <w:rFonts w:ascii="Arial" w:cs="Arial" w:eastAsia="Arial" w:hAnsi="Arial"/>
          <w:sz w:val="14"/>
          <w:szCs w:val="14"/>
          <w:color w:val="auto"/>
        </w:rPr>
      </w:pPr>
      <w:r>
        <w:rPr>
          <w:rFonts w:ascii="Arial" w:cs="Arial" w:eastAsia="Arial" w:hAnsi="Arial"/>
          <w:sz w:val="14"/>
          <w:szCs w:val="14"/>
          <w:color w:val="auto"/>
        </w:rPr>
        <w:t>Includes $9.4 million in net income attributable to non-controlling interest in subsidiaries related to the midstream segment.</w:t>
      </w:r>
    </w:p>
    <w:p>
      <w:pPr>
        <w:spacing w:after="0" w:line="109" w:lineRule="exact"/>
        <w:rPr>
          <w:rFonts w:ascii="Arial" w:cs="Arial" w:eastAsia="Arial" w:hAnsi="Arial"/>
          <w:sz w:val="14"/>
          <w:szCs w:val="14"/>
          <w:color w:val="auto"/>
        </w:rPr>
      </w:pPr>
    </w:p>
    <w:p>
      <w:pPr>
        <w:ind w:left="340" w:right="200" w:hanging="332"/>
        <w:spacing w:after="0" w:line="273" w:lineRule="auto"/>
        <w:tabs>
          <w:tab w:leader="none" w:pos="340" w:val="left"/>
        </w:tabs>
        <w:numPr>
          <w:ilvl w:val="0"/>
          <w:numId w:val="11"/>
        </w:numPr>
        <w:rPr>
          <w:rFonts w:ascii="Arial" w:cs="Arial" w:eastAsia="Arial" w:hAnsi="Arial"/>
          <w:sz w:val="14"/>
          <w:szCs w:val="14"/>
          <w:color w:val="auto"/>
        </w:rPr>
      </w:pPr>
      <w:r>
        <w:rPr>
          <w:rFonts w:ascii="Arial" w:cs="Arial" w:eastAsia="Arial" w:hAnsi="Arial"/>
          <w:sz w:val="14"/>
          <w:szCs w:val="14"/>
          <w:color w:val="auto"/>
        </w:rPr>
        <w:t>Includes $39.7 million attributable to land and seismic acquisition expenditures related to the exploration and production segment and $47.6 million in capital expenditures attributable to non-controlling interest in subsidiaries related to the midstream segment.</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240"/>
          </w:cols>
          <w:pgMar w:left="320" w:top="125" w:right="339" w:bottom="1440" w:gutter="0" w:footer="0" w:header="0"/>
        </w:sectPr>
      </w:pPr>
    </w:p>
    <w:bookmarkStart w:id="18" w:name="page19"/>
    <w:bookmarkEnd w:id="18"/>
    <w:p>
      <w:pPr>
        <w:spacing w:after="0" w:line="53"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ind w:left="3820"/>
        <w:spacing w:after="0"/>
        <w:rPr>
          <w:sz w:val="20"/>
          <w:szCs w:val="20"/>
          <w:color w:val="auto"/>
        </w:rPr>
      </w:pPr>
      <w:r>
        <w:rPr>
          <w:rFonts w:ascii="Arial" w:cs="Arial" w:eastAsia="Arial" w:hAnsi="Arial"/>
          <w:sz w:val="18"/>
          <w:szCs w:val="18"/>
          <w:b w:val="1"/>
          <w:bCs w:val="1"/>
          <w:color w:val="auto"/>
        </w:rPr>
        <w:t>Matador Resources Company and Subsidiaries</w:t>
      </w:r>
    </w:p>
    <w:p>
      <w:pPr>
        <w:spacing w:after="0" w:line="72" w:lineRule="exact"/>
        <w:rPr>
          <w:sz w:val="20"/>
          <w:szCs w:val="20"/>
          <w:color w:val="auto"/>
        </w:rPr>
      </w:pPr>
    </w:p>
    <w:p>
      <w:pPr>
        <w:ind w:left="2560"/>
        <w:spacing w:after="0"/>
        <w:rPr>
          <w:sz w:val="20"/>
          <w:szCs w:val="20"/>
          <w:color w:val="auto"/>
        </w:rPr>
      </w:pPr>
      <w:r>
        <w:rPr>
          <w:rFonts w:ascii="Arial" w:cs="Arial" w:eastAsia="Arial" w:hAnsi="Arial"/>
          <w:sz w:val="18"/>
          <w:szCs w:val="18"/>
          <w:b w:val="1"/>
          <w:bCs w:val="1"/>
          <w:color w:val="auto"/>
        </w:rPr>
        <w:t>NOTES TO CONDENSED CONSOLIDATED FINANCIAL STATEMENTS —</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 CONTINUED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 SEGMENT INFORMATION — Continued</w:t>
      </w: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820" w:type="dxa"/>
            <w:vAlign w:val="bottom"/>
          </w:tcPr>
          <w:p>
            <w:pPr>
              <w:spacing w:after="0"/>
              <w:rPr>
                <w:sz w:val="18"/>
                <w:szCs w:val="18"/>
                <w:color w:val="auto"/>
              </w:rPr>
            </w:pPr>
          </w:p>
        </w:tc>
        <w:tc>
          <w:tcPr>
            <w:tcW w:w="148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2"/>
              </w:rPr>
              <w:t>Exploration and</w:t>
            </w: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60" w:type="dxa"/>
            <w:vAlign w:val="bottom"/>
            <w:gridSpan w:val="3"/>
          </w:tcPr>
          <w:p>
            <w:pPr>
              <w:ind w:left="40"/>
              <w:spacing w:after="0"/>
              <w:rPr>
                <w:sz w:val="20"/>
                <w:szCs w:val="20"/>
                <w:color w:val="auto"/>
              </w:rPr>
            </w:pPr>
            <w:r>
              <w:rPr>
                <w:rFonts w:ascii="Arial" w:cs="Arial" w:eastAsia="Arial" w:hAnsi="Arial"/>
                <w:sz w:val="18"/>
                <w:szCs w:val="18"/>
                <w:b w:val="1"/>
                <w:bCs w:val="1"/>
                <w:color w:val="auto"/>
                <w:w w:val="95"/>
              </w:rPr>
              <w:t>Consolidations and</w:t>
            </w:r>
          </w:p>
        </w:tc>
        <w:tc>
          <w:tcPr>
            <w:tcW w:w="160" w:type="dxa"/>
            <w:vAlign w:val="bottom"/>
          </w:tcPr>
          <w:p>
            <w:pPr>
              <w:spacing w:after="0"/>
              <w:rPr>
                <w:sz w:val="18"/>
                <w:szCs w:val="18"/>
                <w:color w:val="auto"/>
              </w:rPr>
            </w:pPr>
          </w:p>
        </w:tc>
        <w:tc>
          <w:tcPr>
            <w:tcW w:w="1200" w:type="dxa"/>
            <w:vAlign w:val="bottom"/>
          </w:tcPr>
          <w:p>
            <w:pPr>
              <w:jc w:val="right"/>
              <w:ind w:right="90"/>
              <w:spacing w:after="0"/>
              <w:rPr>
                <w:sz w:val="20"/>
                <w:szCs w:val="20"/>
                <w:color w:val="auto"/>
              </w:rPr>
            </w:pPr>
            <w:r>
              <w:rPr>
                <w:rFonts w:ascii="Arial" w:cs="Arial" w:eastAsia="Arial" w:hAnsi="Arial"/>
                <w:sz w:val="18"/>
                <w:szCs w:val="18"/>
                <w:b w:val="1"/>
                <w:bCs w:val="1"/>
                <w:color w:val="auto"/>
                <w:w w:val="87"/>
              </w:rPr>
              <w:t>Consolidated</w:t>
            </w:r>
          </w:p>
        </w:tc>
        <w:tc>
          <w:tcPr>
            <w:tcW w:w="0" w:type="dxa"/>
            <w:vAlign w:val="bottom"/>
          </w:tcPr>
          <w:p>
            <w:pPr>
              <w:spacing w:after="0"/>
              <w:rPr>
                <w:sz w:val="1"/>
                <w:szCs w:val="1"/>
                <w:color w:val="auto"/>
              </w:rPr>
            </w:pPr>
          </w:p>
        </w:tc>
      </w:tr>
      <w:tr>
        <w:trPr>
          <w:trHeight w:val="234"/>
        </w:trPr>
        <w:tc>
          <w:tcPr>
            <w:tcW w:w="38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0"/>
              </w:rPr>
              <w:t>Production</w:t>
            </w:r>
          </w:p>
        </w:tc>
        <w:tc>
          <w:tcPr>
            <w:tcW w:w="180" w:type="dxa"/>
            <w:vAlign w:val="bottom"/>
          </w:tcPr>
          <w:p>
            <w:pPr>
              <w:spacing w:after="0"/>
              <w:rPr>
                <w:sz w:val="20"/>
                <w:szCs w:val="20"/>
                <w:color w:val="auto"/>
              </w:rPr>
            </w:pPr>
          </w:p>
        </w:tc>
        <w:tc>
          <w:tcPr>
            <w:tcW w:w="1280" w:type="dxa"/>
            <w:vAlign w:val="bottom"/>
            <w:gridSpan w:val="2"/>
          </w:tcPr>
          <w:p>
            <w:pPr>
              <w:ind w:left="80"/>
              <w:spacing w:after="0"/>
              <w:rPr>
                <w:sz w:val="20"/>
                <w:szCs w:val="20"/>
                <w:color w:val="auto"/>
              </w:rPr>
            </w:pPr>
            <w:r>
              <w:rPr>
                <w:rFonts w:ascii="Arial" w:cs="Arial" w:eastAsia="Arial" w:hAnsi="Arial"/>
                <w:sz w:val="18"/>
                <w:szCs w:val="18"/>
                <w:b w:val="1"/>
                <w:bCs w:val="1"/>
                <w:color w:val="auto"/>
              </w:rPr>
              <w:t>Midstream</w:t>
            </w:r>
          </w:p>
        </w:tc>
        <w:tc>
          <w:tcPr>
            <w:tcW w:w="200" w:type="dxa"/>
            <w:vAlign w:val="bottom"/>
          </w:tcPr>
          <w:p>
            <w:pPr>
              <w:spacing w:after="0"/>
              <w:rPr>
                <w:sz w:val="20"/>
                <w:szCs w:val="20"/>
                <w:color w:val="auto"/>
              </w:rPr>
            </w:pPr>
          </w:p>
        </w:tc>
        <w:tc>
          <w:tcPr>
            <w:tcW w:w="1260" w:type="dxa"/>
            <w:vAlign w:val="bottom"/>
            <w:gridSpan w:val="2"/>
          </w:tcPr>
          <w:p>
            <w:pPr>
              <w:ind w:left="80"/>
              <w:spacing w:after="0"/>
              <w:rPr>
                <w:sz w:val="20"/>
                <w:szCs w:val="20"/>
                <w:color w:val="auto"/>
              </w:rPr>
            </w:pPr>
            <w:r>
              <w:rPr>
                <w:rFonts w:ascii="Arial" w:cs="Arial" w:eastAsia="Arial" w:hAnsi="Arial"/>
                <w:sz w:val="18"/>
                <w:szCs w:val="18"/>
                <w:b w:val="1"/>
                <w:bCs w:val="1"/>
                <w:color w:val="auto"/>
              </w:rPr>
              <w:t>Corporate</w:t>
            </w:r>
          </w:p>
        </w:tc>
        <w:tc>
          <w:tcPr>
            <w:tcW w:w="200" w:type="dxa"/>
            <w:vAlign w:val="bottom"/>
          </w:tcPr>
          <w:p>
            <w:pPr>
              <w:spacing w:after="0"/>
              <w:rPr>
                <w:sz w:val="20"/>
                <w:szCs w:val="20"/>
                <w:color w:val="auto"/>
              </w:rPr>
            </w:pPr>
          </w:p>
        </w:tc>
        <w:tc>
          <w:tcPr>
            <w:tcW w:w="1460" w:type="dxa"/>
            <w:vAlign w:val="bottom"/>
            <w:gridSpan w:val="2"/>
          </w:tcPr>
          <w:p>
            <w:pPr>
              <w:ind w:left="80"/>
              <w:spacing w:after="0"/>
              <w:rPr>
                <w:sz w:val="20"/>
                <w:szCs w:val="20"/>
                <w:color w:val="auto"/>
              </w:rPr>
            </w:pPr>
            <w:r>
              <w:rPr>
                <w:rFonts w:ascii="Arial" w:cs="Arial" w:eastAsia="Arial" w:hAnsi="Arial"/>
                <w:sz w:val="18"/>
                <w:szCs w:val="18"/>
                <w:b w:val="1"/>
                <w:bCs w:val="1"/>
                <w:color w:val="auto"/>
              </w:rPr>
              <w:t>Eliminations</w:t>
            </w:r>
          </w:p>
        </w:tc>
        <w:tc>
          <w:tcPr>
            <w:tcW w:w="160" w:type="dxa"/>
            <w:vAlign w:val="bottom"/>
          </w:tcPr>
          <w:p>
            <w:pPr>
              <w:spacing w:after="0"/>
              <w:rPr>
                <w:sz w:val="20"/>
                <w:szCs w:val="20"/>
                <w:color w:val="auto"/>
              </w:rPr>
            </w:pPr>
          </w:p>
        </w:tc>
        <w:tc>
          <w:tcPr>
            <w:tcW w:w="1200" w:type="dxa"/>
            <w:vAlign w:val="bottom"/>
          </w:tcPr>
          <w:p>
            <w:pPr>
              <w:jc w:val="right"/>
              <w:ind w:right="210"/>
              <w:spacing w:after="0"/>
              <w:rPr>
                <w:sz w:val="20"/>
                <w:szCs w:val="20"/>
                <w:color w:val="auto"/>
              </w:rPr>
            </w:pPr>
            <w:r>
              <w:rPr>
                <w:rFonts w:ascii="Arial" w:cs="Arial" w:eastAsia="Arial" w:hAnsi="Arial"/>
                <w:sz w:val="18"/>
                <w:szCs w:val="18"/>
                <w:b w:val="1"/>
                <w:bCs w:val="1"/>
                <w:color w:val="auto"/>
              </w:rPr>
              <w:t>Company</w:t>
            </w:r>
          </w:p>
        </w:tc>
        <w:tc>
          <w:tcPr>
            <w:tcW w:w="0" w:type="dxa"/>
            <w:vAlign w:val="bottom"/>
          </w:tcPr>
          <w:p>
            <w:pPr>
              <w:spacing w:after="0"/>
              <w:rPr>
                <w:sz w:val="1"/>
                <w:szCs w:val="1"/>
                <w:color w:val="auto"/>
              </w:rPr>
            </w:pPr>
          </w:p>
        </w:tc>
      </w:tr>
      <w:tr>
        <w:trPr>
          <w:trHeight w:val="27"/>
        </w:trPr>
        <w:tc>
          <w:tcPr>
            <w:tcW w:w="38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3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Three Months Ended March 31, 2019</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820" w:type="dxa"/>
            <w:vAlign w:val="bottom"/>
          </w:tcPr>
          <w:p>
            <w:pPr>
              <w:ind w:left="40"/>
              <w:spacing w:after="0"/>
              <w:rPr>
                <w:sz w:val="20"/>
                <w:szCs w:val="20"/>
                <w:color w:val="auto"/>
              </w:rPr>
            </w:pPr>
            <w:r>
              <w:rPr>
                <w:rFonts w:ascii="Arial" w:cs="Arial" w:eastAsia="Arial" w:hAnsi="Arial"/>
                <w:sz w:val="18"/>
                <w:szCs w:val="18"/>
                <w:color w:val="auto"/>
              </w:rPr>
              <w:t>Oil and natural gas revenues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191,663</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1,606</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ind w:left="20"/>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193,269</w:t>
            </w:r>
          </w:p>
        </w:tc>
        <w:tc>
          <w:tcPr>
            <w:tcW w:w="0" w:type="dxa"/>
            <w:vAlign w:val="bottom"/>
          </w:tcPr>
          <w:p>
            <w:pPr>
              <w:spacing w:after="0"/>
              <w:rPr>
                <w:sz w:val="1"/>
                <w:szCs w:val="1"/>
                <w:color w:val="auto"/>
              </w:rPr>
            </w:pPr>
          </w:p>
        </w:tc>
      </w:tr>
      <w:tr>
        <w:trPr>
          <w:trHeight w:val="27"/>
        </w:trPr>
        <w:tc>
          <w:tcPr>
            <w:tcW w:w="3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Midstream services revenues</w:t>
            </w: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30,254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(18,416)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11,838</w:t>
            </w:r>
          </w:p>
        </w:tc>
        <w:tc>
          <w:tcPr>
            <w:tcW w:w="0" w:type="dxa"/>
            <w:vAlign w:val="bottom"/>
          </w:tcPr>
          <w:p>
            <w:pPr>
              <w:spacing w:after="0"/>
              <w:rPr>
                <w:sz w:val="1"/>
                <w:szCs w:val="1"/>
                <w:color w:val="auto"/>
              </w:rPr>
            </w:pPr>
          </w:p>
        </w:tc>
      </w:tr>
      <w:tr>
        <w:trPr>
          <w:trHeight w:val="243"/>
        </w:trPr>
        <w:tc>
          <w:tcPr>
            <w:tcW w:w="3820" w:type="dxa"/>
            <w:vAlign w:val="bottom"/>
          </w:tcPr>
          <w:p>
            <w:pPr>
              <w:ind w:left="40"/>
              <w:spacing w:after="0"/>
              <w:rPr>
                <w:sz w:val="20"/>
                <w:szCs w:val="20"/>
                <w:color w:val="auto"/>
              </w:rPr>
            </w:pPr>
            <w:r>
              <w:rPr>
                <w:rFonts w:ascii="Arial" w:cs="Arial" w:eastAsia="Arial" w:hAnsi="Arial"/>
                <w:sz w:val="18"/>
                <w:szCs w:val="18"/>
                <w:color w:val="auto"/>
              </w:rPr>
              <w:t>Sales of purchased natural gas</w:t>
            </w:r>
          </w:p>
        </w:tc>
        <w:tc>
          <w:tcPr>
            <w:tcW w:w="20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11,231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4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11,231</w:t>
            </w:r>
          </w:p>
        </w:tc>
        <w:tc>
          <w:tcPr>
            <w:tcW w:w="0" w:type="dxa"/>
            <w:vAlign w:val="bottom"/>
          </w:tcPr>
          <w:p>
            <w:pPr>
              <w:spacing w:after="0"/>
              <w:rPr>
                <w:sz w:val="1"/>
                <w:szCs w:val="1"/>
                <w:color w:val="auto"/>
              </w:rPr>
            </w:pPr>
          </w:p>
        </w:tc>
      </w:tr>
      <w:tr>
        <w:trPr>
          <w:trHeight w:val="27"/>
        </w:trPr>
        <w:tc>
          <w:tcPr>
            <w:tcW w:w="3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Realized gain on derivatives</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3,270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3,270</w:t>
            </w:r>
          </w:p>
        </w:tc>
        <w:tc>
          <w:tcPr>
            <w:tcW w:w="0" w:type="dxa"/>
            <w:vAlign w:val="bottom"/>
          </w:tcPr>
          <w:p>
            <w:pPr>
              <w:spacing w:after="0"/>
              <w:rPr>
                <w:sz w:val="1"/>
                <w:szCs w:val="1"/>
                <w:color w:val="auto"/>
              </w:rPr>
            </w:pPr>
          </w:p>
        </w:tc>
      </w:tr>
      <w:tr>
        <w:trPr>
          <w:trHeight w:val="243"/>
        </w:trPr>
        <w:tc>
          <w:tcPr>
            <w:tcW w:w="3820" w:type="dxa"/>
            <w:vAlign w:val="bottom"/>
          </w:tcPr>
          <w:p>
            <w:pPr>
              <w:ind w:left="40"/>
              <w:spacing w:after="0"/>
              <w:rPr>
                <w:sz w:val="20"/>
                <w:szCs w:val="20"/>
                <w:color w:val="auto"/>
              </w:rPr>
            </w:pPr>
            <w:r>
              <w:rPr>
                <w:rFonts w:ascii="Arial" w:cs="Arial" w:eastAsia="Arial" w:hAnsi="Arial"/>
                <w:sz w:val="18"/>
                <w:szCs w:val="18"/>
                <w:color w:val="auto"/>
              </w:rPr>
              <w:t>Unrealized loss on derivatives</w:t>
            </w:r>
          </w:p>
        </w:tc>
        <w:tc>
          <w:tcPr>
            <w:tcW w:w="2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(45,719)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4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(45,719)</w:t>
            </w:r>
          </w:p>
        </w:tc>
        <w:tc>
          <w:tcPr>
            <w:tcW w:w="0" w:type="dxa"/>
            <w:vAlign w:val="bottom"/>
          </w:tcPr>
          <w:p>
            <w:pPr>
              <w:spacing w:after="0"/>
              <w:rPr>
                <w:sz w:val="1"/>
                <w:szCs w:val="1"/>
                <w:color w:val="auto"/>
              </w:rPr>
            </w:pPr>
          </w:p>
        </w:tc>
      </w:tr>
      <w:tr>
        <w:trPr>
          <w:trHeight w:val="27"/>
        </w:trPr>
        <w:tc>
          <w:tcPr>
            <w:tcW w:w="3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82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Expenses</w:t>
            </w:r>
            <w:r>
              <w:rPr>
                <w:rFonts w:ascii="Arial" w:cs="Arial" w:eastAsia="Arial" w:hAnsi="Arial"/>
                <w:sz w:val="25"/>
                <w:szCs w:val="25"/>
                <w:color w:val="auto"/>
                <w:vertAlign w:val="superscript"/>
              </w:rPr>
              <w:t>(1)</w:t>
            </w:r>
          </w:p>
        </w:tc>
        <w:tc>
          <w:tcPr>
            <w:tcW w:w="20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141,980</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25,834</w:t>
            </w:r>
          </w:p>
        </w:tc>
        <w:tc>
          <w:tcPr>
            <w:tcW w:w="12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16,950</w:t>
            </w:r>
          </w:p>
        </w:tc>
        <w:tc>
          <w:tcPr>
            <w:tcW w:w="12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(18,416)</w:t>
            </w: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166,348</w:t>
            </w:r>
          </w:p>
        </w:tc>
        <w:tc>
          <w:tcPr>
            <w:tcW w:w="0" w:type="dxa"/>
            <w:vAlign w:val="bottom"/>
          </w:tcPr>
          <w:p>
            <w:pPr>
              <w:spacing w:after="0"/>
              <w:rPr>
                <w:sz w:val="1"/>
                <w:szCs w:val="1"/>
                <w:color w:val="auto"/>
              </w:rPr>
            </w:pPr>
          </w:p>
        </w:tc>
      </w:tr>
      <w:tr>
        <w:trPr>
          <w:trHeight w:val="303"/>
        </w:trPr>
        <w:tc>
          <w:tcPr>
            <w:tcW w:w="3820" w:type="dxa"/>
            <w:vAlign w:val="bottom"/>
            <w:tcBorders>
              <w:bottom w:val="single" w:sz="8" w:color="CCEEFF"/>
            </w:tcBorders>
          </w:tcPr>
          <w:p>
            <w:pPr>
              <w:ind w:left="40"/>
              <w:spacing w:after="0" w:line="263" w:lineRule="exact"/>
              <w:rPr>
                <w:sz w:val="20"/>
                <w:szCs w:val="20"/>
                <w:color w:val="auto"/>
              </w:rPr>
            </w:pPr>
            <w:r>
              <w:rPr>
                <w:rFonts w:ascii="Arial" w:cs="Arial" w:eastAsia="Arial" w:hAnsi="Arial"/>
                <w:sz w:val="18"/>
                <w:szCs w:val="18"/>
                <w:color w:val="auto"/>
              </w:rPr>
              <w:t>Operating income (loss)</w:t>
            </w:r>
            <w:r>
              <w:rPr>
                <w:rFonts w:ascii="Arial" w:cs="Arial" w:eastAsia="Arial" w:hAnsi="Arial"/>
                <w:sz w:val="25"/>
                <w:szCs w:val="25"/>
                <w:color w:val="auto"/>
                <w:vertAlign w:val="superscript"/>
              </w:rPr>
              <w:t>(2)</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7,234</w:t>
            </w: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17,257</w:t>
            </w:r>
          </w:p>
        </w:tc>
        <w:tc>
          <w:tcPr>
            <w:tcW w:w="12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(16,950)</w:t>
            </w:r>
          </w:p>
        </w:tc>
        <w:tc>
          <w:tcPr>
            <w:tcW w:w="12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7,541</w:t>
            </w:r>
          </w:p>
        </w:tc>
        <w:tc>
          <w:tcPr>
            <w:tcW w:w="0" w:type="dxa"/>
            <w:vAlign w:val="bottom"/>
          </w:tcPr>
          <w:p>
            <w:pPr>
              <w:spacing w:after="0"/>
              <w:rPr>
                <w:sz w:val="1"/>
                <w:szCs w:val="1"/>
                <w:color w:val="auto"/>
              </w:rPr>
            </w:pPr>
          </w:p>
        </w:tc>
      </w:tr>
      <w:tr>
        <w:trPr>
          <w:trHeight w:val="244"/>
        </w:trPr>
        <w:tc>
          <w:tcPr>
            <w:tcW w:w="3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assets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3,043,375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477,836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62,087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3,583,298</w:t>
            </w:r>
          </w:p>
        </w:tc>
        <w:tc>
          <w:tcPr>
            <w:tcW w:w="0" w:type="dxa"/>
            <w:vAlign w:val="bottom"/>
          </w:tcPr>
          <w:p>
            <w:pPr>
              <w:spacing w:after="0"/>
              <w:rPr>
                <w:sz w:val="1"/>
                <w:szCs w:val="1"/>
                <w:color w:val="auto"/>
              </w:rPr>
            </w:pPr>
          </w:p>
        </w:tc>
      </w:tr>
      <w:tr>
        <w:trPr>
          <w:trHeight w:val="20"/>
        </w:trPr>
        <w:tc>
          <w:tcPr>
            <w:tcW w:w="38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3820" w:type="dxa"/>
            <w:vAlign w:val="bottom"/>
          </w:tcPr>
          <w:p>
            <w:pPr>
              <w:ind w:left="40"/>
              <w:spacing w:after="0" w:line="257" w:lineRule="exact"/>
              <w:rPr>
                <w:sz w:val="20"/>
                <w:szCs w:val="20"/>
                <w:color w:val="auto"/>
              </w:rPr>
            </w:pPr>
            <w:r>
              <w:rPr>
                <w:rFonts w:ascii="Arial" w:cs="Arial" w:eastAsia="Arial" w:hAnsi="Arial"/>
                <w:sz w:val="18"/>
                <w:szCs w:val="18"/>
                <w:color w:val="auto"/>
              </w:rPr>
              <w:t>Capital expenditures</w:t>
            </w:r>
            <w:r>
              <w:rPr>
                <w:rFonts w:ascii="Arial" w:cs="Arial" w:eastAsia="Arial" w:hAnsi="Arial"/>
                <w:sz w:val="25"/>
                <w:szCs w:val="25"/>
                <w:color w:val="auto"/>
                <w:vertAlign w:val="superscript"/>
              </w:rPr>
              <w:t>(3)</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197,611</w:t>
            </w:r>
          </w:p>
        </w:tc>
        <w:tc>
          <w:tcPr>
            <w:tcW w:w="10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29,432</w:t>
            </w:r>
          </w:p>
        </w:tc>
        <w:tc>
          <w:tcPr>
            <w:tcW w:w="120" w:type="dxa"/>
            <w:vAlign w:val="bottom"/>
          </w:tcPr>
          <w:p>
            <w:pPr>
              <w:spacing w:after="0"/>
              <w:rPr>
                <w:sz w:val="22"/>
                <w:szCs w:val="22"/>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807</w:t>
            </w:r>
          </w:p>
        </w:tc>
        <w:tc>
          <w:tcPr>
            <w:tcW w:w="120" w:type="dxa"/>
            <w:vAlign w:val="bottom"/>
          </w:tcPr>
          <w:p>
            <w:pPr>
              <w:spacing w:after="0"/>
              <w:rPr>
                <w:sz w:val="22"/>
                <w:szCs w:val="22"/>
                <w:color w:val="auto"/>
              </w:rPr>
            </w:pPr>
          </w:p>
        </w:tc>
        <w:tc>
          <w:tcPr>
            <w:tcW w:w="200" w:type="dxa"/>
            <w:vAlign w:val="bottom"/>
          </w:tcPr>
          <w:p>
            <w:pPr>
              <w:ind w:left="20"/>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227,850</w:t>
            </w:r>
          </w:p>
        </w:tc>
        <w:tc>
          <w:tcPr>
            <w:tcW w:w="0" w:type="dxa"/>
            <w:vAlign w:val="bottom"/>
          </w:tcPr>
          <w:p>
            <w:pPr>
              <w:spacing w:after="0"/>
              <w:rPr>
                <w:sz w:val="1"/>
                <w:szCs w:val="1"/>
                <w:color w:val="auto"/>
              </w:rPr>
            </w:pPr>
          </w:p>
        </w:tc>
      </w:tr>
      <w:tr>
        <w:trPr>
          <w:trHeight w:val="20"/>
        </w:trPr>
        <w:tc>
          <w:tcPr>
            <w:tcW w:w="3820" w:type="dxa"/>
            <w:vAlign w:val="bottom"/>
            <w:vMerge w:val="restart"/>
          </w:tcPr>
          <w:p>
            <w:pPr>
              <w:spacing w:after="0"/>
              <w:rPr>
                <w:sz w:val="20"/>
                <w:szCs w:val="20"/>
                <w:color w:val="auto"/>
              </w:rPr>
            </w:pPr>
            <w:r>
              <w:rPr>
                <w:rFonts w:ascii="Arial" w:cs="Arial" w:eastAsia="Arial" w:hAnsi="Arial"/>
                <w:sz w:val="18"/>
                <w:szCs w:val="18"/>
                <w:color w:val="auto"/>
              </w:rPr>
              <w:t>_____________________</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82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03" w:lineRule="exact"/>
        <w:rPr>
          <w:sz w:val="20"/>
          <w:szCs w:val="20"/>
          <w:color w:val="auto"/>
        </w:rPr>
      </w:pPr>
    </w:p>
    <w:p>
      <w:pPr>
        <w:ind w:left="340" w:right="460" w:hanging="332"/>
        <w:spacing w:after="0" w:line="273" w:lineRule="auto"/>
        <w:tabs>
          <w:tab w:leader="none" w:pos="340" w:val="left"/>
        </w:tabs>
        <w:numPr>
          <w:ilvl w:val="0"/>
          <w:numId w:val="12"/>
        </w:numPr>
        <w:rPr>
          <w:rFonts w:ascii="Arial" w:cs="Arial" w:eastAsia="Arial" w:hAnsi="Arial"/>
          <w:sz w:val="14"/>
          <w:szCs w:val="14"/>
          <w:color w:val="auto"/>
        </w:rPr>
      </w:pPr>
      <w:r>
        <w:rPr>
          <w:rFonts w:ascii="Arial" w:cs="Arial" w:eastAsia="Arial" w:hAnsi="Arial"/>
          <w:sz w:val="14"/>
          <w:szCs w:val="14"/>
          <w:color w:val="auto"/>
        </w:rPr>
        <w:t>Includes depletion, depreciation and amortization expenses of $72.6 million and $3.7 million for the exploration and production and midstream segments, respectively. Also includes corporate depletion, depreciation and amortization expenses of $0.6 million.</w:t>
      </w:r>
    </w:p>
    <w:p>
      <w:pPr>
        <w:spacing w:after="0" w:line="65" w:lineRule="exact"/>
        <w:rPr>
          <w:rFonts w:ascii="Arial" w:cs="Arial" w:eastAsia="Arial" w:hAnsi="Arial"/>
          <w:sz w:val="14"/>
          <w:szCs w:val="14"/>
          <w:color w:val="auto"/>
        </w:rPr>
      </w:pPr>
    </w:p>
    <w:p>
      <w:pPr>
        <w:ind w:left="340" w:hanging="332"/>
        <w:spacing w:after="0"/>
        <w:tabs>
          <w:tab w:leader="none" w:pos="340" w:val="left"/>
        </w:tabs>
        <w:numPr>
          <w:ilvl w:val="0"/>
          <w:numId w:val="12"/>
        </w:numPr>
        <w:rPr>
          <w:rFonts w:ascii="Arial" w:cs="Arial" w:eastAsia="Arial" w:hAnsi="Arial"/>
          <w:sz w:val="14"/>
          <w:szCs w:val="14"/>
          <w:color w:val="auto"/>
        </w:rPr>
      </w:pPr>
      <w:r>
        <w:rPr>
          <w:rFonts w:ascii="Arial" w:cs="Arial" w:eastAsia="Arial" w:hAnsi="Arial"/>
          <w:sz w:val="14"/>
          <w:szCs w:val="14"/>
          <w:color w:val="auto"/>
        </w:rPr>
        <w:t>Includes $7.5 million in net income attributable to non-controlling interest in subsidiaries related to the midstream segment.</w:t>
      </w:r>
    </w:p>
    <w:p>
      <w:pPr>
        <w:spacing w:after="0" w:line="109" w:lineRule="exact"/>
        <w:rPr>
          <w:rFonts w:ascii="Arial" w:cs="Arial" w:eastAsia="Arial" w:hAnsi="Arial"/>
          <w:sz w:val="14"/>
          <w:szCs w:val="14"/>
          <w:color w:val="auto"/>
        </w:rPr>
      </w:pPr>
    </w:p>
    <w:p>
      <w:pPr>
        <w:ind w:left="340" w:right="200" w:hanging="332"/>
        <w:spacing w:after="0" w:line="273" w:lineRule="auto"/>
        <w:tabs>
          <w:tab w:leader="none" w:pos="340" w:val="left"/>
        </w:tabs>
        <w:numPr>
          <w:ilvl w:val="0"/>
          <w:numId w:val="12"/>
        </w:numPr>
        <w:rPr>
          <w:rFonts w:ascii="Arial" w:cs="Arial" w:eastAsia="Arial" w:hAnsi="Arial"/>
          <w:sz w:val="14"/>
          <w:szCs w:val="14"/>
          <w:color w:val="auto"/>
        </w:rPr>
      </w:pPr>
      <w:r>
        <w:rPr>
          <w:rFonts w:ascii="Arial" w:cs="Arial" w:eastAsia="Arial" w:hAnsi="Arial"/>
          <w:sz w:val="14"/>
          <w:szCs w:val="14"/>
          <w:color w:val="auto"/>
        </w:rPr>
        <w:t>Includes $23.1 million attributable to land and seismic acquisition expenditures related to the exploration and production segment and $13.7 million in capital expenditures attributable to non-controlling interest in subsidiaries related to the midstream segment.</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 SUBSIDIARY GUARANTORS</w:t>
      </w:r>
    </w:p>
    <w:p>
      <w:pPr>
        <w:spacing w:after="0" w:line="121" w:lineRule="exact"/>
        <w:rPr>
          <w:sz w:val="20"/>
          <w:szCs w:val="20"/>
          <w:color w:val="auto"/>
        </w:rPr>
      </w:pPr>
    </w:p>
    <w:p>
      <w:pPr>
        <w:ind w:right="80" w:firstLine="405"/>
        <w:spacing w:after="0" w:line="301" w:lineRule="auto"/>
        <w:rPr>
          <w:sz w:val="20"/>
          <w:szCs w:val="20"/>
          <w:color w:val="auto"/>
        </w:rPr>
      </w:pPr>
      <w:r>
        <w:rPr>
          <w:rFonts w:ascii="Arial" w:cs="Arial" w:eastAsia="Arial" w:hAnsi="Arial"/>
          <w:sz w:val="16"/>
          <w:szCs w:val="16"/>
          <w:color w:val="auto"/>
        </w:rPr>
        <w:t>The Notes are jointly and severally guaranteed by certain subsidiaries of Matador (the “Guarantor Subsidiaries”) on a full and unconditional basis (except for customary release provisions). At March 31, 2020, the Guarantor Subsidiaries were 100% owned by Matador. Matador is a parent holding company and has no independent assets or operations, and there are no significant restrictions on the ability of Matador to obtain funds from the Guarantor Subsidiaries by dividend or loan. San Mateo and its subsidiaries (the “Non-Guarantor Subsidiaries”) are not guarantors of the Notes.</w:t>
      </w:r>
    </w:p>
    <w:p>
      <w:pPr>
        <w:spacing w:after="0" w:line="49" w:lineRule="exact"/>
        <w:rPr>
          <w:sz w:val="20"/>
          <w:szCs w:val="20"/>
          <w:color w:val="auto"/>
        </w:rPr>
      </w:pPr>
    </w:p>
    <w:p>
      <w:pPr>
        <w:ind w:right="140" w:firstLine="405"/>
        <w:spacing w:after="0" w:line="301" w:lineRule="auto"/>
        <w:rPr>
          <w:sz w:val="20"/>
          <w:szCs w:val="20"/>
          <w:color w:val="auto"/>
        </w:rPr>
      </w:pPr>
      <w:r>
        <w:rPr>
          <w:rFonts w:ascii="Arial" w:cs="Arial" w:eastAsia="Arial" w:hAnsi="Arial"/>
          <w:sz w:val="16"/>
          <w:szCs w:val="16"/>
          <w:color w:val="auto"/>
        </w:rPr>
        <w:t>The following tables present condensed consolidating financial information of Matador (as issuer of the Notes), the Non-Guarantor Subsidiaries, the Guarantor Subsidiaries and all entities on a consolidated basis (in thousands). Elimination entries are necessary to combine the entities. This financial information is presented in accordance with the requirements of Rule 3-10 of Regulation S-X. The following financial information may not necessarily be indicative of results of operations, cash flows or financial position had the Guarantor Subsidiaries operated as independent entities.</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Condensed Consolidating Balance Sheet</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March 31,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681990</wp:posOffset>
            </wp:positionH>
            <wp:positionV relativeFrom="paragraph">
              <wp:posOffset>13335</wp:posOffset>
            </wp:positionV>
            <wp:extent cx="57861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786120" cy="17145"/>
                    </a:xfrm>
                    <a:prstGeom prst="rect">
                      <a:avLst/>
                    </a:prstGeom>
                    <a:noFill/>
                  </pic:spPr>
                </pic:pic>
              </a:graphicData>
            </a:graphic>
          </wp:anchor>
        </w:drawing>
      </w:r>
    </w:p>
    <w:p>
      <w:pPr>
        <w:spacing w:after="0" w:line="20" w:lineRule="exact"/>
        <w:rPr>
          <w:sz w:val="20"/>
          <w:szCs w:val="20"/>
          <w:color w:val="auto"/>
        </w:rPr>
      </w:pPr>
    </w:p>
    <w:tbl>
      <w:tblPr>
        <w:tblLayout w:type="fixed"/>
        <w:tblInd w:w="104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Non-</w:t>
            </w:r>
          </w:p>
        </w:tc>
        <w:tc>
          <w:tcPr>
            <w:tcW w:w="160" w:type="dxa"/>
            <w:vAlign w:val="bottom"/>
          </w:tcPr>
          <w:p>
            <w:pPr>
              <w:spacing w:after="0"/>
              <w:rPr>
                <w:sz w:val="14"/>
                <w:szCs w:val="14"/>
                <w:color w:val="auto"/>
              </w:rPr>
            </w:pPr>
          </w:p>
        </w:tc>
        <w:tc>
          <w:tcPr>
            <w:tcW w:w="9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Guarantor</w:t>
            </w:r>
          </w:p>
        </w:tc>
        <w:tc>
          <w:tcPr>
            <w:tcW w:w="140" w:type="dxa"/>
            <w:vAlign w:val="bottom"/>
          </w:tcPr>
          <w:p>
            <w:pPr>
              <w:spacing w:after="0"/>
              <w:rPr>
                <w:sz w:val="14"/>
                <w:szCs w:val="14"/>
                <w:color w:val="auto"/>
              </w:rPr>
            </w:pPr>
          </w:p>
        </w:tc>
        <w:tc>
          <w:tcPr>
            <w:tcW w:w="980" w:type="dxa"/>
            <w:vAlign w:val="bottom"/>
            <w:gridSpan w:val="2"/>
            <w:vMerge w:val="restart"/>
          </w:tcPr>
          <w:p>
            <w:pPr>
              <w:jc w:val="right"/>
              <w:ind w:right="260"/>
              <w:spacing w:after="0"/>
              <w:rPr>
                <w:sz w:val="20"/>
                <w:szCs w:val="20"/>
                <w:color w:val="auto"/>
              </w:rPr>
            </w:pPr>
            <w:r>
              <w:rPr>
                <w:rFonts w:ascii="Arial" w:cs="Arial" w:eastAsia="Arial" w:hAnsi="Arial"/>
                <w:sz w:val="14"/>
                <w:szCs w:val="14"/>
                <w:b w:val="1"/>
                <w:bCs w:val="1"/>
                <w:color w:val="auto"/>
                <w:w w:val="92"/>
              </w:rPr>
              <w:t>Eliminating</w:t>
            </w: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40" w:type="dxa"/>
            <w:vAlign w:val="bottom"/>
          </w:tcPr>
          <w:p>
            <w:pPr>
              <w:spacing w:after="0"/>
              <w:rPr>
                <w:sz w:val="12"/>
                <w:szCs w:val="12"/>
                <w:color w:val="auto"/>
              </w:rPr>
            </w:pPr>
          </w:p>
        </w:tc>
        <w:tc>
          <w:tcPr>
            <w:tcW w:w="31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Matador</w:t>
            </w:r>
          </w:p>
        </w:tc>
        <w:tc>
          <w:tcPr>
            <w:tcW w:w="140" w:type="dxa"/>
            <w:vAlign w:val="bottom"/>
          </w:tcPr>
          <w:p>
            <w:pPr>
              <w:spacing w:after="0"/>
              <w:rPr>
                <w:sz w:val="12"/>
                <w:szCs w:val="12"/>
                <w:color w:val="auto"/>
              </w:rPr>
            </w:pPr>
          </w:p>
        </w:tc>
        <w:tc>
          <w:tcPr>
            <w:tcW w:w="9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7"/>
              </w:rPr>
              <w:t>Guarantor</w:t>
            </w:r>
          </w:p>
        </w:tc>
        <w:tc>
          <w:tcPr>
            <w:tcW w:w="16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000" w:type="dxa"/>
            <w:vAlign w:val="bottom"/>
            <w:gridSpan w:val="2"/>
            <w:vMerge w:val="restart"/>
          </w:tcPr>
          <w:p>
            <w:pPr>
              <w:jc w:val="right"/>
              <w:ind w:right="28"/>
              <w:spacing w:after="0"/>
              <w:rPr>
                <w:sz w:val="20"/>
                <w:szCs w:val="20"/>
                <w:color w:val="auto"/>
              </w:rPr>
            </w:pPr>
            <w:r>
              <w:rPr>
                <w:rFonts w:ascii="Arial" w:cs="Arial" w:eastAsia="Arial" w:hAnsi="Arial"/>
                <w:sz w:val="14"/>
                <w:szCs w:val="14"/>
                <w:b w:val="1"/>
                <w:bCs w:val="1"/>
                <w:color w:val="auto"/>
                <w:w w:val="99"/>
              </w:rPr>
              <w:t>Consolidated</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318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gridSpan w:val="2"/>
            <w:vMerge w:val="continue"/>
          </w:tcPr>
          <w:p>
            <w:pPr>
              <w:spacing w:after="0"/>
              <w:rPr>
                <w:sz w:val="16"/>
                <w:szCs w:val="16"/>
                <w:color w:val="auto"/>
              </w:rPr>
            </w:pPr>
          </w:p>
        </w:tc>
        <w:tc>
          <w:tcPr>
            <w:tcW w:w="1100" w:type="dxa"/>
            <w:vAlign w:val="bottom"/>
            <w:tcBorders>
              <w:bottom w:val="single" w:sz="8" w:color="auto"/>
            </w:tcBorders>
            <w:gridSpan w:val="3"/>
          </w:tcPr>
          <w:p>
            <w:pPr>
              <w:jc w:val="center"/>
              <w:ind w:right="120"/>
              <w:spacing w:after="0"/>
              <w:rPr>
                <w:sz w:val="20"/>
                <w:szCs w:val="20"/>
                <w:color w:val="auto"/>
              </w:rPr>
            </w:pPr>
            <w:r>
              <w:rPr>
                <w:rFonts w:ascii="Arial" w:cs="Arial" w:eastAsia="Arial" w:hAnsi="Arial"/>
                <w:sz w:val="14"/>
                <w:szCs w:val="14"/>
                <w:b w:val="1"/>
                <w:bCs w:val="1"/>
                <w:color w:val="auto"/>
                <w:w w:val="88"/>
              </w:rPr>
              <w:t>Subsidiaries</w:t>
            </w:r>
          </w:p>
        </w:tc>
        <w:tc>
          <w:tcPr>
            <w:tcW w:w="1120" w:type="dxa"/>
            <w:vAlign w:val="bottom"/>
            <w:tcBorders>
              <w:bottom w:val="single" w:sz="8" w:color="auto"/>
            </w:tcBorders>
            <w:gridSpan w:val="3"/>
          </w:tcPr>
          <w:p>
            <w:pPr>
              <w:jc w:val="right"/>
              <w:ind w:right="240"/>
              <w:spacing w:after="0"/>
              <w:rPr>
                <w:sz w:val="20"/>
                <w:szCs w:val="20"/>
                <w:color w:val="auto"/>
              </w:rPr>
            </w:pPr>
            <w:r>
              <w:rPr>
                <w:rFonts w:ascii="Arial" w:cs="Arial" w:eastAsia="Arial" w:hAnsi="Arial"/>
                <w:sz w:val="14"/>
                <w:szCs w:val="14"/>
                <w:b w:val="1"/>
                <w:bCs w:val="1"/>
                <w:color w:val="auto"/>
              </w:rPr>
              <w:t>Subsidiaries</w:t>
            </w: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2"/>
          </w:tcPr>
          <w:p>
            <w:pPr>
              <w:jc w:val="right"/>
              <w:ind w:right="400"/>
              <w:spacing w:after="0"/>
              <w:rPr>
                <w:sz w:val="20"/>
                <w:szCs w:val="20"/>
                <w:color w:val="auto"/>
              </w:rPr>
            </w:pPr>
            <w:r>
              <w:rPr>
                <w:rFonts w:ascii="Arial" w:cs="Arial" w:eastAsia="Arial" w:hAnsi="Arial"/>
                <w:sz w:val="14"/>
                <w:szCs w:val="14"/>
                <w:b w:val="1"/>
                <w:bCs w:val="1"/>
                <w:color w:val="auto"/>
              </w:rPr>
              <w:t>Entries</w:t>
            </w:r>
          </w:p>
        </w:tc>
        <w:tc>
          <w:tcPr>
            <w:tcW w:w="1000" w:type="dxa"/>
            <w:vAlign w:val="bottom"/>
            <w:tcBorders>
              <w:bottom w:val="single" w:sz="8" w:color="auto"/>
            </w:tcBorders>
            <w:gridSpan w:val="2"/>
            <w:vMerge w:val="continue"/>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40" w:type="dxa"/>
            <w:vAlign w:val="bottom"/>
          </w:tcPr>
          <w:p>
            <w:pPr>
              <w:spacing w:after="0"/>
              <w:rPr>
                <w:sz w:val="16"/>
                <w:szCs w:val="16"/>
                <w:color w:val="auto"/>
              </w:rPr>
            </w:pPr>
          </w:p>
        </w:tc>
        <w:tc>
          <w:tcPr>
            <w:tcW w:w="3180" w:type="dxa"/>
            <w:vAlign w:val="bottom"/>
            <w:shd w:val="clear" w:color="auto" w:fill="CCEEFF"/>
          </w:tcPr>
          <w:p>
            <w:pPr>
              <w:ind w:left="20"/>
              <w:spacing w:after="0"/>
              <w:rPr>
                <w:sz w:val="20"/>
                <w:szCs w:val="20"/>
                <w:color w:val="auto"/>
              </w:rPr>
            </w:pPr>
            <w:r>
              <w:rPr>
                <w:rFonts w:ascii="Arial" w:cs="Arial" w:eastAsia="Arial" w:hAnsi="Arial"/>
                <w:sz w:val="14"/>
                <w:szCs w:val="14"/>
                <w:color w:val="auto"/>
              </w:rPr>
              <w:t>ASSETS</w:t>
            </w:r>
          </w:p>
        </w:tc>
        <w:tc>
          <w:tcPr>
            <w:tcW w:w="4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9"/>
        </w:trPr>
        <w:tc>
          <w:tcPr>
            <w:tcW w:w="40" w:type="dxa"/>
            <w:vAlign w:val="bottom"/>
          </w:tcPr>
          <w:p>
            <w:pPr>
              <w:spacing w:after="0"/>
              <w:rPr>
                <w:sz w:val="6"/>
                <w:szCs w:val="6"/>
                <w:color w:val="auto"/>
              </w:rPr>
            </w:pPr>
          </w:p>
        </w:tc>
        <w:tc>
          <w:tcPr>
            <w:tcW w:w="3180" w:type="dxa"/>
            <w:vAlign w:val="bottom"/>
            <w:shd w:val="clear" w:color="auto" w:fill="CCEEFF"/>
          </w:tcPr>
          <w:p>
            <w:pPr>
              <w:spacing w:after="0"/>
              <w:rPr>
                <w:sz w:val="6"/>
                <w:szCs w:val="6"/>
                <w:color w:val="auto"/>
              </w:rPr>
            </w:pPr>
          </w:p>
        </w:tc>
        <w:tc>
          <w:tcPr>
            <w:tcW w:w="48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8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86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84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8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740" w:type="dxa"/>
            <w:vAlign w:val="bottom"/>
            <w:shd w:val="clear" w:color="auto" w:fill="CCEEFF"/>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40" w:type="dxa"/>
            <w:vAlign w:val="bottom"/>
          </w:tcPr>
          <w:p>
            <w:pPr>
              <w:spacing w:after="0"/>
              <w:rPr>
                <w:sz w:val="16"/>
                <w:szCs w:val="16"/>
                <w:color w:val="auto"/>
              </w:rPr>
            </w:pPr>
          </w:p>
        </w:tc>
        <w:tc>
          <w:tcPr>
            <w:tcW w:w="3180" w:type="dxa"/>
            <w:vAlign w:val="bottom"/>
          </w:tcPr>
          <w:p>
            <w:pPr>
              <w:ind w:left="360"/>
              <w:spacing w:after="0"/>
              <w:rPr>
                <w:sz w:val="20"/>
                <w:szCs w:val="20"/>
                <w:color w:val="auto"/>
              </w:rPr>
            </w:pPr>
            <w:r>
              <w:rPr>
                <w:rFonts w:ascii="Arial" w:cs="Arial" w:eastAsia="Arial" w:hAnsi="Arial"/>
                <w:sz w:val="14"/>
                <w:szCs w:val="14"/>
                <w:color w:val="auto"/>
              </w:rPr>
              <w:t>Intercompany receivable</w:t>
            </w:r>
          </w:p>
        </w:tc>
        <w:tc>
          <w:tcPr>
            <w:tcW w:w="660" w:type="dxa"/>
            <w:vAlign w:val="bottom"/>
            <w:gridSpan w:val="2"/>
            <w:vMerge w:val="restart"/>
          </w:tcPr>
          <w:p>
            <w:pPr>
              <w:jc w:val="right"/>
              <w:ind w:right="8"/>
              <w:spacing w:after="0"/>
              <w:rPr>
                <w:sz w:val="20"/>
                <w:szCs w:val="20"/>
                <w:color w:val="auto"/>
              </w:rPr>
            </w:pPr>
            <w:r>
              <w:rPr>
                <w:rFonts w:ascii="Arial" w:cs="Arial" w:eastAsia="Arial" w:hAnsi="Arial"/>
                <w:sz w:val="14"/>
                <w:szCs w:val="14"/>
                <w:color w:val="auto"/>
              </w:rPr>
              <w:t>$</w:t>
            </w: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1,595,484</w:t>
            </w:r>
          </w:p>
        </w:tc>
        <w:tc>
          <w:tcPr>
            <w:tcW w:w="100" w:type="dxa"/>
            <w:vAlign w:val="bottom"/>
          </w:tcPr>
          <w:p>
            <w:pPr>
              <w:spacing w:after="0"/>
              <w:rPr>
                <w:sz w:val="16"/>
                <w:szCs w:val="16"/>
                <w:color w:val="auto"/>
              </w:rPr>
            </w:pPr>
          </w:p>
        </w:tc>
        <w:tc>
          <w:tcPr>
            <w:tcW w:w="1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13,440</w:t>
            </w:r>
          </w:p>
        </w:tc>
        <w:tc>
          <w:tcPr>
            <w:tcW w:w="100" w:type="dxa"/>
            <w:vAlign w:val="bottom"/>
          </w:tcPr>
          <w:p>
            <w:pPr>
              <w:spacing w:after="0"/>
              <w:rPr>
                <w:sz w:val="16"/>
                <w:szCs w:val="16"/>
                <w:color w:val="auto"/>
              </w:rPr>
            </w:pPr>
          </w:p>
        </w:tc>
        <w:tc>
          <w:tcPr>
            <w:tcW w:w="1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96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vMerge w:val="restart"/>
          </w:tcPr>
          <w:p>
            <w:pPr>
              <w:jc w:val="right"/>
              <w:spacing w:after="0"/>
              <w:rPr>
                <w:sz w:val="20"/>
                <w:szCs w:val="20"/>
                <w:color w:val="auto"/>
              </w:rPr>
            </w:pPr>
            <w:r>
              <w:rPr>
                <w:rFonts w:ascii="Arial" w:cs="Arial" w:eastAsia="Arial" w:hAnsi="Arial"/>
                <w:sz w:val="14"/>
                <w:szCs w:val="14"/>
                <w:color w:val="auto"/>
                <w:w w:val="76"/>
              </w:rPr>
              <w:t>$</w:t>
            </w:r>
          </w:p>
        </w:tc>
        <w:tc>
          <w:tcPr>
            <w:tcW w:w="880" w:type="dxa"/>
            <w:vAlign w:val="bottom"/>
            <w:vMerge w:val="restart"/>
          </w:tcPr>
          <w:p>
            <w:pPr>
              <w:jc w:val="right"/>
              <w:spacing w:after="0"/>
              <w:rPr>
                <w:sz w:val="20"/>
                <w:szCs w:val="20"/>
                <w:color w:val="auto"/>
              </w:rPr>
            </w:pPr>
            <w:r>
              <w:rPr>
                <w:rFonts w:ascii="Arial" w:cs="Arial" w:eastAsia="Arial" w:hAnsi="Arial"/>
                <w:sz w:val="14"/>
                <w:szCs w:val="14"/>
                <w:color w:val="auto"/>
              </w:rPr>
              <w:t>(1,608,924)</w:t>
            </w:r>
          </w:p>
        </w:tc>
        <w:tc>
          <w:tcPr>
            <w:tcW w:w="100" w:type="dxa"/>
            <w:vAlign w:val="bottom"/>
          </w:tcPr>
          <w:p>
            <w:pPr>
              <w:spacing w:after="0"/>
              <w:rPr>
                <w:sz w:val="16"/>
                <w:szCs w:val="16"/>
                <w:color w:val="auto"/>
              </w:rPr>
            </w:pPr>
          </w:p>
        </w:tc>
        <w:tc>
          <w:tcPr>
            <w:tcW w:w="260" w:type="dxa"/>
            <w:vAlign w:val="bottom"/>
            <w:vMerge w:val="restart"/>
          </w:tcPr>
          <w:p>
            <w:pPr>
              <w:jc w:val="right"/>
              <w:ind w:right="88"/>
              <w:spacing w:after="0"/>
              <w:rPr>
                <w:sz w:val="20"/>
                <w:szCs w:val="20"/>
                <w:color w:val="auto"/>
              </w:rPr>
            </w:pPr>
            <w:r>
              <w:rPr>
                <w:rFonts w:ascii="Arial" w:cs="Arial" w:eastAsia="Arial" w:hAnsi="Arial"/>
                <w:sz w:val="14"/>
                <w:szCs w:val="14"/>
                <w:color w:val="auto"/>
              </w:rPr>
              <w:t>$</w:t>
            </w: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3180" w:type="dxa"/>
            <w:vAlign w:val="bottom"/>
          </w:tcPr>
          <w:p>
            <w:pPr>
              <w:spacing w:after="0"/>
              <w:rPr>
                <w:sz w:val="6"/>
                <w:szCs w:val="6"/>
                <w:color w:val="auto"/>
              </w:rPr>
            </w:pPr>
          </w:p>
        </w:tc>
        <w:tc>
          <w:tcPr>
            <w:tcW w:w="660" w:type="dxa"/>
            <w:vAlign w:val="bottom"/>
            <w:gridSpan w:val="2"/>
            <w:vMerge w:val="continue"/>
          </w:tcPr>
          <w:p>
            <w:pPr>
              <w:spacing w:after="0"/>
              <w:rPr>
                <w:sz w:val="6"/>
                <w:szCs w:val="6"/>
                <w:color w:val="auto"/>
              </w:rPr>
            </w:pPr>
          </w:p>
        </w:tc>
        <w:tc>
          <w:tcPr>
            <w:tcW w:w="8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vMerge w:val="continue"/>
          </w:tcPr>
          <w:p>
            <w:pPr>
              <w:spacing w:after="0"/>
              <w:rPr>
                <w:sz w:val="6"/>
                <w:szCs w:val="6"/>
                <w:color w:val="auto"/>
              </w:rPr>
            </w:pPr>
          </w:p>
        </w:tc>
        <w:tc>
          <w:tcPr>
            <w:tcW w:w="86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vMerge w:val="continue"/>
          </w:tcPr>
          <w:p>
            <w:pPr>
              <w:spacing w:after="0"/>
              <w:rPr>
                <w:sz w:val="6"/>
                <w:szCs w:val="6"/>
                <w:color w:val="auto"/>
              </w:rPr>
            </w:pPr>
          </w:p>
        </w:tc>
        <w:tc>
          <w:tcPr>
            <w:tcW w:w="960" w:type="dxa"/>
            <w:vAlign w:val="bottom"/>
            <w:gridSpan w:val="2"/>
            <w:vMerge w:val="continue"/>
          </w:tcPr>
          <w:p>
            <w:pPr>
              <w:spacing w:after="0"/>
              <w:rPr>
                <w:sz w:val="6"/>
                <w:szCs w:val="6"/>
                <w:color w:val="auto"/>
              </w:rPr>
            </w:pPr>
          </w:p>
        </w:tc>
        <w:tc>
          <w:tcPr>
            <w:tcW w:w="140" w:type="dxa"/>
            <w:vAlign w:val="bottom"/>
            <w:vMerge w:val="continue"/>
          </w:tcPr>
          <w:p>
            <w:pPr>
              <w:spacing w:after="0"/>
              <w:rPr>
                <w:sz w:val="6"/>
                <w:szCs w:val="6"/>
                <w:color w:val="auto"/>
              </w:rPr>
            </w:pPr>
          </w:p>
        </w:tc>
        <w:tc>
          <w:tcPr>
            <w:tcW w:w="8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26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40" w:type="dxa"/>
            <w:vAlign w:val="bottom"/>
          </w:tcPr>
          <w:p>
            <w:pPr>
              <w:spacing w:after="0"/>
              <w:rPr>
                <w:sz w:val="17"/>
                <w:szCs w:val="17"/>
                <w:color w:val="auto"/>
              </w:rPr>
            </w:pPr>
          </w:p>
        </w:tc>
        <w:tc>
          <w:tcPr>
            <w:tcW w:w="3180" w:type="dxa"/>
            <w:vAlign w:val="bottom"/>
            <w:shd w:val="clear" w:color="auto" w:fill="CCEEFF"/>
          </w:tcPr>
          <w:p>
            <w:pPr>
              <w:ind w:left="360"/>
              <w:spacing w:after="0"/>
              <w:rPr>
                <w:sz w:val="20"/>
                <w:szCs w:val="20"/>
                <w:color w:val="auto"/>
              </w:rPr>
            </w:pPr>
            <w:r>
              <w:rPr>
                <w:rFonts w:ascii="Arial" w:cs="Arial" w:eastAsia="Arial" w:hAnsi="Arial"/>
                <w:sz w:val="14"/>
                <w:szCs w:val="14"/>
                <w:color w:val="auto"/>
              </w:rPr>
              <w:t>Current assets</w:t>
            </w:r>
          </w:p>
        </w:tc>
        <w:tc>
          <w:tcPr>
            <w:tcW w:w="4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7,024</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41,840</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307,771</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7"/>
                <w:szCs w:val="17"/>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356,635</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9"/>
        </w:trPr>
        <w:tc>
          <w:tcPr>
            <w:tcW w:w="40" w:type="dxa"/>
            <w:vAlign w:val="bottom"/>
          </w:tcPr>
          <w:p>
            <w:pPr>
              <w:spacing w:after="0"/>
              <w:rPr>
                <w:sz w:val="6"/>
                <w:szCs w:val="6"/>
                <w:color w:val="auto"/>
              </w:rPr>
            </w:pPr>
          </w:p>
        </w:tc>
        <w:tc>
          <w:tcPr>
            <w:tcW w:w="3180" w:type="dxa"/>
            <w:vAlign w:val="bottom"/>
            <w:shd w:val="clear" w:color="auto" w:fill="CCEEFF"/>
          </w:tcPr>
          <w:p>
            <w:pPr>
              <w:spacing w:after="0"/>
              <w:rPr>
                <w:sz w:val="6"/>
                <w:szCs w:val="6"/>
                <w:color w:val="auto"/>
              </w:rPr>
            </w:pPr>
          </w:p>
        </w:tc>
        <w:tc>
          <w:tcPr>
            <w:tcW w:w="48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82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86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84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980" w:type="dxa"/>
            <w:vAlign w:val="bottom"/>
            <w:gridSpan w:val="2"/>
            <w:vMerge w:val="continue"/>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740" w:type="dxa"/>
            <w:vAlign w:val="bottom"/>
            <w:vMerge w:val="continue"/>
            <w:shd w:val="clear" w:color="auto" w:fill="CCEEFF"/>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0"/>
        </w:trPr>
        <w:tc>
          <w:tcPr>
            <w:tcW w:w="40" w:type="dxa"/>
            <w:vAlign w:val="bottom"/>
          </w:tcPr>
          <w:p>
            <w:pPr>
              <w:spacing w:after="0"/>
              <w:rPr>
                <w:sz w:val="16"/>
                <w:szCs w:val="16"/>
                <w:color w:val="auto"/>
              </w:rPr>
            </w:pPr>
          </w:p>
        </w:tc>
        <w:tc>
          <w:tcPr>
            <w:tcW w:w="3180" w:type="dxa"/>
            <w:vAlign w:val="bottom"/>
          </w:tcPr>
          <w:p>
            <w:pPr>
              <w:ind w:left="360"/>
              <w:spacing w:after="0"/>
              <w:rPr>
                <w:sz w:val="20"/>
                <w:szCs w:val="20"/>
                <w:color w:val="auto"/>
              </w:rPr>
            </w:pPr>
            <w:r>
              <w:rPr>
                <w:rFonts w:ascii="Arial" w:cs="Arial" w:eastAsia="Arial" w:hAnsi="Arial"/>
                <w:sz w:val="14"/>
                <w:szCs w:val="14"/>
                <w:color w:val="auto"/>
              </w:rPr>
              <w:t>Net property and equipment</w:t>
            </w:r>
          </w:p>
        </w:tc>
        <w:tc>
          <w:tcPr>
            <w:tcW w:w="4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648,361</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3,238,872</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3,887,233</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4"/>
        </w:trPr>
        <w:tc>
          <w:tcPr>
            <w:tcW w:w="40" w:type="dxa"/>
            <w:vAlign w:val="bottom"/>
          </w:tcPr>
          <w:p>
            <w:pPr>
              <w:spacing w:after="0"/>
              <w:rPr>
                <w:sz w:val="6"/>
                <w:szCs w:val="6"/>
                <w:color w:val="auto"/>
              </w:rPr>
            </w:pPr>
          </w:p>
        </w:tc>
        <w:tc>
          <w:tcPr>
            <w:tcW w:w="3180" w:type="dxa"/>
            <w:vAlign w:val="bottom"/>
          </w:tcPr>
          <w:p>
            <w:pPr>
              <w:spacing w:after="0"/>
              <w:rPr>
                <w:sz w:val="6"/>
                <w:szCs w:val="6"/>
                <w:color w:val="auto"/>
              </w:rPr>
            </w:pPr>
          </w:p>
        </w:tc>
        <w:tc>
          <w:tcPr>
            <w:tcW w:w="480" w:type="dxa"/>
            <w:vAlign w:val="bottom"/>
          </w:tcPr>
          <w:p>
            <w:pPr>
              <w:spacing w:after="0"/>
              <w:rPr>
                <w:sz w:val="6"/>
                <w:szCs w:val="6"/>
                <w:color w:val="auto"/>
              </w:rPr>
            </w:pPr>
          </w:p>
        </w:tc>
        <w:tc>
          <w:tcPr>
            <w:tcW w:w="180" w:type="dxa"/>
            <w:vAlign w:val="bottom"/>
          </w:tcPr>
          <w:p>
            <w:pPr>
              <w:spacing w:after="0"/>
              <w:rPr>
                <w:sz w:val="6"/>
                <w:szCs w:val="6"/>
                <w:color w:val="auto"/>
              </w:rPr>
            </w:pPr>
          </w:p>
        </w:tc>
        <w:tc>
          <w:tcPr>
            <w:tcW w:w="92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86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8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980" w:type="dxa"/>
            <w:vAlign w:val="bottom"/>
            <w:gridSpan w:val="2"/>
            <w:vMerge w:val="continue"/>
          </w:tcPr>
          <w:p>
            <w:pPr>
              <w:spacing w:after="0"/>
              <w:rPr>
                <w:sz w:val="6"/>
                <w:szCs w:val="6"/>
                <w:color w:val="auto"/>
              </w:rPr>
            </w:pPr>
          </w:p>
        </w:tc>
        <w:tc>
          <w:tcPr>
            <w:tcW w:w="260" w:type="dxa"/>
            <w:vAlign w:val="bottom"/>
          </w:tcPr>
          <w:p>
            <w:pPr>
              <w:spacing w:after="0"/>
              <w:rPr>
                <w:sz w:val="6"/>
                <w:szCs w:val="6"/>
                <w:color w:val="auto"/>
              </w:rPr>
            </w:pPr>
          </w:p>
        </w:tc>
        <w:tc>
          <w:tcPr>
            <w:tcW w:w="74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3180" w:type="dxa"/>
            <w:vAlign w:val="bottom"/>
            <w:shd w:val="clear" w:color="auto" w:fill="CCEEFF"/>
          </w:tcPr>
          <w:p>
            <w:pPr>
              <w:ind w:left="360"/>
              <w:spacing w:after="0"/>
              <w:rPr>
                <w:sz w:val="20"/>
                <w:szCs w:val="20"/>
                <w:color w:val="auto"/>
              </w:rPr>
            </w:pPr>
            <w:r>
              <w:rPr>
                <w:rFonts w:ascii="Arial" w:cs="Arial" w:eastAsia="Arial" w:hAnsi="Arial"/>
                <w:sz w:val="14"/>
                <w:szCs w:val="14"/>
                <w:color w:val="auto"/>
              </w:rPr>
              <w:t>Investment in subsidiaries</w:t>
            </w:r>
          </w:p>
        </w:tc>
        <w:tc>
          <w:tcPr>
            <w:tcW w:w="4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1,516,219</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170,552</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(1,686,771)</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0"/>
        </w:trPr>
        <w:tc>
          <w:tcPr>
            <w:tcW w:w="40" w:type="dxa"/>
            <w:vAlign w:val="bottom"/>
          </w:tcPr>
          <w:p>
            <w:pPr>
              <w:spacing w:after="0"/>
              <w:rPr>
                <w:sz w:val="6"/>
                <w:szCs w:val="6"/>
                <w:color w:val="auto"/>
              </w:rPr>
            </w:pPr>
          </w:p>
        </w:tc>
        <w:tc>
          <w:tcPr>
            <w:tcW w:w="3180" w:type="dxa"/>
            <w:vAlign w:val="bottom"/>
            <w:shd w:val="clear" w:color="auto" w:fill="CCEEFF"/>
          </w:tcPr>
          <w:p>
            <w:pPr>
              <w:spacing w:after="0"/>
              <w:rPr>
                <w:sz w:val="6"/>
                <w:szCs w:val="6"/>
                <w:color w:val="auto"/>
              </w:rPr>
            </w:pPr>
          </w:p>
        </w:tc>
        <w:tc>
          <w:tcPr>
            <w:tcW w:w="48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82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960" w:type="dxa"/>
            <w:vAlign w:val="bottom"/>
            <w:gridSpan w:val="2"/>
            <w:vMerge w:val="continue"/>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84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88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740" w:type="dxa"/>
            <w:vAlign w:val="bottom"/>
            <w:vMerge w:val="continue"/>
            <w:shd w:val="clear" w:color="auto" w:fill="CCEEFF"/>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0"/>
        </w:trPr>
        <w:tc>
          <w:tcPr>
            <w:tcW w:w="40" w:type="dxa"/>
            <w:vAlign w:val="bottom"/>
          </w:tcPr>
          <w:p>
            <w:pPr>
              <w:spacing w:after="0"/>
              <w:rPr>
                <w:sz w:val="16"/>
                <w:szCs w:val="16"/>
                <w:color w:val="auto"/>
              </w:rPr>
            </w:pPr>
          </w:p>
        </w:tc>
        <w:tc>
          <w:tcPr>
            <w:tcW w:w="3180" w:type="dxa"/>
            <w:vAlign w:val="bottom"/>
          </w:tcPr>
          <w:p>
            <w:pPr>
              <w:ind w:left="360"/>
              <w:spacing w:after="0"/>
              <w:rPr>
                <w:sz w:val="20"/>
                <w:szCs w:val="20"/>
                <w:color w:val="auto"/>
              </w:rPr>
            </w:pPr>
            <w:r>
              <w:rPr>
                <w:rFonts w:ascii="Arial" w:cs="Arial" w:eastAsia="Arial" w:hAnsi="Arial"/>
                <w:sz w:val="14"/>
                <w:szCs w:val="14"/>
                <w:color w:val="auto"/>
              </w:rPr>
              <w:t>Long-term assets</w:t>
            </w:r>
          </w:p>
        </w:tc>
        <w:tc>
          <w:tcPr>
            <w:tcW w:w="4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00" w:type="dxa"/>
            <w:vAlign w:val="bottom"/>
            <w:vMerge w:val="restart"/>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2,855</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97,278</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vMerge w:val="restart"/>
          </w:tcPr>
          <w:p>
            <w:pPr>
              <w:jc w:val="right"/>
              <w:spacing w:after="0"/>
              <w:rPr>
                <w:sz w:val="20"/>
                <w:szCs w:val="20"/>
                <w:color w:val="auto"/>
              </w:rPr>
            </w:pPr>
            <w:r>
              <w:rPr>
                <w:rFonts w:ascii="Arial" w:cs="Arial" w:eastAsia="Arial" w:hAnsi="Arial"/>
                <w:sz w:val="14"/>
                <w:szCs w:val="14"/>
                <w:color w:val="auto"/>
              </w:rPr>
              <w:t>(10,330)</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89,803</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4"/>
        </w:trPr>
        <w:tc>
          <w:tcPr>
            <w:tcW w:w="40" w:type="dxa"/>
            <w:vAlign w:val="bottom"/>
          </w:tcPr>
          <w:p>
            <w:pPr>
              <w:spacing w:after="0"/>
              <w:rPr>
                <w:sz w:val="6"/>
                <w:szCs w:val="6"/>
                <w:color w:val="auto"/>
              </w:rPr>
            </w:pPr>
          </w:p>
        </w:tc>
        <w:tc>
          <w:tcPr>
            <w:tcW w:w="3180" w:type="dxa"/>
            <w:vAlign w:val="bottom"/>
            <w:tcBorders>
              <w:bottom w:val="single" w:sz="8" w:color="CCEEFF"/>
            </w:tcBorders>
          </w:tcPr>
          <w:p>
            <w:pPr>
              <w:spacing w:after="0"/>
              <w:rPr>
                <w:sz w:val="6"/>
                <w:szCs w:val="6"/>
                <w:color w:val="auto"/>
              </w:rPr>
            </w:pPr>
          </w:p>
        </w:tc>
        <w:tc>
          <w:tcPr>
            <w:tcW w:w="480" w:type="dxa"/>
            <w:vAlign w:val="bottom"/>
            <w:tcBorders>
              <w:bottom w:val="single" w:sz="8" w:color="CCEEFF"/>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82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vMerge w:val="continue"/>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86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84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88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740" w:type="dxa"/>
            <w:vAlign w:val="bottom"/>
            <w:tcBorders>
              <w:bottom w:val="single" w:sz="8" w:color="auto"/>
            </w:tcBorders>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76"/>
        </w:trPr>
        <w:tc>
          <w:tcPr>
            <w:tcW w:w="40" w:type="dxa"/>
            <w:vAlign w:val="bottom"/>
          </w:tcPr>
          <w:p>
            <w:pPr>
              <w:spacing w:after="0"/>
              <w:rPr>
                <w:sz w:val="15"/>
                <w:szCs w:val="15"/>
                <w:color w:val="auto"/>
              </w:rPr>
            </w:pPr>
          </w:p>
        </w:tc>
        <w:tc>
          <w:tcPr>
            <w:tcW w:w="3180" w:type="dxa"/>
            <w:vAlign w:val="bottom"/>
            <w:shd w:val="clear" w:color="auto" w:fill="CCEEFF"/>
          </w:tcPr>
          <w:p>
            <w:pPr>
              <w:ind w:left="1120"/>
              <w:spacing w:after="0"/>
              <w:rPr>
                <w:sz w:val="20"/>
                <w:szCs w:val="20"/>
                <w:color w:val="auto"/>
              </w:rPr>
            </w:pPr>
            <w:r>
              <w:rPr>
                <w:rFonts w:ascii="Arial" w:cs="Arial" w:eastAsia="Arial" w:hAnsi="Arial"/>
                <w:sz w:val="14"/>
                <w:szCs w:val="14"/>
                <w:color w:val="auto"/>
              </w:rPr>
              <w:t>Total assets</w:t>
            </w:r>
          </w:p>
        </w:tc>
        <w:tc>
          <w:tcPr>
            <w:tcW w:w="660" w:type="dxa"/>
            <w:vAlign w:val="bottom"/>
            <w:gridSpan w:val="2"/>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3,118,727</w:t>
            </w:r>
          </w:p>
        </w:tc>
        <w:tc>
          <w:tcPr>
            <w:tcW w:w="100" w:type="dxa"/>
            <w:vAlign w:val="bottom"/>
            <w:shd w:val="clear" w:color="auto" w:fill="CCEEFF"/>
          </w:tcPr>
          <w:p>
            <w:pPr>
              <w:spacing w:after="0"/>
              <w:rPr>
                <w:sz w:val="15"/>
                <w:szCs w:val="15"/>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706,496</w:t>
            </w:r>
          </w:p>
        </w:tc>
        <w:tc>
          <w:tcPr>
            <w:tcW w:w="100" w:type="dxa"/>
            <w:vAlign w:val="bottom"/>
            <w:shd w:val="clear" w:color="auto" w:fill="CCEEFF"/>
          </w:tcPr>
          <w:p>
            <w:pPr>
              <w:spacing w:after="0"/>
              <w:rPr>
                <w:sz w:val="15"/>
                <w:szCs w:val="15"/>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3,814,473</w:t>
            </w:r>
          </w:p>
        </w:tc>
        <w:tc>
          <w:tcPr>
            <w:tcW w:w="120" w:type="dxa"/>
            <w:vAlign w:val="bottom"/>
            <w:shd w:val="clear" w:color="auto" w:fill="CCEEFF"/>
          </w:tcPr>
          <w:p>
            <w:pPr>
              <w:spacing w:after="0"/>
              <w:rPr>
                <w:sz w:val="15"/>
                <w:szCs w:val="15"/>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(3,306,025)</w:t>
            </w:r>
          </w:p>
        </w:tc>
        <w:tc>
          <w:tcPr>
            <w:tcW w:w="100" w:type="dxa"/>
            <w:vAlign w:val="bottom"/>
            <w:shd w:val="clear" w:color="auto" w:fill="CCEEFF"/>
          </w:tcPr>
          <w:p>
            <w:pPr>
              <w:spacing w:after="0"/>
              <w:rPr>
                <w:sz w:val="15"/>
                <w:szCs w:val="15"/>
                <w:color w:val="auto"/>
              </w:rPr>
            </w:pPr>
          </w:p>
        </w:tc>
        <w:tc>
          <w:tcPr>
            <w:tcW w:w="260" w:type="dxa"/>
            <w:vAlign w:val="bottom"/>
            <w:vMerge w:val="restart"/>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4,333,671</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0"/>
        </w:trPr>
        <w:tc>
          <w:tcPr>
            <w:tcW w:w="40" w:type="dxa"/>
            <w:vAlign w:val="bottom"/>
          </w:tcPr>
          <w:p>
            <w:pPr>
              <w:spacing w:after="0"/>
              <w:rPr>
                <w:sz w:val="5"/>
                <w:szCs w:val="5"/>
                <w:color w:val="auto"/>
              </w:rPr>
            </w:pPr>
          </w:p>
        </w:tc>
        <w:tc>
          <w:tcPr>
            <w:tcW w:w="3180" w:type="dxa"/>
            <w:vAlign w:val="bottom"/>
            <w:shd w:val="clear" w:color="auto" w:fill="CCEEFF"/>
          </w:tcPr>
          <w:p>
            <w:pPr>
              <w:spacing w:after="0"/>
              <w:rPr>
                <w:sz w:val="5"/>
                <w:szCs w:val="5"/>
                <w:color w:val="auto"/>
              </w:rPr>
            </w:pPr>
          </w:p>
        </w:tc>
        <w:tc>
          <w:tcPr>
            <w:tcW w:w="660" w:type="dxa"/>
            <w:vAlign w:val="bottom"/>
            <w:gridSpan w:val="2"/>
            <w:vMerge w:val="continue"/>
            <w:shd w:val="clear" w:color="auto" w:fill="CCEEFF"/>
          </w:tcPr>
          <w:p>
            <w:pPr>
              <w:spacing w:after="0"/>
              <w:rPr>
                <w:sz w:val="5"/>
                <w:szCs w:val="5"/>
                <w:color w:val="auto"/>
              </w:rPr>
            </w:pPr>
          </w:p>
        </w:tc>
        <w:tc>
          <w:tcPr>
            <w:tcW w:w="82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40" w:type="dxa"/>
            <w:vAlign w:val="bottom"/>
            <w:vMerge w:val="continue"/>
            <w:shd w:val="clear" w:color="auto" w:fill="CCEEFF"/>
          </w:tcPr>
          <w:p>
            <w:pPr>
              <w:spacing w:after="0"/>
              <w:rPr>
                <w:sz w:val="5"/>
                <w:szCs w:val="5"/>
                <w:color w:val="auto"/>
              </w:rPr>
            </w:pPr>
          </w:p>
        </w:tc>
        <w:tc>
          <w:tcPr>
            <w:tcW w:w="86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60" w:type="dxa"/>
            <w:vAlign w:val="bottom"/>
            <w:vMerge w:val="continue"/>
            <w:shd w:val="clear" w:color="auto" w:fill="CCEEFF"/>
          </w:tcPr>
          <w:p>
            <w:pPr>
              <w:spacing w:after="0"/>
              <w:rPr>
                <w:sz w:val="5"/>
                <w:szCs w:val="5"/>
                <w:color w:val="auto"/>
              </w:rPr>
            </w:pPr>
          </w:p>
        </w:tc>
        <w:tc>
          <w:tcPr>
            <w:tcW w:w="84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40" w:type="dxa"/>
            <w:vAlign w:val="bottom"/>
            <w:vMerge w:val="continue"/>
            <w:shd w:val="clear" w:color="auto" w:fill="CCEEFF"/>
          </w:tcPr>
          <w:p>
            <w:pPr>
              <w:spacing w:after="0"/>
              <w:rPr>
                <w:sz w:val="5"/>
                <w:szCs w:val="5"/>
                <w:color w:val="auto"/>
              </w:rPr>
            </w:pPr>
          </w:p>
        </w:tc>
        <w:tc>
          <w:tcPr>
            <w:tcW w:w="88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60" w:type="dxa"/>
            <w:vAlign w:val="bottom"/>
            <w:vMerge w:val="continue"/>
            <w:shd w:val="clear" w:color="auto" w:fill="CCEEFF"/>
          </w:tcPr>
          <w:p>
            <w:pPr>
              <w:spacing w:after="0"/>
              <w:rPr>
                <w:sz w:val="5"/>
                <w:szCs w:val="5"/>
                <w:color w:val="auto"/>
              </w:rPr>
            </w:pPr>
          </w:p>
        </w:tc>
        <w:tc>
          <w:tcPr>
            <w:tcW w:w="740" w:type="dxa"/>
            <w:vAlign w:val="bottom"/>
            <w:vMerge w:val="continue"/>
            <w:shd w:val="clear" w:color="auto" w:fill="CCEEFF"/>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1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4"/>
                <w:szCs w:val="14"/>
                <w:color w:val="auto"/>
              </w:rPr>
              <w:t>LIABILITIES AND EQUITY</w:t>
            </w:r>
          </w:p>
        </w:tc>
        <w:tc>
          <w:tcPr>
            <w:tcW w:w="4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40" w:type="dxa"/>
            <w:vAlign w:val="bottom"/>
          </w:tcPr>
          <w:p>
            <w:pPr>
              <w:spacing w:after="0"/>
              <w:rPr>
                <w:sz w:val="13"/>
                <w:szCs w:val="13"/>
                <w:color w:val="auto"/>
              </w:rPr>
            </w:pPr>
          </w:p>
        </w:tc>
        <w:tc>
          <w:tcPr>
            <w:tcW w:w="3180" w:type="dxa"/>
            <w:vAlign w:val="bottom"/>
            <w:vMerge w:val="continue"/>
          </w:tcPr>
          <w:p>
            <w:pPr>
              <w:spacing w:after="0"/>
              <w:rPr>
                <w:sz w:val="13"/>
                <w:szCs w:val="13"/>
                <w:color w:val="auto"/>
              </w:rPr>
            </w:pPr>
          </w:p>
        </w:tc>
        <w:tc>
          <w:tcPr>
            <w:tcW w:w="4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6"/>
        </w:trPr>
        <w:tc>
          <w:tcPr>
            <w:tcW w:w="40" w:type="dxa"/>
            <w:vAlign w:val="bottom"/>
          </w:tcPr>
          <w:p>
            <w:pPr>
              <w:spacing w:after="0"/>
              <w:rPr>
                <w:sz w:val="9"/>
                <w:szCs w:val="9"/>
                <w:color w:val="auto"/>
              </w:rPr>
            </w:pPr>
          </w:p>
        </w:tc>
        <w:tc>
          <w:tcPr>
            <w:tcW w:w="3180" w:type="dxa"/>
            <w:vAlign w:val="bottom"/>
          </w:tcPr>
          <w:p>
            <w:pPr>
              <w:spacing w:after="0"/>
              <w:rPr>
                <w:sz w:val="9"/>
                <w:szCs w:val="9"/>
                <w:color w:val="auto"/>
              </w:rPr>
            </w:pPr>
          </w:p>
        </w:tc>
        <w:tc>
          <w:tcPr>
            <w:tcW w:w="480" w:type="dxa"/>
            <w:vAlign w:val="bottom"/>
          </w:tcPr>
          <w:p>
            <w:pPr>
              <w:spacing w:after="0"/>
              <w:rPr>
                <w:sz w:val="9"/>
                <w:szCs w:val="9"/>
                <w:color w:val="auto"/>
              </w:rPr>
            </w:pPr>
          </w:p>
        </w:tc>
        <w:tc>
          <w:tcPr>
            <w:tcW w:w="180" w:type="dxa"/>
            <w:vAlign w:val="bottom"/>
          </w:tcPr>
          <w:p>
            <w:pPr>
              <w:spacing w:after="0"/>
              <w:rPr>
                <w:sz w:val="9"/>
                <w:szCs w:val="9"/>
                <w:color w:val="auto"/>
              </w:rPr>
            </w:pPr>
          </w:p>
        </w:tc>
        <w:tc>
          <w:tcPr>
            <w:tcW w:w="8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8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8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74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91"/>
        </w:trPr>
        <w:tc>
          <w:tcPr>
            <w:tcW w:w="40" w:type="dxa"/>
            <w:vAlign w:val="bottom"/>
          </w:tcPr>
          <w:p>
            <w:pPr>
              <w:spacing w:after="0"/>
              <w:rPr>
                <w:sz w:val="16"/>
                <w:szCs w:val="16"/>
                <w:color w:val="auto"/>
              </w:rPr>
            </w:pPr>
          </w:p>
        </w:tc>
        <w:tc>
          <w:tcPr>
            <w:tcW w:w="3180" w:type="dxa"/>
            <w:vAlign w:val="bottom"/>
            <w:shd w:val="clear" w:color="auto" w:fill="CCEEFF"/>
          </w:tcPr>
          <w:p>
            <w:pPr>
              <w:ind w:left="360"/>
              <w:spacing w:after="0"/>
              <w:rPr>
                <w:sz w:val="20"/>
                <w:szCs w:val="20"/>
                <w:color w:val="auto"/>
              </w:rPr>
            </w:pPr>
            <w:r>
              <w:rPr>
                <w:rFonts w:ascii="Arial" w:cs="Arial" w:eastAsia="Arial" w:hAnsi="Arial"/>
                <w:sz w:val="14"/>
                <w:szCs w:val="14"/>
                <w:color w:val="auto"/>
              </w:rPr>
              <w:t>Intercompany payable</w:t>
            </w:r>
          </w:p>
        </w:tc>
        <w:tc>
          <w:tcPr>
            <w:tcW w:w="660" w:type="dxa"/>
            <w:vAlign w:val="bottom"/>
            <w:gridSpan w:val="2"/>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9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1,608,924</w:t>
            </w:r>
          </w:p>
        </w:tc>
        <w:tc>
          <w:tcPr>
            <w:tcW w:w="120" w:type="dxa"/>
            <w:vAlign w:val="bottom"/>
            <w:shd w:val="clear" w:color="auto" w:fill="CCEEFF"/>
          </w:tcPr>
          <w:p>
            <w:pPr>
              <w:spacing w:after="0"/>
              <w:rPr>
                <w:sz w:val="16"/>
                <w:szCs w:val="16"/>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(1,608,924)</w:t>
            </w:r>
          </w:p>
        </w:tc>
        <w:tc>
          <w:tcPr>
            <w:tcW w:w="100" w:type="dxa"/>
            <w:vAlign w:val="bottom"/>
            <w:shd w:val="clear" w:color="auto" w:fill="CCEEFF"/>
          </w:tcPr>
          <w:p>
            <w:pPr>
              <w:spacing w:after="0"/>
              <w:rPr>
                <w:sz w:val="16"/>
                <w:szCs w:val="16"/>
                <w:color w:val="auto"/>
              </w:rPr>
            </w:pPr>
          </w:p>
        </w:tc>
        <w:tc>
          <w:tcPr>
            <w:tcW w:w="260" w:type="dxa"/>
            <w:vAlign w:val="bottom"/>
            <w:vMerge w:val="restart"/>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9"/>
        </w:trPr>
        <w:tc>
          <w:tcPr>
            <w:tcW w:w="40" w:type="dxa"/>
            <w:vAlign w:val="bottom"/>
          </w:tcPr>
          <w:p>
            <w:pPr>
              <w:spacing w:after="0"/>
              <w:rPr>
                <w:sz w:val="6"/>
                <w:szCs w:val="6"/>
                <w:color w:val="auto"/>
              </w:rPr>
            </w:pPr>
          </w:p>
        </w:tc>
        <w:tc>
          <w:tcPr>
            <w:tcW w:w="3180" w:type="dxa"/>
            <w:vAlign w:val="bottom"/>
            <w:shd w:val="clear" w:color="auto" w:fill="CCEEFF"/>
          </w:tcPr>
          <w:p>
            <w:pPr>
              <w:spacing w:after="0"/>
              <w:rPr>
                <w:sz w:val="6"/>
                <w:szCs w:val="6"/>
                <w:color w:val="auto"/>
              </w:rPr>
            </w:pPr>
          </w:p>
        </w:tc>
        <w:tc>
          <w:tcPr>
            <w:tcW w:w="660" w:type="dxa"/>
            <w:vAlign w:val="bottom"/>
            <w:gridSpan w:val="2"/>
            <w:vMerge w:val="continue"/>
            <w:shd w:val="clear" w:color="auto" w:fill="CCEEFF"/>
          </w:tcPr>
          <w:p>
            <w:pPr>
              <w:spacing w:after="0"/>
              <w:rPr>
                <w:sz w:val="6"/>
                <w:szCs w:val="6"/>
                <w:color w:val="auto"/>
              </w:rPr>
            </w:pPr>
          </w:p>
        </w:tc>
        <w:tc>
          <w:tcPr>
            <w:tcW w:w="920" w:type="dxa"/>
            <w:vAlign w:val="bottom"/>
            <w:gridSpan w:val="2"/>
            <w:vMerge w:val="continue"/>
            <w:shd w:val="clear" w:color="auto" w:fill="CCEEFF"/>
          </w:tcPr>
          <w:p>
            <w:pPr>
              <w:spacing w:after="0"/>
              <w:rPr>
                <w:sz w:val="6"/>
                <w:szCs w:val="6"/>
                <w:color w:val="auto"/>
              </w:rPr>
            </w:pPr>
          </w:p>
        </w:tc>
        <w:tc>
          <w:tcPr>
            <w:tcW w:w="140" w:type="dxa"/>
            <w:vAlign w:val="bottom"/>
            <w:vMerge w:val="continue"/>
            <w:shd w:val="clear" w:color="auto" w:fill="CCEEFF"/>
          </w:tcPr>
          <w:p>
            <w:pPr>
              <w:spacing w:after="0"/>
              <w:rPr>
                <w:sz w:val="6"/>
                <w:szCs w:val="6"/>
                <w:color w:val="auto"/>
              </w:rPr>
            </w:pPr>
          </w:p>
        </w:tc>
        <w:tc>
          <w:tcPr>
            <w:tcW w:w="960" w:type="dxa"/>
            <w:vAlign w:val="bottom"/>
            <w:gridSpan w:val="2"/>
            <w:vMerge w:val="continue"/>
            <w:shd w:val="clear" w:color="auto" w:fill="CCEEFF"/>
          </w:tcPr>
          <w:p>
            <w:pPr>
              <w:spacing w:after="0"/>
              <w:rPr>
                <w:sz w:val="6"/>
                <w:szCs w:val="6"/>
                <w:color w:val="auto"/>
              </w:rPr>
            </w:pPr>
          </w:p>
        </w:tc>
        <w:tc>
          <w:tcPr>
            <w:tcW w:w="160" w:type="dxa"/>
            <w:vAlign w:val="bottom"/>
            <w:vMerge w:val="continue"/>
            <w:shd w:val="clear" w:color="auto" w:fill="CCEEFF"/>
          </w:tcPr>
          <w:p>
            <w:pPr>
              <w:spacing w:after="0"/>
              <w:rPr>
                <w:sz w:val="6"/>
                <w:szCs w:val="6"/>
                <w:color w:val="auto"/>
              </w:rPr>
            </w:pPr>
          </w:p>
        </w:tc>
        <w:tc>
          <w:tcPr>
            <w:tcW w:w="84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vMerge w:val="continue"/>
            <w:shd w:val="clear" w:color="auto" w:fill="CCEEFF"/>
          </w:tcPr>
          <w:p>
            <w:pPr>
              <w:spacing w:after="0"/>
              <w:rPr>
                <w:sz w:val="6"/>
                <w:szCs w:val="6"/>
                <w:color w:val="auto"/>
              </w:rPr>
            </w:pPr>
          </w:p>
        </w:tc>
        <w:tc>
          <w:tcPr>
            <w:tcW w:w="88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60" w:type="dxa"/>
            <w:vAlign w:val="bottom"/>
            <w:vMerge w:val="continue"/>
            <w:shd w:val="clear" w:color="auto" w:fill="CCEEFF"/>
          </w:tcPr>
          <w:p>
            <w:pPr>
              <w:spacing w:after="0"/>
              <w:rPr>
                <w:sz w:val="6"/>
                <w:szCs w:val="6"/>
                <w:color w:val="auto"/>
              </w:rPr>
            </w:pPr>
          </w:p>
        </w:tc>
        <w:tc>
          <w:tcPr>
            <w:tcW w:w="740" w:type="dxa"/>
            <w:vAlign w:val="bottom"/>
            <w:vMerge w:val="continue"/>
            <w:shd w:val="clear" w:color="auto" w:fill="CCEEFF"/>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40" w:type="dxa"/>
            <w:vAlign w:val="bottom"/>
          </w:tcPr>
          <w:p>
            <w:pPr>
              <w:spacing w:after="0"/>
              <w:rPr>
                <w:sz w:val="16"/>
                <w:szCs w:val="16"/>
                <w:color w:val="auto"/>
              </w:rPr>
            </w:pPr>
          </w:p>
        </w:tc>
        <w:tc>
          <w:tcPr>
            <w:tcW w:w="3180" w:type="dxa"/>
            <w:vAlign w:val="bottom"/>
          </w:tcPr>
          <w:p>
            <w:pPr>
              <w:ind w:left="360"/>
              <w:spacing w:after="0"/>
              <w:rPr>
                <w:sz w:val="20"/>
                <w:szCs w:val="20"/>
                <w:color w:val="auto"/>
              </w:rPr>
            </w:pPr>
            <w:r>
              <w:rPr>
                <w:rFonts w:ascii="Arial" w:cs="Arial" w:eastAsia="Arial" w:hAnsi="Arial"/>
                <w:sz w:val="14"/>
                <w:szCs w:val="14"/>
                <w:color w:val="auto"/>
              </w:rPr>
              <w:t>Current liabilities</w:t>
            </w:r>
          </w:p>
        </w:tc>
        <w:tc>
          <w:tcPr>
            <w:tcW w:w="4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2,867</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52,782</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305,123</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vMerge w:val="restart"/>
          </w:tcPr>
          <w:p>
            <w:pPr>
              <w:jc w:val="right"/>
              <w:spacing w:after="0"/>
              <w:rPr>
                <w:sz w:val="20"/>
                <w:szCs w:val="20"/>
                <w:color w:val="auto"/>
              </w:rPr>
            </w:pPr>
            <w:r>
              <w:rPr>
                <w:rFonts w:ascii="Arial" w:cs="Arial" w:eastAsia="Arial" w:hAnsi="Arial"/>
                <w:sz w:val="14"/>
                <w:szCs w:val="14"/>
                <w:color w:val="auto"/>
              </w:rPr>
              <w:t>(874)</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359,898</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3180" w:type="dxa"/>
            <w:vAlign w:val="bottom"/>
          </w:tcPr>
          <w:p>
            <w:pPr>
              <w:spacing w:after="0"/>
              <w:rPr>
                <w:sz w:val="6"/>
                <w:szCs w:val="6"/>
                <w:color w:val="auto"/>
              </w:rPr>
            </w:pPr>
          </w:p>
        </w:tc>
        <w:tc>
          <w:tcPr>
            <w:tcW w:w="480" w:type="dxa"/>
            <w:vAlign w:val="bottom"/>
          </w:tcPr>
          <w:p>
            <w:pPr>
              <w:spacing w:after="0"/>
              <w:rPr>
                <w:sz w:val="6"/>
                <w:szCs w:val="6"/>
                <w:color w:val="auto"/>
              </w:rPr>
            </w:pPr>
          </w:p>
        </w:tc>
        <w:tc>
          <w:tcPr>
            <w:tcW w:w="180" w:type="dxa"/>
            <w:vAlign w:val="bottom"/>
          </w:tcPr>
          <w:p>
            <w:pPr>
              <w:spacing w:after="0"/>
              <w:rPr>
                <w:sz w:val="6"/>
                <w:szCs w:val="6"/>
                <w:color w:val="auto"/>
              </w:rPr>
            </w:pPr>
          </w:p>
        </w:tc>
        <w:tc>
          <w:tcPr>
            <w:tcW w:w="8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86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8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8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260" w:type="dxa"/>
            <w:vAlign w:val="bottom"/>
          </w:tcPr>
          <w:p>
            <w:pPr>
              <w:spacing w:after="0"/>
              <w:rPr>
                <w:sz w:val="6"/>
                <w:szCs w:val="6"/>
                <w:color w:val="auto"/>
              </w:rPr>
            </w:pPr>
          </w:p>
        </w:tc>
        <w:tc>
          <w:tcPr>
            <w:tcW w:w="74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40" w:type="dxa"/>
            <w:vAlign w:val="bottom"/>
          </w:tcPr>
          <w:p>
            <w:pPr>
              <w:spacing w:after="0"/>
              <w:rPr>
                <w:sz w:val="17"/>
                <w:szCs w:val="17"/>
                <w:color w:val="auto"/>
              </w:rPr>
            </w:pPr>
          </w:p>
        </w:tc>
        <w:tc>
          <w:tcPr>
            <w:tcW w:w="3180" w:type="dxa"/>
            <w:vAlign w:val="bottom"/>
            <w:shd w:val="clear" w:color="auto" w:fill="CCEEFF"/>
          </w:tcPr>
          <w:p>
            <w:pPr>
              <w:ind w:left="360"/>
              <w:spacing w:after="0"/>
              <w:rPr>
                <w:sz w:val="20"/>
                <w:szCs w:val="20"/>
                <w:color w:val="auto"/>
              </w:rPr>
            </w:pPr>
            <w:r>
              <w:rPr>
                <w:rFonts w:ascii="Arial" w:cs="Arial" w:eastAsia="Arial" w:hAnsi="Arial"/>
                <w:sz w:val="14"/>
                <w:szCs w:val="14"/>
                <w:color w:val="auto"/>
              </w:rPr>
              <w:t>Senior unsecured notes payable</w:t>
            </w:r>
          </w:p>
        </w:tc>
        <w:tc>
          <w:tcPr>
            <w:tcW w:w="4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1,039,811</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9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9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7"/>
                <w:szCs w:val="17"/>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1,039,811</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9"/>
        </w:trPr>
        <w:tc>
          <w:tcPr>
            <w:tcW w:w="40" w:type="dxa"/>
            <w:vAlign w:val="bottom"/>
          </w:tcPr>
          <w:p>
            <w:pPr>
              <w:spacing w:after="0"/>
              <w:rPr>
                <w:sz w:val="6"/>
                <w:szCs w:val="6"/>
                <w:color w:val="auto"/>
              </w:rPr>
            </w:pPr>
          </w:p>
        </w:tc>
        <w:tc>
          <w:tcPr>
            <w:tcW w:w="3180" w:type="dxa"/>
            <w:vAlign w:val="bottom"/>
            <w:shd w:val="clear" w:color="auto" w:fill="CCEEFF"/>
          </w:tcPr>
          <w:p>
            <w:pPr>
              <w:spacing w:after="0"/>
              <w:rPr>
                <w:sz w:val="6"/>
                <w:szCs w:val="6"/>
                <w:color w:val="auto"/>
              </w:rPr>
            </w:pPr>
          </w:p>
        </w:tc>
        <w:tc>
          <w:tcPr>
            <w:tcW w:w="48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82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960" w:type="dxa"/>
            <w:vAlign w:val="bottom"/>
            <w:gridSpan w:val="2"/>
            <w:vMerge w:val="continue"/>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960" w:type="dxa"/>
            <w:vAlign w:val="bottom"/>
            <w:gridSpan w:val="2"/>
            <w:vMerge w:val="continue"/>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980" w:type="dxa"/>
            <w:vAlign w:val="bottom"/>
            <w:gridSpan w:val="2"/>
            <w:vMerge w:val="continue"/>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740" w:type="dxa"/>
            <w:vAlign w:val="bottom"/>
            <w:vMerge w:val="continue"/>
            <w:shd w:val="clear" w:color="auto" w:fill="CCEEFF"/>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40" w:type="dxa"/>
            <w:vAlign w:val="bottom"/>
          </w:tcPr>
          <w:p>
            <w:pPr>
              <w:spacing w:after="0"/>
              <w:rPr>
                <w:sz w:val="16"/>
                <w:szCs w:val="16"/>
                <w:color w:val="auto"/>
              </w:rPr>
            </w:pPr>
          </w:p>
        </w:tc>
        <w:tc>
          <w:tcPr>
            <w:tcW w:w="3180" w:type="dxa"/>
            <w:vAlign w:val="bottom"/>
          </w:tcPr>
          <w:p>
            <w:pPr>
              <w:ind w:left="360"/>
              <w:spacing w:after="0"/>
              <w:rPr>
                <w:sz w:val="20"/>
                <w:szCs w:val="20"/>
                <w:color w:val="auto"/>
              </w:rPr>
            </w:pPr>
            <w:r>
              <w:rPr>
                <w:rFonts w:ascii="Arial" w:cs="Arial" w:eastAsia="Arial" w:hAnsi="Arial"/>
                <w:sz w:val="14"/>
                <w:szCs w:val="14"/>
                <w:color w:val="auto"/>
              </w:rPr>
              <w:t>Other long-term liabilities</w:t>
            </w:r>
          </w:p>
        </w:tc>
        <w:tc>
          <w:tcPr>
            <w:tcW w:w="4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84,700</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320,131</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384,207</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vMerge w:val="restart"/>
          </w:tcPr>
          <w:p>
            <w:pPr>
              <w:jc w:val="right"/>
              <w:spacing w:after="0"/>
              <w:rPr>
                <w:sz w:val="20"/>
                <w:szCs w:val="20"/>
                <w:color w:val="auto"/>
              </w:rPr>
            </w:pPr>
            <w:r>
              <w:rPr>
                <w:rFonts w:ascii="Arial" w:cs="Arial" w:eastAsia="Arial" w:hAnsi="Arial"/>
                <w:sz w:val="14"/>
                <w:szCs w:val="14"/>
                <w:color w:val="auto"/>
              </w:rPr>
              <w:t>(9,456)</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779,582</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3180" w:type="dxa"/>
            <w:vAlign w:val="bottom"/>
          </w:tcPr>
          <w:p>
            <w:pPr>
              <w:spacing w:after="0"/>
              <w:rPr>
                <w:sz w:val="6"/>
                <w:szCs w:val="6"/>
                <w:color w:val="auto"/>
              </w:rPr>
            </w:pPr>
          </w:p>
        </w:tc>
        <w:tc>
          <w:tcPr>
            <w:tcW w:w="480" w:type="dxa"/>
            <w:vAlign w:val="bottom"/>
          </w:tcPr>
          <w:p>
            <w:pPr>
              <w:spacing w:after="0"/>
              <w:rPr>
                <w:sz w:val="6"/>
                <w:szCs w:val="6"/>
                <w:color w:val="auto"/>
              </w:rPr>
            </w:pPr>
          </w:p>
        </w:tc>
        <w:tc>
          <w:tcPr>
            <w:tcW w:w="180" w:type="dxa"/>
            <w:vAlign w:val="bottom"/>
          </w:tcPr>
          <w:p>
            <w:pPr>
              <w:spacing w:after="0"/>
              <w:rPr>
                <w:sz w:val="6"/>
                <w:szCs w:val="6"/>
                <w:color w:val="auto"/>
              </w:rPr>
            </w:pPr>
          </w:p>
        </w:tc>
        <w:tc>
          <w:tcPr>
            <w:tcW w:w="8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86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8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8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260" w:type="dxa"/>
            <w:vAlign w:val="bottom"/>
          </w:tcPr>
          <w:p>
            <w:pPr>
              <w:spacing w:after="0"/>
              <w:rPr>
                <w:sz w:val="6"/>
                <w:szCs w:val="6"/>
                <w:color w:val="auto"/>
              </w:rPr>
            </w:pPr>
          </w:p>
        </w:tc>
        <w:tc>
          <w:tcPr>
            <w:tcW w:w="74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63"/>
        </w:trPr>
        <w:tc>
          <w:tcPr>
            <w:tcW w:w="40" w:type="dxa"/>
            <w:vAlign w:val="bottom"/>
          </w:tcPr>
          <w:p>
            <w:pPr>
              <w:spacing w:after="0"/>
              <w:rPr>
                <w:sz w:val="14"/>
                <w:szCs w:val="14"/>
                <w:color w:val="auto"/>
              </w:rPr>
            </w:pPr>
          </w:p>
        </w:tc>
        <w:tc>
          <w:tcPr>
            <w:tcW w:w="3180" w:type="dxa"/>
            <w:vAlign w:val="bottom"/>
            <w:shd w:val="clear" w:color="auto" w:fill="CCEEFF"/>
          </w:tcPr>
          <w:p>
            <w:pPr>
              <w:ind w:left="360"/>
              <w:spacing w:after="0"/>
              <w:rPr>
                <w:sz w:val="20"/>
                <w:szCs w:val="20"/>
                <w:color w:val="auto"/>
              </w:rPr>
            </w:pPr>
            <w:r>
              <w:rPr>
                <w:rFonts w:ascii="Arial" w:cs="Arial" w:eastAsia="Arial" w:hAnsi="Arial"/>
                <w:sz w:val="14"/>
                <w:szCs w:val="14"/>
                <w:color w:val="auto"/>
                <w:w w:val="97"/>
              </w:rPr>
              <w:t>Total equity attributable to Matador Resources</w:t>
            </w:r>
          </w:p>
        </w:tc>
        <w:tc>
          <w:tcPr>
            <w:tcW w:w="4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40" w:type="dxa"/>
            <w:vAlign w:val="bottom"/>
          </w:tcPr>
          <w:p>
            <w:pPr>
              <w:spacing w:after="0"/>
              <w:rPr>
                <w:sz w:val="16"/>
                <w:szCs w:val="16"/>
                <w:color w:val="auto"/>
              </w:rPr>
            </w:pPr>
          </w:p>
        </w:tc>
        <w:tc>
          <w:tcPr>
            <w:tcW w:w="3180" w:type="dxa"/>
            <w:vAlign w:val="bottom"/>
            <w:shd w:val="clear" w:color="auto" w:fill="CCEEFF"/>
          </w:tcPr>
          <w:p>
            <w:pPr>
              <w:ind w:left="360"/>
              <w:spacing w:after="0"/>
              <w:rPr>
                <w:sz w:val="20"/>
                <w:szCs w:val="20"/>
                <w:color w:val="auto"/>
              </w:rPr>
            </w:pPr>
            <w:r>
              <w:rPr>
                <w:rFonts w:ascii="Arial" w:cs="Arial" w:eastAsia="Arial" w:hAnsi="Arial"/>
                <w:sz w:val="14"/>
                <w:szCs w:val="14"/>
                <w:color w:val="auto"/>
              </w:rPr>
              <w:t>Company</w:t>
            </w:r>
          </w:p>
        </w:tc>
        <w:tc>
          <w:tcPr>
            <w:tcW w:w="4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1,991,349</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170,552</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1,516,219</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(1,686,771)</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1,991,349</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40" w:type="dxa"/>
            <w:vAlign w:val="bottom"/>
          </w:tcPr>
          <w:p>
            <w:pPr>
              <w:spacing w:after="0"/>
              <w:rPr>
                <w:sz w:val="16"/>
                <w:szCs w:val="16"/>
                <w:color w:val="auto"/>
              </w:rPr>
            </w:pPr>
          </w:p>
        </w:tc>
        <w:tc>
          <w:tcPr>
            <w:tcW w:w="3180" w:type="dxa"/>
            <w:vAlign w:val="bottom"/>
          </w:tcPr>
          <w:p>
            <w:pPr>
              <w:ind w:left="360"/>
              <w:spacing w:after="0"/>
              <w:rPr>
                <w:sz w:val="20"/>
                <w:szCs w:val="20"/>
                <w:color w:val="auto"/>
              </w:rPr>
            </w:pPr>
            <w:r>
              <w:rPr>
                <w:rFonts w:ascii="Arial" w:cs="Arial" w:eastAsia="Arial" w:hAnsi="Arial"/>
                <w:sz w:val="14"/>
                <w:szCs w:val="14"/>
                <w:color w:val="auto"/>
              </w:rPr>
              <w:t>Non-controlling interest in subsidiaries</w:t>
            </w:r>
          </w:p>
        </w:tc>
        <w:tc>
          <w:tcPr>
            <w:tcW w:w="4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00" w:type="dxa"/>
            <w:vAlign w:val="bottom"/>
            <w:vMerge w:val="restart"/>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163,031</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20" w:type="dxa"/>
            <w:vAlign w:val="bottom"/>
            <w:vMerge w:val="restart"/>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vMerge w:val="restart"/>
          </w:tcPr>
          <w:p>
            <w:pPr>
              <w:jc w:val="right"/>
              <w:ind w:right="8"/>
              <w:spacing w:after="0"/>
              <w:rPr>
                <w:sz w:val="20"/>
                <w:szCs w:val="20"/>
                <w:color w:val="auto"/>
              </w:rPr>
            </w:pPr>
            <w:r>
              <w:rPr>
                <w:rFonts w:ascii="Arial" w:cs="Arial" w:eastAsia="Arial" w:hAnsi="Arial"/>
                <w:sz w:val="14"/>
                <w:szCs w:val="14"/>
                <w:color w:val="auto"/>
              </w:rPr>
              <w:t>—</w:t>
            </w:r>
          </w:p>
        </w:tc>
        <w:tc>
          <w:tcPr>
            <w:tcW w:w="100" w:type="dxa"/>
            <w:vAlign w:val="bottom"/>
            <w:vMerge w:val="restart"/>
          </w:tcPr>
          <w:p>
            <w:pPr>
              <w:spacing w:after="0"/>
              <w:rPr>
                <w:sz w:val="16"/>
                <w:szCs w:val="16"/>
                <w:color w:val="auto"/>
              </w:rPr>
            </w:pPr>
          </w:p>
        </w:tc>
        <w:tc>
          <w:tcPr>
            <w:tcW w:w="260" w:type="dxa"/>
            <w:vAlign w:val="bottom"/>
          </w:tcPr>
          <w:p>
            <w:pPr>
              <w:spacing w:after="0"/>
              <w:rPr>
                <w:sz w:val="16"/>
                <w:szCs w:val="16"/>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163,031</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3180" w:type="dxa"/>
            <w:vAlign w:val="bottom"/>
            <w:tcBorders>
              <w:bottom w:val="single" w:sz="8" w:color="CCEEFF"/>
            </w:tcBorders>
          </w:tcPr>
          <w:p>
            <w:pPr>
              <w:spacing w:after="0"/>
              <w:rPr>
                <w:sz w:val="6"/>
                <w:szCs w:val="6"/>
                <w:color w:val="auto"/>
              </w:rPr>
            </w:pPr>
          </w:p>
        </w:tc>
        <w:tc>
          <w:tcPr>
            <w:tcW w:w="480" w:type="dxa"/>
            <w:vAlign w:val="bottom"/>
            <w:tcBorders>
              <w:bottom w:val="single" w:sz="8" w:color="CCEEFF"/>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82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vMerge w:val="continue"/>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86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84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vMerge w:val="continue"/>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88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vMerge w:val="continue"/>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740" w:type="dxa"/>
            <w:vAlign w:val="bottom"/>
            <w:tcBorders>
              <w:bottom w:val="single" w:sz="8" w:color="auto"/>
            </w:tcBorders>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40" w:type="dxa"/>
            <w:vAlign w:val="bottom"/>
          </w:tcPr>
          <w:p>
            <w:pPr>
              <w:spacing w:after="0"/>
              <w:rPr>
                <w:sz w:val="15"/>
                <w:szCs w:val="15"/>
                <w:color w:val="auto"/>
              </w:rPr>
            </w:pPr>
          </w:p>
        </w:tc>
        <w:tc>
          <w:tcPr>
            <w:tcW w:w="3180" w:type="dxa"/>
            <w:vAlign w:val="bottom"/>
            <w:shd w:val="clear" w:color="auto" w:fill="CCEEFF"/>
          </w:tcPr>
          <w:p>
            <w:pPr>
              <w:ind w:left="1120"/>
              <w:spacing w:after="0"/>
              <w:rPr>
                <w:sz w:val="20"/>
                <w:szCs w:val="20"/>
                <w:color w:val="auto"/>
              </w:rPr>
            </w:pPr>
            <w:r>
              <w:rPr>
                <w:rFonts w:ascii="Arial" w:cs="Arial" w:eastAsia="Arial" w:hAnsi="Arial"/>
                <w:sz w:val="14"/>
                <w:szCs w:val="14"/>
                <w:color w:val="auto"/>
              </w:rPr>
              <w:t>Total liabilities and equity</w:t>
            </w:r>
          </w:p>
        </w:tc>
        <w:tc>
          <w:tcPr>
            <w:tcW w:w="480" w:type="dxa"/>
            <w:vAlign w:val="bottom"/>
            <w:vMerge w:val="restart"/>
            <w:shd w:val="clear" w:color="auto" w:fill="CCEEFF"/>
          </w:tcPr>
          <w:p>
            <w:pPr>
              <w:spacing w:after="0"/>
              <w:rPr>
                <w:sz w:val="15"/>
                <w:szCs w:val="15"/>
                <w:color w:val="auto"/>
              </w:rPr>
            </w:pPr>
          </w:p>
        </w:tc>
        <w:tc>
          <w:tcPr>
            <w:tcW w:w="18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3,118,727</w:t>
            </w:r>
          </w:p>
        </w:tc>
        <w:tc>
          <w:tcPr>
            <w:tcW w:w="100" w:type="dxa"/>
            <w:vAlign w:val="bottom"/>
            <w:shd w:val="clear" w:color="auto" w:fill="CCEEFF"/>
          </w:tcPr>
          <w:p>
            <w:pPr>
              <w:spacing w:after="0"/>
              <w:rPr>
                <w:sz w:val="15"/>
                <w:szCs w:val="15"/>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706,496</w:t>
            </w:r>
          </w:p>
        </w:tc>
        <w:tc>
          <w:tcPr>
            <w:tcW w:w="100" w:type="dxa"/>
            <w:vAlign w:val="bottom"/>
            <w:shd w:val="clear" w:color="auto" w:fill="CCEEFF"/>
          </w:tcPr>
          <w:p>
            <w:pPr>
              <w:spacing w:after="0"/>
              <w:rPr>
                <w:sz w:val="15"/>
                <w:szCs w:val="15"/>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3,814,473</w:t>
            </w:r>
          </w:p>
        </w:tc>
        <w:tc>
          <w:tcPr>
            <w:tcW w:w="120" w:type="dxa"/>
            <w:vAlign w:val="bottom"/>
            <w:shd w:val="clear" w:color="auto" w:fill="CCEEFF"/>
          </w:tcPr>
          <w:p>
            <w:pPr>
              <w:spacing w:after="0"/>
              <w:rPr>
                <w:sz w:val="15"/>
                <w:szCs w:val="15"/>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(3,306,025)</w:t>
            </w:r>
          </w:p>
        </w:tc>
        <w:tc>
          <w:tcPr>
            <w:tcW w:w="100" w:type="dxa"/>
            <w:vAlign w:val="bottom"/>
            <w:shd w:val="clear" w:color="auto" w:fill="CCEEFF"/>
          </w:tcPr>
          <w:p>
            <w:pPr>
              <w:spacing w:after="0"/>
              <w:rPr>
                <w:sz w:val="15"/>
                <w:szCs w:val="15"/>
                <w:color w:val="auto"/>
              </w:rPr>
            </w:pPr>
          </w:p>
        </w:tc>
        <w:tc>
          <w:tcPr>
            <w:tcW w:w="260" w:type="dxa"/>
            <w:vAlign w:val="bottom"/>
            <w:vMerge w:val="restart"/>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4,333,671</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0"/>
        </w:trPr>
        <w:tc>
          <w:tcPr>
            <w:tcW w:w="40" w:type="dxa"/>
            <w:vAlign w:val="bottom"/>
          </w:tcPr>
          <w:p>
            <w:pPr>
              <w:spacing w:after="0"/>
              <w:rPr>
                <w:sz w:val="5"/>
                <w:szCs w:val="5"/>
                <w:color w:val="auto"/>
              </w:rPr>
            </w:pPr>
          </w:p>
        </w:tc>
        <w:tc>
          <w:tcPr>
            <w:tcW w:w="3180" w:type="dxa"/>
            <w:vAlign w:val="bottom"/>
            <w:tcBorders>
              <w:bottom w:val="single" w:sz="8" w:color="CCEEFF"/>
            </w:tcBorders>
            <w:shd w:val="clear" w:color="auto" w:fill="CCEEFF"/>
          </w:tcPr>
          <w:p>
            <w:pPr>
              <w:spacing w:after="0"/>
              <w:rPr>
                <w:sz w:val="5"/>
                <w:szCs w:val="5"/>
                <w:color w:val="auto"/>
              </w:rPr>
            </w:pPr>
          </w:p>
        </w:tc>
        <w:tc>
          <w:tcPr>
            <w:tcW w:w="480" w:type="dxa"/>
            <w:vAlign w:val="bottom"/>
            <w:tcBorders>
              <w:bottom w:val="single" w:sz="8" w:color="CCEEFF"/>
            </w:tcBorders>
            <w:vMerge w:val="continue"/>
            <w:shd w:val="clear" w:color="auto" w:fill="CCEEFF"/>
          </w:tcPr>
          <w:p>
            <w:pPr>
              <w:spacing w:after="0"/>
              <w:rPr>
                <w:sz w:val="5"/>
                <w:szCs w:val="5"/>
                <w:color w:val="auto"/>
              </w:rPr>
            </w:pPr>
          </w:p>
        </w:tc>
        <w:tc>
          <w:tcPr>
            <w:tcW w:w="180" w:type="dxa"/>
            <w:vAlign w:val="bottom"/>
            <w:tcBorders>
              <w:bottom w:val="single" w:sz="8" w:color="auto"/>
            </w:tcBorders>
            <w:vMerge w:val="continue"/>
            <w:shd w:val="clear" w:color="auto" w:fill="CCEEFF"/>
          </w:tcPr>
          <w:p>
            <w:pPr>
              <w:spacing w:after="0"/>
              <w:rPr>
                <w:sz w:val="5"/>
                <w:szCs w:val="5"/>
                <w:color w:val="auto"/>
              </w:rPr>
            </w:pPr>
          </w:p>
        </w:tc>
        <w:tc>
          <w:tcPr>
            <w:tcW w:w="820" w:type="dxa"/>
            <w:vAlign w:val="bottom"/>
            <w:tcBorders>
              <w:bottom w:val="single" w:sz="8" w:color="auto"/>
            </w:tcBorders>
            <w:vMerge w:val="continue"/>
            <w:shd w:val="clear" w:color="auto" w:fill="CCEEFF"/>
          </w:tcPr>
          <w:p>
            <w:pPr>
              <w:spacing w:after="0"/>
              <w:rPr>
                <w:sz w:val="5"/>
                <w:szCs w:val="5"/>
                <w:color w:val="auto"/>
              </w:rPr>
            </w:pPr>
          </w:p>
        </w:tc>
        <w:tc>
          <w:tcPr>
            <w:tcW w:w="100" w:type="dxa"/>
            <w:vAlign w:val="bottom"/>
            <w:tcBorders>
              <w:bottom w:val="single" w:sz="8" w:color="CCEEFF"/>
            </w:tcBorders>
            <w:shd w:val="clear" w:color="auto" w:fill="CCEEFF"/>
          </w:tcPr>
          <w:p>
            <w:pPr>
              <w:spacing w:after="0"/>
              <w:rPr>
                <w:sz w:val="5"/>
                <w:szCs w:val="5"/>
                <w:color w:val="auto"/>
              </w:rPr>
            </w:pPr>
          </w:p>
        </w:tc>
        <w:tc>
          <w:tcPr>
            <w:tcW w:w="140" w:type="dxa"/>
            <w:vAlign w:val="bottom"/>
            <w:tcBorders>
              <w:bottom w:val="single" w:sz="8" w:color="auto"/>
            </w:tcBorders>
            <w:vMerge w:val="continue"/>
            <w:shd w:val="clear" w:color="auto" w:fill="CCEEFF"/>
          </w:tcPr>
          <w:p>
            <w:pPr>
              <w:spacing w:after="0"/>
              <w:rPr>
                <w:sz w:val="5"/>
                <w:szCs w:val="5"/>
                <w:color w:val="auto"/>
              </w:rPr>
            </w:pPr>
          </w:p>
        </w:tc>
        <w:tc>
          <w:tcPr>
            <w:tcW w:w="860" w:type="dxa"/>
            <w:vAlign w:val="bottom"/>
            <w:tcBorders>
              <w:bottom w:val="single" w:sz="8" w:color="auto"/>
            </w:tcBorders>
            <w:vMerge w:val="continue"/>
            <w:shd w:val="clear" w:color="auto" w:fill="CCEEFF"/>
          </w:tcPr>
          <w:p>
            <w:pPr>
              <w:spacing w:after="0"/>
              <w:rPr>
                <w:sz w:val="5"/>
                <w:szCs w:val="5"/>
                <w:color w:val="auto"/>
              </w:rPr>
            </w:pPr>
          </w:p>
        </w:tc>
        <w:tc>
          <w:tcPr>
            <w:tcW w:w="100" w:type="dxa"/>
            <w:vAlign w:val="bottom"/>
            <w:tcBorders>
              <w:bottom w:val="single" w:sz="8" w:color="CCEEFF"/>
            </w:tcBorders>
            <w:shd w:val="clear" w:color="auto" w:fill="CCEEFF"/>
          </w:tcPr>
          <w:p>
            <w:pPr>
              <w:spacing w:after="0"/>
              <w:rPr>
                <w:sz w:val="5"/>
                <w:szCs w:val="5"/>
                <w:color w:val="auto"/>
              </w:rPr>
            </w:pPr>
          </w:p>
        </w:tc>
        <w:tc>
          <w:tcPr>
            <w:tcW w:w="160" w:type="dxa"/>
            <w:vAlign w:val="bottom"/>
            <w:tcBorders>
              <w:bottom w:val="single" w:sz="8" w:color="auto"/>
            </w:tcBorders>
            <w:vMerge w:val="continue"/>
            <w:shd w:val="clear" w:color="auto" w:fill="CCEEFF"/>
          </w:tcPr>
          <w:p>
            <w:pPr>
              <w:spacing w:after="0"/>
              <w:rPr>
                <w:sz w:val="5"/>
                <w:szCs w:val="5"/>
                <w:color w:val="auto"/>
              </w:rPr>
            </w:pPr>
          </w:p>
        </w:tc>
        <w:tc>
          <w:tcPr>
            <w:tcW w:w="840" w:type="dxa"/>
            <w:vAlign w:val="bottom"/>
            <w:tcBorders>
              <w:bottom w:val="single" w:sz="8" w:color="auto"/>
            </w:tcBorders>
            <w:vMerge w:val="continue"/>
            <w:shd w:val="clear" w:color="auto" w:fill="CCEEFF"/>
          </w:tcPr>
          <w:p>
            <w:pPr>
              <w:spacing w:after="0"/>
              <w:rPr>
                <w:sz w:val="5"/>
                <w:szCs w:val="5"/>
                <w:color w:val="auto"/>
              </w:rPr>
            </w:pPr>
          </w:p>
        </w:tc>
        <w:tc>
          <w:tcPr>
            <w:tcW w:w="120" w:type="dxa"/>
            <w:vAlign w:val="bottom"/>
            <w:tcBorders>
              <w:bottom w:val="single" w:sz="8" w:color="CCEEFF"/>
            </w:tcBorders>
            <w:shd w:val="clear" w:color="auto" w:fill="CCEEFF"/>
          </w:tcPr>
          <w:p>
            <w:pPr>
              <w:spacing w:after="0"/>
              <w:rPr>
                <w:sz w:val="5"/>
                <w:szCs w:val="5"/>
                <w:color w:val="auto"/>
              </w:rPr>
            </w:pPr>
          </w:p>
        </w:tc>
        <w:tc>
          <w:tcPr>
            <w:tcW w:w="140" w:type="dxa"/>
            <w:vAlign w:val="bottom"/>
            <w:tcBorders>
              <w:bottom w:val="single" w:sz="8" w:color="auto"/>
            </w:tcBorders>
            <w:vMerge w:val="continue"/>
            <w:shd w:val="clear" w:color="auto" w:fill="CCEEFF"/>
          </w:tcPr>
          <w:p>
            <w:pPr>
              <w:spacing w:after="0"/>
              <w:rPr>
                <w:sz w:val="5"/>
                <w:szCs w:val="5"/>
                <w:color w:val="auto"/>
              </w:rPr>
            </w:pPr>
          </w:p>
        </w:tc>
        <w:tc>
          <w:tcPr>
            <w:tcW w:w="880" w:type="dxa"/>
            <w:vAlign w:val="bottom"/>
            <w:tcBorders>
              <w:bottom w:val="single" w:sz="8" w:color="auto"/>
            </w:tcBorders>
            <w:vMerge w:val="continue"/>
            <w:shd w:val="clear" w:color="auto" w:fill="CCEEFF"/>
          </w:tcPr>
          <w:p>
            <w:pPr>
              <w:spacing w:after="0"/>
              <w:rPr>
                <w:sz w:val="5"/>
                <w:szCs w:val="5"/>
                <w:color w:val="auto"/>
              </w:rPr>
            </w:pPr>
          </w:p>
        </w:tc>
        <w:tc>
          <w:tcPr>
            <w:tcW w:w="100" w:type="dxa"/>
            <w:vAlign w:val="bottom"/>
            <w:tcBorders>
              <w:bottom w:val="single" w:sz="8" w:color="CCEEFF"/>
            </w:tcBorders>
            <w:shd w:val="clear" w:color="auto" w:fill="CCEEFF"/>
          </w:tcPr>
          <w:p>
            <w:pPr>
              <w:spacing w:after="0"/>
              <w:rPr>
                <w:sz w:val="5"/>
                <w:szCs w:val="5"/>
                <w:color w:val="auto"/>
              </w:rPr>
            </w:pPr>
          </w:p>
        </w:tc>
        <w:tc>
          <w:tcPr>
            <w:tcW w:w="260" w:type="dxa"/>
            <w:vAlign w:val="bottom"/>
            <w:tcBorders>
              <w:bottom w:val="single" w:sz="8" w:color="auto"/>
            </w:tcBorders>
            <w:vMerge w:val="continue"/>
            <w:shd w:val="clear" w:color="auto" w:fill="CCEEFF"/>
          </w:tcPr>
          <w:p>
            <w:pPr>
              <w:spacing w:after="0"/>
              <w:rPr>
                <w:sz w:val="5"/>
                <w:szCs w:val="5"/>
                <w:color w:val="auto"/>
              </w:rPr>
            </w:pPr>
          </w:p>
        </w:tc>
        <w:tc>
          <w:tcPr>
            <w:tcW w:w="740" w:type="dxa"/>
            <w:vAlign w:val="bottom"/>
            <w:tcBorders>
              <w:bottom w:val="single" w:sz="8" w:color="auto"/>
            </w:tcBorders>
            <w:vMerge w:val="continue"/>
            <w:shd w:val="clear" w:color="auto" w:fill="CCEEFF"/>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2"/>
        </w:trPr>
        <w:tc>
          <w:tcPr>
            <w:tcW w:w="4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2680" w:type="dxa"/>
            <w:vAlign w:val="bottom"/>
            <w:gridSpan w:val="7"/>
          </w:tcPr>
          <w:p>
            <w:pPr>
              <w:jc w:val="center"/>
              <w:spacing w:after="0"/>
              <w:rPr>
                <w:sz w:val="20"/>
                <w:szCs w:val="20"/>
                <w:color w:val="auto"/>
              </w:rPr>
            </w:pPr>
            <w:r>
              <w:rPr>
                <w:rFonts w:ascii="Arial" w:cs="Arial" w:eastAsia="Arial" w:hAnsi="Arial"/>
                <w:sz w:val="14"/>
                <w:szCs w:val="14"/>
                <w:b w:val="1"/>
                <w:bCs w:val="1"/>
                <w:color w:val="auto"/>
                <w:w w:val="90"/>
              </w:rPr>
              <w:t>Condensed Consolidating Balance Sheet</w:t>
            </w: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40" w:type="dxa"/>
            <w:vAlign w:val="bottom"/>
            <w:tcBorders>
              <w:bottom w:val="single" w:sz="8" w:color="auto"/>
            </w:tcBorders>
          </w:tcPr>
          <w:p>
            <w:pPr>
              <w:spacing w:after="0"/>
              <w:rPr>
                <w:sz w:val="17"/>
                <w:szCs w:val="17"/>
                <w:color w:val="auto"/>
              </w:rPr>
            </w:pPr>
          </w:p>
        </w:tc>
        <w:tc>
          <w:tcPr>
            <w:tcW w:w="318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2020" w:type="dxa"/>
            <w:vAlign w:val="bottom"/>
            <w:tcBorders>
              <w:bottom w:val="single" w:sz="8" w:color="auto"/>
            </w:tcBorders>
            <w:gridSpan w:val="5"/>
          </w:tcPr>
          <w:p>
            <w:pPr>
              <w:jc w:val="center"/>
              <w:ind w:right="620"/>
              <w:spacing w:after="0"/>
              <w:rPr>
                <w:sz w:val="20"/>
                <w:szCs w:val="20"/>
                <w:color w:val="auto"/>
              </w:rPr>
            </w:pPr>
            <w:r>
              <w:rPr>
                <w:rFonts w:ascii="Arial" w:cs="Arial" w:eastAsia="Arial" w:hAnsi="Arial"/>
                <w:sz w:val="14"/>
                <w:szCs w:val="14"/>
                <w:b w:val="1"/>
                <w:bCs w:val="1"/>
                <w:color w:val="auto"/>
                <w:w w:val="91"/>
              </w:rPr>
              <w:t>December 31, 2019</w:t>
            </w:r>
          </w:p>
        </w:tc>
        <w:tc>
          <w:tcPr>
            <w:tcW w:w="1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53"/>
        </w:trPr>
        <w:tc>
          <w:tcPr>
            <w:tcW w:w="40" w:type="dxa"/>
            <w:vAlign w:val="bottom"/>
          </w:tcPr>
          <w:p>
            <w:pPr>
              <w:spacing w:after="0"/>
              <w:rPr>
                <w:sz w:val="13"/>
                <w:szCs w:val="13"/>
                <w:color w:val="auto"/>
              </w:rPr>
            </w:pPr>
          </w:p>
        </w:tc>
        <w:tc>
          <w:tcPr>
            <w:tcW w:w="31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gridSpan w:val="2"/>
          </w:tcPr>
          <w:p>
            <w:pPr>
              <w:jc w:val="center"/>
              <w:ind w:right="180"/>
              <w:spacing w:after="0" w:line="153" w:lineRule="exact"/>
              <w:rPr>
                <w:sz w:val="20"/>
                <w:szCs w:val="20"/>
                <w:color w:val="auto"/>
              </w:rPr>
            </w:pPr>
            <w:r>
              <w:rPr>
                <w:rFonts w:ascii="Arial" w:cs="Arial" w:eastAsia="Arial" w:hAnsi="Arial"/>
                <w:sz w:val="14"/>
                <w:szCs w:val="14"/>
                <w:b w:val="1"/>
                <w:bCs w:val="1"/>
                <w:color w:val="auto"/>
                <w:w w:val="93"/>
              </w:rPr>
              <w:t>Non-</w:t>
            </w:r>
          </w:p>
        </w:tc>
        <w:tc>
          <w:tcPr>
            <w:tcW w:w="160" w:type="dxa"/>
            <w:vAlign w:val="bottom"/>
          </w:tcPr>
          <w:p>
            <w:pPr>
              <w:spacing w:after="0"/>
              <w:rPr>
                <w:sz w:val="13"/>
                <w:szCs w:val="13"/>
                <w:color w:val="auto"/>
              </w:rPr>
            </w:pPr>
          </w:p>
        </w:tc>
        <w:tc>
          <w:tcPr>
            <w:tcW w:w="960" w:type="dxa"/>
            <w:vAlign w:val="bottom"/>
            <w:gridSpan w:val="2"/>
            <w:vMerge w:val="restart"/>
          </w:tcPr>
          <w:p>
            <w:pPr>
              <w:jc w:val="right"/>
              <w:ind w:right="240"/>
              <w:spacing w:after="0"/>
              <w:rPr>
                <w:sz w:val="20"/>
                <w:szCs w:val="20"/>
                <w:color w:val="auto"/>
              </w:rPr>
            </w:pPr>
            <w:r>
              <w:rPr>
                <w:rFonts w:ascii="Arial" w:cs="Arial" w:eastAsia="Arial" w:hAnsi="Arial"/>
                <w:sz w:val="14"/>
                <w:szCs w:val="14"/>
                <w:b w:val="1"/>
                <w:bCs w:val="1"/>
                <w:color w:val="auto"/>
              </w:rPr>
              <w:t>Guarantor</w:t>
            </w:r>
          </w:p>
        </w:tc>
        <w:tc>
          <w:tcPr>
            <w:tcW w:w="140" w:type="dxa"/>
            <w:vAlign w:val="bottom"/>
          </w:tcPr>
          <w:p>
            <w:pPr>
              <w:spacing w:after="0"/>
              <w:rPr>
                <w:sz w:val="13"/>
                <w:szCs w:val="13"/>
                <w:color w:val="auto"/>
              </w:rPr>
            </w:pPr>
          </w:p>
        </w:tc>
        <w:tc>
          <w:tcPr>
            <w:tcW w:w="98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w w:val="98"/>
              </w:rPr>
              <w:t>Eliminating</w:t>
            </w:r>
          </w:p>
        </w:tc>
        <w:tc>
          <w:tcPr>
            <w:tcW w:w="2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40" w:type="dxa"/>
            <w:vAlign w:val="bottom"/>
          </w:tcPr>
          <w:p>
            <w:pPr>
              <w:spacing w:after="0"/>
              <w:rPr>
                <w:sz w:val="12"/>
                <w:szCs w:val="12"/>
                <w:color w:val="auto"/>
              </w:rPr>
            </w:pPr>
          </w:p>
        </w:tc>
        <w:tc>
          <w:tcPr>
            <w:tcW w:w="31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Matador</w:t>
            </w:r>
          </w:p>
        </w:tc>
        <w:tc>
          <w:tcPr>
            <w:tcW w:w="140" w:type="dxa"/>
            <w:vAlign w:val="bottom"/>
          </w:tcPr>
          <w:p>
            <w:pPr>
              <w:spacing w:after="0"/>
              <w:rPr>
                <w:sz w:val="12"/>
                <w:szCs w:val="12"/>
                <w:color w:val="auto"/>
              </w:rPr>
            </w:pPr>
          </w:p>
        </w:tc>
        <w:tc>
          <w:tcPr>
            <w:tcW w:w="96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7"/>
              </w:rPr>
              <w:t>Guarantor</w:t>
            </w:r>
          </w:p>
        </w:tc>
        <w:tc>
          <w:tcPr>
            <w:tcW w:w="16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00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Consolidated</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40" w:type="dxa"/>
            <w:vAlign w:val="bottom"/>
            <w:tcBorders>
              <w:bottom w:val="single" w:sz="8" w:color="auto"/>
            </w:tcBorders>
          </w:tcPr>
          <w:p>
            <w:pPr>
              <w:spacing w:after="0"/>
              <w:rPr>
                <w:sz w:val="16"/>
                <w:szCs w:val="16"/>
                <w:color w:val="auto"/>
              </w:rPr>
            </w:pPr>
          </w:p>
        </w:tc>
        <w:tc>
          <w:tcPr>
            <w:tcW w:w="318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gridSpan w:val="2"/>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gridSpan w:val="2"/>
          </w:tcPr>
          <w:p>
            <w:pPr>
              <w:jc w:val="center"/>
              <w:ind w:right="180"/>
              <w:spacing w:after="0"/>
              <w:rPr>
                <w:sz w:val="20"/>
                <w:szCs w:val="20"/>
                <w:color w:val="auto"/>
              </w:rPr>
            </w:pPr>
            <w:r>
              <w:rPr>
                <w:rFonts w:ascii="Arial" w:cs="Arial" w:eastAsia="Arial" w:hAnsi="Arial"/>
                <w:sz w:val="14"/>
                <w:szCs w:val="14"/>
                <w:b w:val="1"/>
                <w:bCs w:val="1"/>
                <w:color w:val="auto"/>
                <w:w w:val="88"/>
              </w:rPr>
              <w:t>Subsidiaries</w:t>
            </w:r>
          </w:p>
        </w:tc>
        <w:tc>
          <w:tcPr>
            <w:tcW w:w="1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Subsidiaries</w:t>
            </w: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2"/>
          </w:tcPr>
          <w:p>
            <w:pPr>
              <w:jc w:val="right"/>
              <w:ind w:right="360"/>
              <w:spacing w:after="0"/>
              <w:rPr>
                <w:sz w:val="20"/>
                <w:szCs w:val="20"/>
                <w:color w:val="auto"/>
              </w:rPr>
            </w:pPr>
            <w:r>
              <w:rPr>
                <w:rFonts w:ascii="Arial" w:cs="Arial" w:eastAsia="Arial" w:hAnsi="Arial"/>
                <w:sz w:val="14"/>
                <w:szCs w:val="14"/>
                <w:b w:val="1"/>
                <w:bCs w:val="1"/>
                <w:color w:val="auto"/>
              </w:rPr>
              <w:t>Entries</w:t>
            </w:r>
          </w:p>
        </w:tc>
        <w:tc>
          <w:tcPr>
            <w:tcW w:w="1000" w:type="dxa"/>
            <w:vAlign w:val="bottom"/>
            <w:tcBorders>
              <w:bottom w:val="single" w:sz="8" w:color="auto"/>
            </w:tcBorders>
            <w:gridSpan w:val="2"/>
            <w:vMerge w:val="continue"/>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32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ASSETS</w:t>
            </w:r>
          </w:p>
        </w:tc>
        <w:tc>
          <w:tcPr>
            <w:tcW w:w="4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79"/>
        </w:trPr>
        <w:tc>
          <w:tcPr>
            <w:tcW w:w="40" w:type="dxa"/>
            <w:vAlign w:val="bottom"/>
            <w:shd w:val="clear" w:color="auto" w:fill="CCEEFF"/>
          </w:tcPr>
          <w:p>
            <w:pPr>
              <w:spacing w:after="0"/>
              <w:rPr>
                <w:sz w:val="6"/>
                <w:szCs w:val="6"/>
                <w:color w:val="auto"/>
              </w:rPr>
            </w:pPr>
          </w:p>
        </w:tc>
        <w:tc>
          <w:tcPr>
            <w:tcW w:w="3180" w:type="dxa"/>
            <w:vAlign w:val="bottom"/>
            <w:shd w:val="clear" w:color="auto" w:fill="CCEEFF"/>
          </w:tcPr>
          <w:p>
            <w:pPr>
              <w:spacing w:after="0"/>
              <w:rPr>
                <w:sz w:val="6"/>
                <w:szCs w:val="6"/>
                <w:color w:val="auto"/>
              </w:rPr>
            </w:pPr>
          </w:p>
        </w:tc>
        <w:tc>
          <w:tcPr>
            <w:tcW w:w="48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8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86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84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8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74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0"/>
        </w:trPr>
        <w:tc>
          <w:tcPr>
            <w:tcW w:w="40" w:type="dxa"/>
            <w:vAlign w:val="bottom"/>
          </w:tcPr>
          <w:p>
            <w:pPr>
              <w:spacing w:after="0"/>
              <w:rPr>
                <w:sz w:val="16"/>
                <w:szCs w:val="16"/>
                <w:color w:val="auto"/>
              </w:rPr>
            </w:pPr>
          </w:p>
        </w:tc>
        <w:tc>
          <w:tcPr>
            <w:tcW w:w="3180" w:type="dxa"/>
            <w:vAlign w:val="bottom"/>
          </w:tcPr>
          <w:p>
            <w:pPr>
              <w:ind w:left="320"/>
              <w:spacing w:after="0"/>
              <w:rPr>
                <w:sz w:val="20"/>
                <w:szCs w:val="20"/>
                <w:color w:val="auto"/>
              </w:rPr>
            </w:pPr>
            <w:r>
              <w:rPr>
                <w:rFonts w:ascii="Arial" w:cs="Arial" w:eastAsia="Arial" w:hAnsi="Arial"/>
                <w:sz w:val="14"/>
                <w:szCs w:val="14"/>
                <w:color w:val="auto"/>
              </w:rPr>
              <w:t>Intercompany receivable</w:t>
            </w:r>
          </w:p>
        </w:tc>
        <w:tc>
          <w:tcPr>
            <w:tcW w:w="660" w:type="dxa"/>
            <w:vAlign w:val="bottom"/>
            <w:gridSpan w:val="2"/>
            <w:vMerge w:val="restart"/>
          </w:tcPr>
          <w:p>
            <w:pPr>
              <w:jc w:val="right"/>
              <w:spacing w:after="0"/>
              <w:rPr>
                <w:sz w:val="20"/>
                <w:szCs w:val="20"/>
                <w:color w:val="auto"/>
              </w:rPr>
            </w:pPr>
            <w:r>
              <w:rPr>
                <w:rFonts w:ascii="Arial" w:cs="Arial" w:eastAsia="Arial" w:hAnsi="Arial"/>
                <w:sz w:val="14"/>
                <w:szCs w:val="14"/>
                <w:color w:val="auto"/>
              </w:rPr>
              <w:t>$</w:t>
            </w: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1,578,133</w:t>
            </w:r>
          </w:p>
        </w:tc>
        <w:tc>
          <w:tcPr>
            <w:tcW w:w="100" w:type="dxa"/>
            <w:vAlign w:val="bottom"/>
          </w:tcPr>
          <w:p>
            <w:pPr>
              <w:spacing w:after="0"/>
              <w:rPr>
                <w:sz w:val="16"/>
                <w:szCs w:val="16"/>
                <w:color w:val="auto"/>
              </w:rPr>
            </w:pPr>
          </w:p>
        </w:tc>
        <w:tc>
          <w:tcPr>
            <w:tcW w:w="1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29,217</w:t>
            </w:r>
          </w:p>
        </w:tc>
        <w:tc>
          <w:tcPr>
            <w:tcW w:w="100" w:type="dxa"/>
            <w:vAlign w:val="bottom"/>
          </w:tcPr>
          <w:p>
            <w:pPr>
              <w:spacing w:after="0"/>
              <w:rPr>
                <w:sz w:val="16"/>
                <w:szCs w:val="16"/>
                <w:color w:val="auto"/>
              </w:rPr>
            </w:pPr>
          </w:p>
        </w:tc>
        <w:tc>
          <w:tcPr>
            <w:tcW w:w="1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96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980" w:type="dxa"/>
            <w:vAlign w:val="bottom"/>
            <w:gridSpan w:val="2"/>
            <w:vMerge w:val="restart"/>
          </w:tcPr>
          <w:p>
            <w:pPr>
              <w:jc w:val="right"/>
              <w:ind w:right="100"/>
              <w:spacing w:after="0"/>
              <w:rPr>
                <w:sz w:val="20"/>
                <w:szCs w:val="20"/>
                <w:color w:val="auto"/>
              </w:rPr>
            </w:pPr>
            <w:r>
              <w:rPr>
                <w:rFonts w:ascii="Arial" w:cs="Arial" w:eastAsia="Arial" w:hAnsi="Arial"/>
                <w:sz w:val="14"/>
                <w:szCs w:val="14"/>
                <w:color w:val="auto"/>
              </w:rPr>
              <w:t>(1,607,350)</w:t>
            </w:r>
          </w:p>
        </w:tc>
        <w:tc>
          <w:tcPr>
            <w:tcW w:w="260" w:type="dxa"/>
            <w:vAlign w:val="bottom"/>
            <w:vMerge w:val="restart"/>
          </w:tcPr>
          <w:p>
            <w:pPr>
              <w:jc w:val="right"/>
              <w:ind w:right="48"/>
              <w:spacing w:after="0"/>
              <w:rPr>
                <w:sz w:val="20"/>
                <w:szCs w:val="20"/>
                <w:color w:val="auto"/>
              </w:rPr>
            </w:pPr>
            <w:r>
              <w:rPr>
                <w:rFonts w:ascii="Arial" w:cs="Arial" w:eastAsia="Arial" w:hAnsi="Arial"/>
                <w:sz w:val="14"/>
                <w:szCs w:val="14"/>
                <w:color w:val="auto"/>
              </w:rPr>
              <w:t>$</w:t>
            </w: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3180" w:type="dxa"/>
            <w:vAlign w:val="bottom"/>
          </w:tcPr>
          <w:p>
            <w:pPr>
              <w:spacing w:after="0"/>
              <w:rPr>
                <w:sz w:val="6"/>
                <w:szCs w:val="6"/>
                <w:color w:val="auto"/>
              </w:rPr>
            </w:pPr>
          </w:p>
        </w:tc>
        <w:tc>
          <w:tcPr>
            <w:tcW w:w="660" w:type="dxa"/>
            <w:vAlign w:val="bottom"/>
            <w:gridSpan w:val="2"/>
            <w:vMerge w:val="continue"/>
          </w:tcPr>
          <w:p>
            <w:pPr>
              <w:spacing w:after="0"/>
              <w:rPr>
                <w:sz w:val="6"/>
                <w:szCs w:val="6"/>
                <w:color w:val="auto"/>
              </w:rPr>
            </w:pPr>
          </w:p>
        </w:tc>
        <w:tc>
          <w:tcPr>
            <w:tcW w:w="8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vMerge w:val="continue"/>
          </w:tcPr>
          <w:p>
            <w:pPr>
              <w:spacing w:after="0"/>
              <w:rPr>
                <w:sz w:val="6"/>
                <w:szCs w:val="6"/>
                <w:color w:val="auto"/>
              </w:rPr>
            </w:pPr>
          </w:p>
        </w:tc>
        <w:tc>
          <w:tcPr>
            <w:tcW w:w="86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vMerge w:val="continue"/>
          </w:tcPr>
          <w:p>
            <w:pPr>
              <w:spacing w:after="0"/>
              <w:rPr>
                <w:sz w:val="6"/>
                <w:szCs w:val="6"/>
                <w:color w:val="auto"/>
              </w:rPr>
            </w:pPr>
          </w:p>
        </w:tc>
        <w:tc>
          <w:tcPr>
            <w:tcW w:w="960" w:type="dxa"/>
            <w:vAlign w:val="bottom"/>
            <w:gridSpan w:val="2"/>
            <w:vMerge w:val="continue"/>
          </w:tcPr>
          <w:p>
            <w:pPr>
              <w:spacing w:after="0"/>
              <w:rPr>
                <w:sz w:val="6"/>
                <w:szCs w:val="6"/>
                <w:color w:val="auto"/>
              </w:rPr>
            </w:pPr>
          </w:p>
        </w:tc>
        <w:tc>
          <w:tcPr>
            <w:tcW w:w="140" w:type="dxa"/>
            <w:vAlign w:val="bottom"/>
            <w:vMerge w:val="continue"/>
          </w:tcPr>
          <w:p>
            <w:pPr>
              <w:spacing w:after="0"/>
              <w:rPr>
                <w:sz w:val="6"/>
                <w:szCs w:val="6"/>
                <w:color w:val="auto"/>
              </w:rPr>
            </w:pPr>
          </w:p>
        </w:tc>
        <w:tc>
          <w:tcPr>
            <w:tcW w:w="980" w:type="dxa"/>
            <w:vAlign w:val="bottom"/>
            <w:gridSpan w:val="2"/>
            <w:vMerge w:val="continue"/>
          </w:tcPr>
          <w:p>
            <w:pPr>
              <w:spacing w:after="0"/>
              <w:rPr>
                <w:sz w:val="6"/>
                <w:szCs w:val="6"/>
                <w:color w:val="auto"/>
              </w:rPr>
            </w:pPr>
          </w:p>
        </w:tc>
        <w:tc>
          <w:tcPr>
            <w:tcW w:w="26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40" w:type="dxa"/>
            <w:vAlign w:val="bottom"/>
            <w:shd w:val="clear" w:color="auto" w:fill="CCEEFF"/>
          </w:tcPr>
          <w:p>
            <w:pPr>
              <w:spacing w:after="0"/>
              <w:rPr>
                <w:sz w:val="17"/>
                <w:szCs w:val="17"/>
                <w:color w:val="auto"/>
              </w:rPr>
            </w:pPr>
          </w:p>
        </w:tc>
        <w:tc>
          <w:tcPr>
            <w:tcW w:w="3180" w:type="dxa"/>
            <w:vAlign w:val="bottom"/>
            <w:shd w:val="clear" w:color="auto" w:fill="CCEEFF"/>
          </w:tcPr>
          <w:p>
            <w:pPr>
              <w:ind w:left="320"/>
              <w:spacing w:after="0"/>
              <w:rPr>
                <w:sz w:val="20"/>
                <w:szCs w:val="20"/>
                <w:color w:val="auto"/>
              </w:rPr>
            </w:pPr>
            <w:r>
              <w:rPr>
                <w:rFonts w:ascii="Arial" w:cs="Arial" w:eastAsia="Arial" w:hAnsi="Arial"/>
                <w:sz w:val="14"/>
                <w:szCs w:val="14"/>
                <w:color w:val="auto"/>
              </w:rPr>
              <w:t>Current assets</w:t>
            </w:r>
          </w:p>
        </w:tc>
        <w:tc>
          <w:tcPr>
            <w:tcW w:w="4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29</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37,933</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240,530</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7"/>
                <w:szCs w:val="17"/>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278,492</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80"/>
        </w:trPr>
        <w:tc>
          <w:tcPr>
            <w:tcW w:w="40" w:type="dxa"/>
            <w:vAlign w:val="bottom"/>
            <w:shd w:val="clear" w:color="auto" w:fill="CCEEFF"/>
          </w:tcPr>
          <w:p>
            <w:pPr>
              <w:spacing w:after="0"/>
              <w:rPr>
                <w:sz w:val="6"/>
                <w:szCs w:val="6"/>
                <w:color w:val="auto"/>
              </w:rPr>
            </w:pPr>
          </w:p>
        </w:tc>
        <w:tc>
          <w:tcPr>
            <w:tcW w:w="3180" w:type="dxa"/>
            <w:vAlign w:val="bottom"/>
            <w:shd w:val="clear" w:color="auto" w:fill="CCEEFF"/>
          </w:tcPr>
          <w:p>
            <w:pPr>
              <w:spacing w:after="0"/>
              <w:rPr>
                <w:sz w:val="6"/>
                <w:szCs w:val="6"/>
                <w:color w:val="auto"/>
              </w:rPr>
            </w:pPr>
          </w:p>
        </w:tc>
        <w:tc>
          <w:tcPr>
            <w:tcW w:w="48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82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86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84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980" w:type="dxa"/>
            <w:vAlign w:val="bottom"/>
            <w:gridSpan w:val="2"/>
            <w:vMerge w:val="continue"/>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740" w:type="dxa"/>
            <w:vAlign w:val="bottom"/>
            <w:vMerge w:val="continue"/>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0"/>
        </w:trPr>
        <w:tc>
          <w:tcPr>
            <w:tcW w:w="40" w:type="dxa"/>
            <w:vAlign w:val="bottom"/>
          </w:tcPr>
          <w:p>
            <w:pPr>
              <w:spacing w:after="0"/>
              <w:rPr>
                <w:sz w:val="16"/>
                <w:szCs w:val="16"/>
                <w:color w:val="auto"/>
              </w:rPr>
            </w:pPr>
          </w:p>
        </w:tc>
        <w:tc>
          <w:tcPr>
            <w:tcW w:w="3180" w:type="dxa"/>
            <w:vAlign w:val="bottom"/>
          </w:tcPr>
          <w:p>
            <w:pPr>
              <w:ind w:left="320"/>
              <w:spacing w:after="0"/>
              <w:rPr>
                <w:sz w:val="20"/>
                <w:szCs w:val="20"/>
                <w:color w:val="auto"/>
              </w:rPr>
            </w:pPr>
            <w:r>
              <w:rPr>
                <w:rFonts w:ascii="Arial" w:cs="Arial" w:eastAsia="Arial" w:hAnsi="Arial"/>
                <w:sz w:val="14"/>
                <w:szCs w:val="14"/>
                <w:color w:val="auto"/>
              </w:rPr>
              <w:t>Net property and equipment</w:t>
            </w:r>
          </w:p>
        </w:tc>
        <w:tc>
          <w:tcPr>
            <w:tcW w:w="4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gridSpan w:val="2"/>
            <w:vMerge w:val="restart"/>
          </w:tcPr>
          <w:p>
            <w:pPr>
              <w:jc w:val="right"/>
              <w:ind w:right="1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583,899</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3,115,696</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3,699,595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3180" w:type="dxa"/>
            <w:vAlign w:val="bottom"/>
          </w:tcPr>
          <w:p>
            <w:pPr>
              <w:spacing w:after="0"/>
              <w:rPr>
                <w:sz w:val="6"/>
                <w:szCs w:val="6"/>
                <w:color w:val="auto"/>
              </w:rPr>
            </w:pPr>
          </w:p>
        </w:tc>
        <w:tc>
          <w:tcPr>
            <w:tcW w:w="480" w:type="dxa"/>
            <w:vAlign w:val="bottom"/>
          </w:tcPr>
          <w:p>
            <w:pPr>
              <w:spacing w:after="0"/>
              <w:rPr>
                <w:sz w:val="6"/>
                <w:szCs w:val="6"/>
                <w:color w:val="auto"/>
              </w:rPr>
            </w:pPr>
          </w:p>
        </w:tc>
        <w:tc>
          <w:tcPr>
            <w:tcW w:w="180" w:type="dxa"/>
            <w:vAlign w:val="bottom"/>
          </w:tcPr>
          <w:p>
            <w:pPr>
              <w:spacing w:after="0"/>
              <w:rPr>
                <w:sz w:val="6"/>
                <w:szCs w:val="6"/>
                <w:color w:val="auto"/>
              </w:rPr>
            </w:pPr>
          </w:p>
        </w:tc>
        <w:tc>
          <w:tcPr>
            <w:tcW w:w="92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86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8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980" w:type="dxa"/>
            <w:vAlign w:val="bottom"/>
            <w:gridSpan w:val="2"/>
            <w:vMerge w:val="continue"/>
          </w:tcPr>
          <w:p>
            <w:pPr>
              <w:spacing w:after="0"/>
              <w:rPr>
                <w:sz w:val="6"/>
                <w:szCs w:val="6"/>
                <w:color w:val="auto"/>
              </w:rPr>
            </w:pPr>
          </w:p>
        </w:tc>
        <w:tc>
          <w:tcPr>
            <w:tcW w:w="260" w:type="dxa"/>
            <w:vAlign w:val="bottom"/>
          </w:tcPr>
          <w:p>
            <w:pPr>
              <w:spacing w:after="0"/>
              <w:rPr>
                <w:sz w:val="6"/>
                <w:szCs w:val="6"/>
                <w:color w:val="auto"/>
              </w:rPr>
            </w:pPr>
          </w:p>
        </w:tc>
        <w:tc>
          <w:tcPr>
            <w:tcW w:w="74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6"/>
        </w:trPr>
        <w:tc>
          <w:tcPr>
            <w:tcW w:w="40" w:type="dxa"/>
            <w:vAlign w:val="bottom"/>
            <w:shd w:val="clear" w:color="auto" w:fill="CCEEFF"/>
          </w:tcPr>
          <w:p>
            <w:pPr>
              <w:spacing w:after="0"/>
              <w:rPr>
                <w:sz w:val="17"/>
                <w:szCs w:val="17"/>
                <w:color w:val="auto"/>
              </w:rPr>
            </w:pPr>
          </w:p>
        </w:tc>
        <w:tc>
          <w:tcPr>
            <w:tcW w:w="3180" w:type="dxa"/>
            <w:vAlign w:val="bottom"/>
            <w:shd w:val="clear" w:color="auto" w:fill="CCEEFF"/>
          </w:tcPr>
          <w:p>
            <w:pPr>
              <w:ind w:left="320"/>
              <w:spacing w:after="0"/>
              <w:rPr>
                <w:sz w:val="20"/>
                <w:szCs w:val="20"/>
                <w:color w:val="auto"/>
              </w:rPr>
            </w:pPr>
            <w:r>
              <w:rPr>
                <w:rFonts w:ascii="Arial" w:cs="Arial" w:eastAsia="Arial" w:hAnsi="Arial"/>
                <w:sz w:val="14"/>
                <w:szCs w:val="14"/>
                <w:color w:val="auto"/>
              </w:rPr>
              <w:t>Investment in subsidiaries</w:t>
            </w:r>
          </w:p>
        </w:tc>
        <w:tc>
          <w:tcPr>
            <w:tcW w:w="4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1,332,237</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144,697</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4"/>
                <w:szCs w:val="14"/>
                <w:color w:val="auto"/>
              </w:rPr>
              <w:t>(1,476,934)</w:t>
            </w:r>
          </w:p>
        </w:tc>
        <w:tc>
          <w:tcPr>
            <w:tcW w:w="260" w:type="dxa"/>
            <w:vAlign w:val="bottom"/>
            <w:shd w:val="clear" w:color="auto" w:fill="CCEEFF"/>
          </w:tcPr>
          <w:p>
            <w:pPr>
              <w:spacing w:after="0"/>
              <w:rPr>
                <w:sz w:val="17"/>
                <w:szCs w:val="17"/>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80"/>
        </w:trPr>
        <w:tc>
          <w:tcPr>
            <w:tcW w:w="40" w:type="dxa"/>
            <w:vAlign w:val="bottom"/>
            <w:shd w:val="clear" w:color="auto" w:fill="CCEEFF"/>
          </w:tcPr>
          <w:p>
            <w:pPr>
              <w:spacing w:after="0"/>
              <w:rPr>
                <w:sz w:val="6"/>
                <w:szCs w:val="6"/>
                <w:color w:val="auto"/>
              </w:rPr>
            </w:pPr>
          </w:p>
        </w:tc>
        <w:tc>
          <w:tcPr>
            <w:tcW w:w="3180" w:type="dxa"/>
            <w:vAlign w:val="bottom"/>
            <w:shd w:val="clear" w:color="auto" w:fill="CCEEFF"/>
          </w:tcPr>
          <w:p>
            <w:pPr>
              <w:spacing w:after="0"/>
              <w:rPr>
                <w:sz w:val="6"/>
                <w:szCs w:val="6"/>
                <w:color w:val="auto"/>
              </w:rPr>
            </w:pPr>
          </w:p>
        </w:tc>
        <w:tc>
          <w:tcPr>
            <w:tcW w:w="48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82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960" w:type="dxa"/>
            <w:vAlign w:val="bottom"/>
            <w:gridSpan w:val="2"/>
            <w:vMerge w:val="continue"/>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84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980" w:type="dxa"/>
            <w:vAlign w:val="bottom"/>
            <w:gridSpan w:val="2"/>
            <w:vMerge w:val="continue"/>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740" w:type="dxa"/>
            <w:vAlign w:val="bottom"/>
            <w:vMerge w:val="continue"/>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bl>
    <w:p>
      <w:pPr>
        <w:sectPr>
          <w:pgSz w:w="11900" w:h="16891" w:orient="portrait"/>
          <w:cols w:equalWidth="0" w:num="1">
            <w:col w:w="11240"/>
          </w:cols>
          <w:pgMar w:left="320" w:top="125" w:right="339" w:bottom="0" w:gutter="0" w:footer="0" w:header="0"/>
        </w:sectPr>
      </w:pPr>
    </w:p>
    <w:bookmarkStart w:id="19" w:name="page20"/>
    <w:bookmarkEnd w:id="1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2820" w:type="dxa"/>
            <w:vAlign w:val="bottom"/>
          </w:tcPr>
          <w:p>
            <w:pPr>
              <w:ind w:left="360"/>
              <w:spacing w:after="0"/>
              <w:rPr>
                <w:sz w:val="20"/>
                <w:szCs w:val="20"/>
                <w:color w:val="auto"/>
              </w:rPr>
            </w:pPr>
            <w:r>
              <w:rPr>
                <w:rFonts w:ascii="Arial" w:cs="Arial" w:eastAsia="Arial" w:hAnsi="Arial"/>
                <w:sz w:val="14"/>
                <w:szCs w:val="14"/>
                <w:color w:val="auto"/>
              </w:rPr>
              <w:t>Long-term assets</w:t>
            </w:r>
          </w:p>
        </w:tc>
        <w:tc>
          <w:tcPr>
            <w:tcW w:w="9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3,072</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99,049</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(10,532)</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91,589</w:t>
            </w:r>
          </w:p>
        </w:tc>
        <w:tc>
          <w:tcPr>
            <w:tcW w:w="0" w:type="dxa"/>
            <w:vAlign w:val="bottom"/>
          </w:tcPr>
          <w:p>
            <w:pPr>
              <w:spacing w:after="0"/>
              <w:rPr>
                <w:sz w:val="1"/>
                <w:szCs w:val="1"/>
                <w:color w:val="auto"/>
              </w:rPr>
            </w:pPr>
          </w:p>
        </w:tc>
      </w:tr>
      <w:tr>
        <w:trPr>
          <w:trHeight w:val="80"/>
        </w:trPr>
        <w:tc>
          <w:tcPr>
            <w:tcW w:w="2820" w:type="dxa"/>
            <w:vAlign w:val="bottom"/>
            <w:tcBorders>
              <w:bottom w:val="single" w:sz="8" w:color="CCEEFF"/>
            </w:tcBorders>
          </w:tcPr>
          <w:p>
            <w:pPr>
              <w:spacing w:after="0"/>
              <w:rPr>
                <w:sz w:val="6"/>
                <w:szCs w:val="6"/>
                <w:color w:val="auto"/>
              </w:rPr>
            </w:pPr>
          </w:p>
        </w:tc>
        <w:tc>
          <w:tcPr>
            <w:tcW w:w="920" w:type="dxa"/>
            <w:vAlign w:val="bottom"/>
            <w:tcBorders>
              <w:bottom w:val="single" w:sz="8" w:color="CCEEFF"/>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72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72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72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88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76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70"/>
        </w:trPr>
        <w:tc>
          <w:tcPr>
            <w:tcW w:w="2820" w:type="dxa"/>
            <w:vAlign w:val="bottom"/>
            <w:shd w:val="clear" w:color="auto" w:fill="CCEEFF"/>
          </w:tcPr>
          <w:p>
            <w:pPr>
              <w:ind w:left="1120"/>
              <w:spacing w:after="0"/>
              <w:rPr>
                <w:sz w:val="20"/>
                <w:szCs w:val="20"/>
                <w:color w:val="auto"/>
              </w:rPr>
            </w:pPr>
            <w:r>
              <w:rPr>
                <w:rFonts w:ascii="Arial" w:cs="Arial" w:eastAsia="Arial" w:hAnsi="Arial"/>
                <w:sz w:val="14"/>
                <w:szCs w:val="14"/>
                <w:color w:val="auto"/>
              </w:rPr>
              <w:t>Total assets</w:t>
            </w:r>
          </w:p>
        </w:tc>
        <w:tc>
          <w:tcPr>
            <w:tcW w:w="1140" w:type="dxa"/>
            <w:vAlign w:val="bottom"/>
            <w:gridSpan w:val="2"/>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2,910,399</w:t>
            </w:r>
          </w:p>
        </w:tc>
        <w:tc>
          <w:tcPr>
            <w:tcW w:w="440" w:type="dxa"/>
            <w:vAlign w:val="bottom"/>
            <w:gridSpan w:val="3"/>
            <w:vMerge w:val="restart"/>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654,121</w:t>
            </w:r>
          </w:p>
        </w:tc>
        <w:tc>
          <w:tcPr>
            <w:tcW w:w="100" w:type="dxa"/>
            <w:vAlign w:val="bottom"/>
            <w:shd w:val="clear" w:color="auto" w:fill="CCEEFF"/>
          </w:tcPr>
          <w:p>
            <w:pPr>
              <w:spacing w:after="0"/>
              <w:rPr>
                <w:sz w:val="14"/>
                <w:szCs w:val="14"/>
                <w:color w:val="auto"/>
              </w:rPr>
            </w:pPr>
          </w:p>
        </w:tc>
        <w:tc>
          <w:tcPr>
            <w:tcW w:w="28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3,599,972</w:t>
            </w:r>
          </w:p>
        </w:tc>
        <w:tc>
          <w:tcPr>
            <w:tcW w:w="120" w:type="dxa"/>
            <w:vAlign w:val="bottom"/>
            <w:shd w:val="clear" w:color="auto" w:fill="CCEEFF"/>
          </w:tcPr>
          <w:p>
            <w:pPr>
              <w:spacing w:after="0"/>
              <w:rPr>
                <w:sz w:val="14"/>
                <w:szCs w:val="14"/>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(3,094,816)</w:t>
            </w:r>
          </w:p>
        </w:tc>
        <w:tc>
          <w:tcPr>
            <w:tcW w:w="100" w:type="dxa"/>
            <w:vAlign w:val="bottom"/>
            <w:shd w:val="clear" w:color="auto" w:fill="CCEEFF"/>
          </w:tcPr>
          <w:p>
            <w:pPr>
              <w:spacing w:after="0"/>
              <w:rPr>
                <w:sz w:val="14"/>
                <w:szCs w:val="14"/>
                <w:color w:val="auto"/>
              </w:rPr>
            </w:pPr>
          </w:p>
        </w:tc>
        <w:tc>
          <w:tcPr>
            <w:tcW w:w="24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4,069,676</w:t>
            </w:r>
          </w:p>
        </w:tc>
        <w:tc>
          <w:tcPr>
            <w:tcW w:w="0" w:type="dxa"/>
            <w:vAlign w:val="bottom"/>
          </w:tcPr>
          <w:p>
            <w:pPr>
              <w:spacing w:after="0"/>
              <w:rPr>
                <w:sz w:val="1"/>
                <w:szCs w:val="1"/>
                <w:color w:val="auto"/>
              </w:rPr>
            </w:pPr>
          </w:p>
        </w:tc>
      </w:tr>
      <w:tr>
        <w:trPr>
          <w:trHeight w:val="60"/>
        </w:trPr>
        <w:tc>
          <w:tcPr>
            <w:tcW w:w="2820" w:type="dxa"/>
            <w:vAlign w:val="bottom"/>
            <w:shd w:val="clear" w:color="auto" w:fill="CCEEFF"/>
          </w:tcPr>
          <w:p>
            <w:pPr>
              <w:spacing w:after="0"/>
              <w:rPr>
                <w:sz w:val="5"/>
                <w:szCs w:val="5"/>
                <w:color w:val="auto"/>
              </w:rPr>
            </w:pPr>
          </w:p>
        </w:tc>
        <w:tc>
          <w:tcPr>
            <w:tcW w:w="1140" w:type="dxa"/>
            <w:vAlign w:val="bottom"/>
            <w:gridSpan w:val="2"/>
            <w:vMerge w:val="continue"/>
            <w:shd w:val="clear" w:color="auto" w:fill="CCEEFF"/>
          </w:tcPr>
          <w:p>
            <w:pPr>
              <w:spacing w:after="0"/>
              <w:rPr>
                <w:sz w:val="5"/>
                <w:szCs w:val="5"/>
                <w:color w:val="auto"/>
              </w:rPr>
            </w:pPr>
          </w:p>
        </w:tc>
        <w:tc>
          <w:tcPr>
            <w:tcW w:w="720" w:type="dxa"/>
            <w:vAlign w:val="bottom"/>
            <w:vMerge w:val="continue"/>
            <w:shd w:val="clear" w:color="auto" w:fill="CCEEFF"/>
          </w:tcPr>
          <w:p>
            <w:pPr>
              <w:spacing w:after="0"/>
              <w:rPr>
                <w:sz w:val="5"/>
                <w:szCs w:val="5"/>
                <w:color w:val="auto"/>
              </w:rPr>
            </w:pPr>
          </w:p>
        </w:tc>
        <w:tc>
          <w:tcPr>
            <w:tcW w:w="440" w:type="dxa"/>
            <w:vAlign w:val="bottom"/>
            <w:gridSpan w:val="3"/>
            <w:vMerge w:val="continue"/>
            <w:shd w:val="clear" w:color="auto" w:fill="CCEEFF"/>
          </w:tcPr>
          <w:p>
            <w:pPr>
              <w:spacing w:after="0"/>
              <w:rPr>
                <w:sz w:val="5"/>
                <w:szCs w:val="5"/>
                <w:color w:val="auto"/>
              </w:rPr>
            </w:pPr>
          </w:p>
        </w:tc>
        <w:tc>
          <w:tcPr>
            <w:tcW w:w="72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80" w:type="dxa"/>
            <w:vAlign w:val="bottom"/>
            <w:vMerge w:val="continue"/>
            <w:shd w:val="clear" w:color="auto" w:fill="CCEEFF"/>
          </w:tcPr>
          <w:p>
            <w:pPr>
              <w:spacing w:after="0"/>
              <w:rPr>
                <w:sz w:val="5"/>
                <w:szCs w:val="5"/>
                <w:color w:val="auto"/>
              </w:rPr>
            </w:pPr>
          </w:p>
        </w:tc>
        <w:tc>
          <w:tcPr>
            <w:tcW w:w="72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40" w:type="dxa"/>
            <w:vAlign w:val="bottom"/>
            <w:vMerge w:val="continue"/>
            <w:shd w:val="clear" w:color="auto" w:fill="CCEEFF"/>
          </w:tcPr>
          <w:p>
            <w:pPr>
              <w:spacing w:after="0"/>
              <w:rPr>
                <w:sz w:val="5"/>
                <w:szCs w:val="5"/>
                <w:color w:val="auto"/>
              </w:rPr>
            </w:pPr>
          </w:p>
        </w:tc>
        <w:tc>
          <w:tcPr>
            <w:tcW w:w="88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40" w:type="dxa"/>
            <w:vAlign w:val="bottom"/>
            <w:vMerge w:val="continue"/>
            <w:shd w:val="clear" w:color="auto" w:fill="CCEEFF"/>
          </w:tcPr>
          <w:p>
            <w:pPr>
              <w:spacing w:after="0"/>
              <w:rPr>
                <w:sz w:val="5"/>
                <w:szCs w:val="5"/>
                <w:color w:val="auto"/>
              </w:rPr>
            </w:pPr>
          </w:p>
        </w:tc>
        <w:tc>
          <w:tcPr>
            <w:tcW w:w="76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28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4"/>
                <w:szCs w:val="14"/>
                <w:color w:val="auto"/>
              </w:rPr>
              <w:t>LIABILITIES AND EQUITY</w:t>
            </w:r>
          </w:p>
        </w:tc>
        <w:tc>
          <w:tcPr>
            <w:tcW w:w="9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2820" w:type="dxa"/>
            <w:vAlign w:val="bottom"/>
            <w:vMerge w:val="continue"/>
          </w:tcPr>
          <w:p>
            <w:pPr>
              <w:spacing w:after="0"/>
              <w:rPr>
                <w:sz w:val="13"/>
                <w:szCs w:val="13"/>
                <w:color w:val="auto"/>
              </w:rPr>
            </w:pPr>
          </w:p>
        </w:tc>
        <w:tc>
          <w:tcPr>
            <w:tcW w:w="9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2820" w:type="dxa"/>
            <w:vAlign w:val="bottom"/>
          </w:tcPr>
          <w:p>
            <w:pPr>
              <w:spacing w:after="0"/>
              <w:rPr>
                <w:sz w:val="9"/>
                <w:szCs w:val="9"/>
                <w:color w:val="auto"/>
              </w:rPr>
            </w:pPr>
          </w:p>
        </w:tc>
        <w:tc>
          <w:tcPr>
            <w:tcW w:w="920" w:type="dxa"/>
            <w:vAlign w:val="bottom"/>
          </w:tcPr>
          <w:p>
            <w:pPr>
              <w:spacing w:after="0"/>
              <w:rPr>
                <w:sz w:val="9"/>
                <w:szCs w:val="9"/>
                <w:color w:val="auto"/>
              </w:rPr>
            </w:pPr>
          </w:p>
        </w:tc>
        <w:tc>
          <w:tcPr>
            <w:tcW w:w="220" w:type="dxa"/>
            <w:vAlign w:val="bottom"/>
          </w:tcPr>
          <w:p>
            <w:pPr>
              <w:spacing w:after="0"/>
              <w:rPr>
                <w:sz w:val="9"/>
                <w:szCs w:val="9"/>
                <w:color w:val="auto"/>
              </w:rPr>
            </w:pPr>
          </w:p>
        </w:tc>
        <w:tc>
          <w:tcPr>
            <w:tcW w:w="72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7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7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90"/>
        </w:trPr>
        <w:tc>
          <w:tcPr>
            <w:tcW w:w="2820" w:type="dxa"/>
            <w:vAlign w:val="bottom"/>
            <w:shd w:val="clear" w:color="auto" w:fill="CCEEFF"/>
          </w:tcPr>
          <w:p>
            <w:pPr>
              <w:ind w:left="360"/>
              <w:spacing w:after="0"/>
              <w:rPr>
                <w:sz w:val="20"/>
                <w:szCs w:val="20"/>
                <w:color w:val="auto"/>
              </w:rPr>
            </w:pPr>
            <w:r>
              <w:rPr>
                <w:rFonts w:ascii="Arial" w:cs="Arial" w:eastAsia="Arial" w:hAnsi="Arial"/>
                <w:sz w:val="14"/>
                <w:szCs w:val="14"/>
                <w:color w:val="auto"/>
              </w:rPr>
              <w:t>Intercompany payable</w:t>
            </w:r>
          </w:p>
        </w:tc>
        <w:tc>
          <w:tcPr>
            <w:tcW w:w="1140" w:type="dxa"/>
            <w:vAlign w:val="bottom"/>
            <w:gridSpan w:val="2"/>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40" w:type="dxa"/>
            <w:vAlign w:val="bottom"/>
            <w:gridSpan w:val="3"/>
            <w:vMerge w:val="restart"/>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8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8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1,607,350</w:t>
            </w:r>
          </w:p>
        </w:tc>
        <w:tc>
          <w:tcPr>
            <w:tcW w:w="120" w:type="dxa"/>
            <w:vAlign w:val="bottom"/>
            <w:shd w:val="clear" w:color="auto" w:fill="CCEEFF"/>
          </w:tcPr>
          <w:p>
            <w:pPr>
              <w:spacing w:after="0"/>
              <w:rPr>
                <w:sz w:val="16"/>
                <w:szCs w:val="16"/>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(1,607,350)</w:t>
            </w:r>
          </w:p>
        </w:tc>
        <w:tc>
          <w:tcPr>
            <w:tcW w:w="100" w:type="dxa"/>
            <w:vAlign w:val="bottom"/>
            <w:shd w:val="clear" w:color="auto" w:fill="CCEEFF"/>
          </w:tcPr>
          <w:p>
            <w:pPr>
              <w:spacing w:after="0"/>
              <w:rPr>
                <w:sz w:val="16"/>
                <w:szCs w:val="16"/>
                <w:color w:val="auto"/>
              </w:rPr>
            </w:pPr>
          </w:p>
        </w:tc>
        <w:tc>
          <w:tcPr>
            <w:tcW w:w="24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80"/>
        </w:trPr>
        <w:tc>
          <w:tcPr>
            <w:tcW w:w="2820" w:type="dxa"/>
            <w:vAlign w:val="bottom"/>
            <w:shd w:val="clear" w:color="auto" w:fill="CCEEFF"/>
          </w:tcPr>
          <w:p>
            <w:pPr>
              <w:spacing w:after="0"/>
              <w:rPr>
                <w:sz w:val="6"/>
                <w:szCs w:val="6"/>
                <w:color w:val="auto"/>
              </w:rPr>
            </w:pPr>
          </w:p>
        </w:tc>
        <w:tc>
          <w:tcPr>
            <w:tcW w:w="1140" w:type="dxa"/>
            <w:vAlign w:val="bottom"/>
            <w:gridSpan w:val="2"/>
            <w:vMerge w:val="continue"/>
            <w:shd w:val="clear" w:color="auto" w:fill="CCEEFF"/>
          </w:tcPr>
          <w:p>
            <w:pPr>
              <w:spacing w:after="0"/>
              <w:rPr>
                <w:sz w:val="6"/>
                <w:szCs w:val="6"/>
                <w:color w:val="auto"/>
              </w:rPr>
            </w:pPr>
          </w:p>
        </w:tc>
        <w:tc>
          <w:tcPr>
            <w:tcW w:w="720" w:type="dxa"/>
            <w:vAlign w:val="bottom"/>
            <w:vMerge w:val="continue"/>
            <w:shd w:val="clear" w:color="auto" w:fill="CCEEFF"/>
          </w:tcPr>
          <w:p>
            <w:pPr>
              <w:spacing w:after="0"/>
              <w:rPr>
                <w:sz w:val="6"/>
                <w:szCs w:val="6"/>
                <w:color w:val="auto"/>
              </w:rPr>
            </w:pPr>
          </w:p>
        </w:tc>
        <w:tc>
          <w:tcPr>
            <w:tcW w:w="440" w:type="dxa"/>
            <w:vAlign w:val="bottom"/>
            <w:gridSpan w:val="3"/>
            <w:vMerge w:val="continue"/>
            <w:shd w:val="clear" w:color="auto" w:fill="CCEEFF"/>
          </w:tcPr>
          <w:p>
            <w:pPr>
              <w:spacing w:after="0"/>
              <w:rPr>
                <w:sz w:val="6"/>
                <w:szCs w:val="6"/>
                <w:color w:val="auto"/>
              </w:rPr>
            </w:pPr>
          </w:p>
        </w:tc>
        <w:tc>
          <w:tcPr>
            <w:tcW w:w="820" w:type="dxa"/>
            <w:vAlign w:val="bottom"/>
            <w:gridSpan w:val="2"/>
            <w:vMerge w:val="continue"/>
            <w:shd w:val="clear" w:color="auto" w:fill="CCEEFF"/>
          </w:tcPr>
          <w:p>
            <w:pPr>
              <w:spacing w:after="0"/>
              <w:rPr>
                <w:sz w:val="6"/>
                <w:szCs w:val="6"/>
                <w:color w:val="auto"/>
              </w:rPr>
            </w:pPr>
          </w:p>
        </w:tc>
        <w:tc>
          <w:tcPr>
            <w:tcW w:w="280" w:type="dxa"/>
            <w:vAlign w:val="bottom"/>
            <w:vMerge w:val="continue"/>
            <w:shd w:val="clear" w:color="auto" w:fill="CCEEFF"/>
          </w:tcPr>
          <w:p>
            <w:pPr>
              <w:spacing w:after="0"/>
              <w:rPr>
                <w:sz w:val="6"/>
                <w:szCs w:val="6"/>
                <w:color w:val="auto"/>
              </w:rPr>
            </w:pPr>
          </w:p>
        </w:tc>
        <w:tc>
          <w:tcPr>
            <w:tcW w:w="72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vMerge w:val="continue"/>
            <w:shd w:val="clear" w:color="auto" w:fill="CCEEFF"/>
          </w:tcPr>
          <w:p>
            <w:pPr>
              <w:spacing w:after="0"/>
              <w:rPr>
                <w:sz w:val="6"/>
                <w:szCs w:val="6"/>
                <w:color w:val="auto"/>
              </w:rPr>
            </w:pPr>
          </w:p>
        </w:tc>
        <w:tc>
          <w:tcPr>
            <w:tcW w:w="88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40" w:type="dxa"/>
            <w:vAlign w:val="bottom"/>
            <w:vMerge w:val="continue"/>
            <w:shd w:val="clear" w:color="auto" w:fill="CCEEFF"/>
          </w:tcPr>
          <w:p>
            <w:pPr>
              <w:spacing w:after="0"/>
              <w:rPr>
                <w:sz w:val="6"/>
                <w:szCs w:val="6"/>
                <w:color w:val="auto"/>
              </w:rPr>
            </w:pPr>
          </w:p>
        </w:tc>
        <w:tc>
          <w:tcPr>
            <w:tcW w:w="76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0"/>
        </w:trPr>
        <w:tc>
          <w:tcPr>
            <w:tcW w:w="2820" w:type="dxa"/>
            <w:vAlign w:val="bottom"/>
          </w:tcPr>
          <w:p>
            <w:pPr>
              <w:ind w:left="360"/>
              <w:spacing w:after="0"/>
              <w:rPr>
                <w:sz w:val="20"/>
                <w:szCs w:val="20"/>
                <w:color w:val="auto"/>
              </w:rPr>
            </w:pPr>
            <w:r>
              <w:rPr>
                <w:rFonts w:ascii="Arial" w:cs="Arial" w:eastAsia="Arial" w:hAnsi="Arial"/>
                <w:sz w:val="14"/>
                <w:szCs w:val="14"/>
                <w:color w:val="auto"/>
              </w:rPr>
              <w:t>Current liabilities</w:t>
            </w:r>
          </w:p>
        </w:tc>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73,086</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327,595</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vMerge w:val="restart"/>
          </w:tcPr>
          <w:p>
            <w:pPr>
              <w:jc w:val="right"/>
              <w:spacing w:after="0"/>
              <w:rPr>
                <w:sz w:val="20"/>
                <w:szCs w:val="20"/>
                <w:color w:val="auto"/>
              </w:rPr>
            </w:pPr>
            <w:r>
              <w:rPr>
                <w:rFonts w:ascii="Arial" w:cs="Arial" w:eastAsia="Arial" w:hAnsi="Arial"/>
                <w:sz w:val="14"/>
                <w:szCs w:val="14"/>
                <w:color w:val="auto"/>
              </w:rPr>
              <w:t>(909)</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399,772</w:t>
            </w:r>
          </w:p>
        </w:tc>
        <w:tc>
          <w:tcPr>
            <w:tcW w:w="0" w:type="dxa"/>
            <w:vAlign w:val="bottom"/>
          </w:tcPr>
          <w:p>
            <w:pPr>
              <w:spacing w:after="0"/>
              <w:rPr>
                <w:sz w:val="1"/>
                <w:szCs w:val="1"/>
                <w:color w:val="auto"/>
              </w:rPr>
            </w:pPr>
          </w:p>
        </w:tc>
      </w:tr>
      <w:tr>
        <w:trPr>
          <w:trHeight w:val="73"/>
        </w:trPr>
        <w:tc>
          <w:tcPr>
            <w:tcW w:w="2820" w:type="dxa"/>
            <w:vAlign w:val="bottom"/>
          </w:tcPr>
          <w:p>
            <w:pPr>
              <w:spacing w:after="0"/>
              <w:rPr>
                <w:sz w:val="6"/>
                <w:szCs w:val="6"/>
                <w:color w:val="auto"/>
              </w:rPr>
            </w:pPr>
          </w:p>
        </w:tc>
        <w:tc>
          <w:tcPr>
            <w:tcW w:w="920" w:type="dxa"/>
            <w:vAlign w:val="bottom"/>
          </w:tcPr>
          <w:p>
            <w:pPr>
              <w:spacing w:after="0"/>
              <w:rPr>
                <w:sz w:val="6"/>
                <w:szCs w:val="6"/>
                <w:color w:val="auto"/>
              </w:rPr>
            </w:pPr>
          </w:p>
        </w:tc>
        <w:tc>
          <w:tcPr>
            <w:tcW w:w="22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28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28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8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24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820" w:type="dxa"/>
            <w:vAlign w:val="bottom"/>
            <w:shd w:val="clear" w:color="auto" w:fill="CCEEFF"/>
          </w:tcPr>
          <w:p>
            <w:pPr>
              <w:ind w:left="360"/>
              <w:spacing w:after="0"/>
              <w:rPr>
                <w:sz w:val="20"/>
                <w:szCs w:val="20"/>
                <w:color w:val="auto"/>
              </w:rPr>
            </w:pPr>
            <w:r>
              <w:rPr>
                <w:rFonts w:ascii="Arial" w:cs="Arial" w:eastAsia="Arial" w:hAnsi="Arial"/>
                <w:sz w:val="14"/>
                <w:szCs w:val="14"/>
                <w:color w:val="auto"/>
              </w:rPr>
              <w:t>Senior unsecured notes payable</w:t>
            </w: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1,039,416</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7"/>
                <w:szCs w:val="17"/>
                <w:color w:val="auto"/>
              </w:rPr>
            </w:pPr>
          </w:p>
        </w:tc>
        <w:tc>
          <w:tcPr>
            <w:tcW w:w="8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9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7"/>
                <w:szCs w:val="17"/>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1,039,416</w:t>
            </w:r>
          </w:p>
        </w:tc>
        <w:tc>
          <w:tcPr>
            <w:tcW w:w="0" w:type="dxa"/>
            <w:vAlign w:val="bottom"/>
          </w:tcPr>
          <w:p>
            <w:pPr>
              <w:spacing w:after="0"/>
              <w:rPr>
                <w:sz w:val="1"/>
                <w:szCs w:val="1"/>
                <w:color w:val="auto"/>
              </w:rPr>
            </w:pPr>
          </w:p>
        </w:tc>
      </w:tr>
      <w:tr>
        <w:trPr>
          <w:trHeight w:val="80"/>
        </w:trPr>
        <w:tc>
          <w:tcPr>
            <w:tcW w:w="2820" w:type="dxa"/>
            <w:vAlign w:val="bottom"/>
            <w:shd w:val="clear" w:color="auto" w:fill="CCEEFF"/>
          </w:tcPr>
          <w:p>
            <w:pPr>
              <w:spacing w:after="0"/>
              <w:rPr>
                <w:sz w:val="6"/>
                <w:szCs w:val="6"/>
                <w:color w:val="auto"/>
              </w:rPr>
            </w:pPr>
          </w:p>
        </w:tc>
        <w:tc>
          <w:tcPr>
            <w:tcW w:w="92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720" w:type="dxa"/>
            <w:vAlign w:val="bottom"/>
            <w:vMerge w:val="continue"/>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820" w:type="dxa"/>
            <w:vAlign w:val="bottom"/>
            <w:gridSpan w:val="2"/>
            <w:vMerge w:val="continue"/>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840" w:type="dxa"/>
            <w:vAlign w:val="bottom"/>
            <w:gridSpan w:val="2"/>
            <w:vMerge w:val="continue"/>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980" w:type="dxa"/>
            <w:vAlign w:val="bottom"/>
            <w:gridSpan w:val="2"/>
            <w:vMerge w:val="continue"/>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76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0"/>
        </w:trPr>
        <w:tc>
          <w:tcPr>
            <w:tcW w:w="2820" w:type="dxa"/>
            <w:vAlign w:val="bottom"/>
          </w:tcPr>
          <w:p>
            <w:pPr>
              <w:ind w:left="360"/>
              <w:spacing w:after="0"/>
              <w:rPr>
                <w:sz w:val="20"/>
                <w:szCs w:val="20"/>
                <w:color w:val="auto"/>
              </w:rPr>
            </w:pPr>
            <w:r>
              <w:rPr>
                <w:rFonts w:ascii="Arial" w:cs="Arial" w:eastAsia="Arial" w:hAnsi="Arial"/>
                <w:sz w:val="14"/>
                <w:szCs w:val="14"/>
                <w:color w:val="auto"/>
              </w:rPr>
              <w:t>Other long-term liabilities</w:t>
            </w:r>
          </w:p>
        </w:tc>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37,329</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300,540</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332,790</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vMerge w:val="restart"/>
          </w:tcPr>
          <w:p>
            <w:pPr>
              <w:jc w:val="right"/>
              <w:spacing w:after="0"/>
              <w:rPr>
                <w:sz w:val="20"/>
                <w:szCs w:val="20"/>
                <w:color w:val="auto"/>
              </w:rPr>
            </w:pPr>
            <w:r>
              <w:rPr>
                <w:rFonts w:ascii="Arial" w:cs="Arial" w:eastAsia="Arial" w:hAnsi="Arial"/>
                <w:sz w:val="14"/>
                <w:szCs w:val="14"/>
                <w:color w:val="auto"/>
              </w:rPr>
              <w:t>(9,623)</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661,036</w:t>
            </w:r>
          </w:p>
        </w:tc>
        <w:tc>
          <w:tcPr>
            <w:tcW w:w="0" w:type="dxa"/>
            <w:vAlign w:val="bottom"/>
          </w:tcPr>
          <w:p>
            <w:pPr>
              <w:spacing w:after="0"/>
              <w:rPr>
                <w:sz w:val="1"/>
                <w:szCs w:val="1"/>
                <w:color w:val="auto"/>
              </w:rPr>
            </w:pPr>
          </w:p>
        </w:tc>
      </w:tr>
      <w:tr>
        <w:trPr>
          <w:trHeight w:val="73"/>
        </w:trPr>
        <w:tc>
          <w:tcPr>
            <w:tcW w:w="2820" w:type="dxa"/>
            <w:vAlign w:val="bottom"/>
          </w:tcPr>
          <w:p>
            <w:pPr>
              <w:spacing w:after="0"/>
              <w:rPr>
                <w:sz w:val="6"/>
                <w:szCs w:val="6"/>
                <w:color w:val="auto"/>
              </w:rPr>
            </w:pPr>
          </w:p>
        </w:tc>
        <w:tc>
          <w:tcPr>
            <w:tcW w:w="920" w:type="dxa"/>
            <w:vAlign w:val="bottom"/>
          </w:tcPr>
          <w:p>
            <w:pPr>
              <w:spacing w:after="0"/>
              <w:rPr>
                <w:sz w:val="6"/>
                <w:szCs w:val="6"/>
                <w:color w:val="auto"/>
              </w:rPr>
            </w:pPr>
          </w:p>
        </w:tc>
        <w:tc>
          <w:tcPr>
            <w:tcW w:w="22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28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28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8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24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63"/>
        </w:trPr>
        <w:tc>
          <w:tcPr>
            <w:tcW w:w="3960" w:type="dxa"/>
            <w:vAlign w:val="bottom"/>
            <w:gridSpan w:val="3"/>
            <w:shd w:val="clear" w:color="auto" w:fill="CCEEFF"/>
          </w:tcPr>
          <w:p>
            <w:pPr>
              <w:ind w:left="360"/>
              <w:spacing w:after="0"/>
              <w:rPr>
                <w:sz w:val="20"/>
                <w:szCs w:val="20"/>
                <w:color w:val="auto"/>
              </w:rPr>
            </w:pPr>
            <w:r>
              <w:rPr>
                <w:rFonts w:ascii="Arial" w:cs="Arial" w:eastAsia="Arial" w:hAnsi="Arial"/>
                <w:sz w:val="14"/>
                <w:szCs w:val="14"/>
                <w:color w:val="auto"/>
              </w:rPr>
              <w:t>Total equity attributable to Matador Resources</w:t>
            </w:r>
          </w:p>
        </w:tc>
        <w:tc>
          <w:tcPr>
            <w:tcW w:w="7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2820" w:type="dxa"/>
            <w:vAlign w:val="bottom"/>
            <w:shd w:val="clear" w:color="auto" w:fill="CCEEFF"/>
          </w:tcPr>
          <w:p>
            <w:pPr>
              <w:ind w:left="360"/>
              <w:spacing w:after="0"/>
              <w:rPr>
                <w:sz w:val="20"/>
                <w:szCs w:val="20"/>
                <w:color w:val="auto"/>
              </w:rPr>
            </w:pPr>
            <w:r>
              <w:rPr>
                <w:rFonts w:ascii="Arial" w:cs="Arial" w:eastAsia="Arial" w:hAnsi="Arial"/>
                <w:sz w:val="14"/>
                <w:szCs w:val="14"/>
                <w:color w:val="auto"/>
              </w:rPr>
              <w:t>Company</w:t>
            </w:r>
          </w:p>
        </w:tc>
        <w:tc>
          <w:tcPr>
            <w:tcW w:w="9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1,833,654</w:t>
            </w: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144,697</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1,332,237</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(1,476,934)</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1,833,654</w:t>
            </w:r>
          </w:p>
        </w:tc>
        <w:tc>
          <w:tcPr>
            <w:tcW w:w="0" w:type="dxa"/>
            <w:vAlign w:val="bottom"/>
          </w:tcPr>
          <w:p>
            <w:pPr>
              <w:spacing w:after="0"/>
              <w:rPr>
                <w:sz w:val="1"/>
                <w:szCs w:val="1"/>
                <w:color w:val="auto"/>
              </w:rPr>
            </w:pPr>
          </w:p>
        </w:tc>
      </w:tr>
      <w:tr>
        <w:trPr>
          <w:trHeight w:val="190"/>
        </w:trPr>
        <w:tc>
          <w:tcPr>
            <w:tcW w:w="2820" w:type="dxa"/>
            <w:vAlign w:val="bottom"/>
          </w:tcPr>
          <w:p>
            <w:pPr>
              <w:ind w:left="360"/>
              <w:spacing w:after="0"/>
              <w:rPr>
                <w:sz w:val="20"/>
                <w:szCs w:val="20"/>
                <w:color w:val="auto"/>
              </w:rPr>
            </w:pPr>
            <w:r>
              <w:rPr>
                <w:rFonts w:ascii="Arial" w:cs="Arial" w:eastAsia="Arial" w:hAnsi="Arial"/>
                <w:sz w:val="14"/>
                <w:szCs w:val="14"/>
                <w:color w:val="auto"/>
              </w:rPr>
              <w:t>Non-controlling interest in subsidiaries</w:t>
            </w:r>
          </w:p>
        </w:tc>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135,798</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20" w:type="dxa"/>
            <w:vAlign w:val="bottom"/>
            <w:vMerge w:val="restart"/>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vMerge w:val="restart"/>
          </w:tcPr>
          <w:p>
            <w:pPr>
              <w:jc w:val="right"/>
              <w:ind w:right="8"/>
              <w:spacing w:after="0"/>
              <w:rPr>
                <w:sz w:val="20"/>
                <w:szCs w:val="20"/>
                <w:color w:val="auto"/>
              </w:rPr>
            </w:pPr>
            <w:r>
              <w:rPr>
                <w:rFonts w:ascii="Arial" w:cs="Arial" w:eastAsia="Arial" w:hAnsi="Arial"/>
                <w:sz w:val="14"/>
                <w:szCs w:val="14"/>
                <w:color w:val="auto"/>
              </w:rPr>
              <w:t>—</w:t>
            </w:r>
          </w:p>
        </w:tc>
        <w:tc>
          <w:tcPr>
            <w:tcW w:w="100" w:type="dxa"/>
            <w:vAlign w:val="bottom"/>
            <w:vMerge w:val="restart"/>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135,798</w:t>
            </w:r>
          </w:p>
        </w:tc>
        <w:tc>
          <w:tcPr>
            <w:tcW w:w="0" w:type="dxa"/>
            <w:vAlign w:val="bottom"/>
          </w:tcPr>
          <w:p>
            <w:pPr>
              <w:spacing w:after="0"/>
              <w:rPr>
                <w:sz w:val="1"/>
                <w:szCs w:val="1"/>
                <w:color w:val="auto"/>
              </w:rPr>
            </w:pPr>
          </w:p>
        </w:tc>
      </w:tr>
      <w:tr>
        <w:trPr>
          <w:trHeight w:val="74"/>
        </w:trPr>
        <w:tc>
          <w:tcPr>
            <w:tcW w:w="2820" w:type="dxa"/>
            <w:vAlign w:val="bottom"/>
            <w:tcBorders>
              <w:bottom w:val="single" w:sz="8" w:color="CCEEFF"/>
            </w:tcBorders>
          </w:tcPr>
          <w:p>
            <w:pPr>
              <w:spacing w:after="0"/>
              <w:rPr>
                <w:sz w:val="6"/>
                <w:szCs w:val="6"/>
                <w:color w:val="auto"/>
              </w:rPr>
            </w:pPr>
          </w:p>
        </w:tc>
        <w:tc>
          <w:tcPr>
            <w:tcW w:w="920" w:type="dxa"/>
            <w:vAlign w:val="bottom"/>
            <w:tcBorders>
              <w:bottom w:val="single" w:sz="8" w:color="CCEEFF"/>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720" w:type="dxa"/>
            <w:vAlign w:val="bottom"/>
            <w:tcBorders>
              <w:bottom w:val="single" w:sz="8" w:color="auto"/>
            </w:tcBorders>
            <w:vMerge w:val="continue"/>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72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72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vMerge w:val="continue"/>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88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vMerge w:val="continue"/>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76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6"/>
        </w:trPr>
        <w:tc>
          <w:tcPr>
            <w:tcW w:w="2820" w:type="dxa"/>
            <w:vAlign w:val="bottom"/>
            <w:shd w:val="clear" w:color="auto" w:fill="CCEEFF"/>
          </w:tcPr>
          <w:p>
            <w:pPr>
              <w:ind w:left="1120"/>
              <w:spacing w:after="0"/>
              <w:rPr>
                <w:sz w:val="20"/>
                <w:szCs w:val="20"/>
                <w:color w:val="auto"/>
              </w:rPr>
            </w:pPr>
            <w:r>
              <w:rPr>
                <w:rFonts w:ascii="Arial" w:cs="Arial" w:eastAsia="Arial" w:hAnsi="Arial"/>
                <w:sz w:val="14"/>
                <w:szCs w:val="14"/>
                <w:color w:val="auto"/>
              </w:rPr>
              <w:t>Total liabilities and equity</w:t>
            </w:r>
          </w:p>
        </w:tc>
        <w:tc>
          <w:tcPr>
            <w:tcW w:w="920" w:type="dxa"/>
            <w:vAlign w:val="bottom"/>
            <w:vMerge w:val="restart"/>
            <w:shd w:val="clear" w:color="auto" w:fill="CCEEFF"/>
          </w:tcPr>
          <w:p>
            <w:pPr>
              <w:spacing w:after="0"/>
              <w:rPr>
                <w:sz w:val="15"/>
                <w:szCs w:val="15"/>
                <w:color w:val="auto"/>
              </w:rPr>
            </w:pPr>
          </w:p>
        </w:tc>
        <w:tc>
          <w:tcPr>
            <w:tcW w:w="2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2,910,399</w:t>
            </w:r>
          </w:p>
        </w:tc>
        <w:tc>
          <w:tcPr>
            <w:tcW w:w="60" w:type="dxa"/>
            <w:vAlign w:val="bottom"/>
            <w:vMerge w:val="restart"/>
            <w:shd w:val="clear" w:color="auto" w:fill="CCEEFF"/>
          </w:tcPr>
          <w:p>
            <w:pPr>
              <w:spacing w:after="0"/>
              <w:rPr>
                <w:sz w:val="15"/>
                <w:szCs w:val="15"/>
                <w:color w:val="auto"/>
              </w:rPr>
            </w:pPr>
          </w:p>
        </w:tc>
        <w:tc>
          <w:tcPr>
            <w:tcW w:w="100" w:type="dxa"/>
            <w:vAlign w:val="bottom"/>
            <w:vMerge w:val="restart"/>
            <w:shd w:val="clear" w:color="auto" w:fill="CCEEFF"/>
          </w:tcPr>
          <w:p>
            <w:pPr>
              <w:spacing w:after="0"/>
              <w:rPr>
                <w:sz w:val="15"/>
                <w:szCs w:val="15"/>
                <w:color w:val="auto"/>
              </w:rPr>
            </w:pPr>
          </w:p>
        </w:tc>
        <w:tc>
          <w:tcPr>
            <w:tcW w:w="280" w:type="dxa"/>
            <w:vAlign w:val="bottom"/>
            <w:vMerge w:val="restart"/>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654,121</w:t>
            </w:r>
          </w:p>
        </w:tc>
        <w:tc>
          <w:tcPr>
            <w:tcW w:w="100" w:type="dxa"/>
            <w:vAlign w:val="bottom"/>
            <w:shd w:val="clear" w:color="auto" w:fill="CCEEFF"/>
          </w:tcPr>
          <w:p>
            <w:pPr>
              <w:spacing w:after="0"/>
              <w:rPr>
                <w:sz w:val="15"/>
                <w:szCs w:val="15"/>
                <w:color w:val="auto"/>
              </w:rPr>
            </w:pPr>
          </w:p>
        </w:tc>
        <w:tc>
          <w:tcPr>
            <w:tcW w:w="28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3,599,972</w:t>
            </w:r>
          </w:p>
        </w:tc>
        <w:tc>
          <w:tcPr>
            <w:tcW w:w="120" w:type="dxa"/>
            <w:vAlign w:val="bottom"/>
            <w:shd w:val="clear" w:color="auto" w:fill="CCEEFF"/>
          </w:tcPr>
          <w:p>
            <w:pPr>
              <w:spacing w:after="0"/>
              <w:rPr>
                <w:sz w:val="15"/>
                <w:szCs w:val="15"/>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(3,094,816)</w:t>
            </w:r>
          </w:p>
        </w:tc>
        <w:tc>
          <w:tcPr>
            <w:tcW w:w="100" w:type="dxa"/>
            <w:vAlign w:val="bottom"/>
            <w:shd w:val="clear" w:color="auto" w:fill="CCEEFF"/>
          </w:tcPr>
          <w:p>
            <w:pPr>
              <w:spacing w:after="0"/>
              <w:rPr>
                <w:sz w:val="15"/>
                <w:szCs w:val="15"/>
                <w:color w:val="auto"/>
              </w:rPr>
            </w:pPr>
          </w:p>
        </w:tc>
        <w:tc>
          <w:tcPr>
            <w:tcW w:w="24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4,069,676</w:t>
            </w:r>
          </w:p>
        </w:tc>
        <w:tc>
          <w:tcPr>
            <w:tcW w:w="0" w:type="dxa"/>
            <w:vAlign w:val="bottom"/>
          </w:tcPr>
          <w:p>
            <w:pPr>
              <w:spacing w:after="0"/>
              <w:rPr>
                <w:sz w:val="1"/>
                <w:szCs w:val="1"/>
                <w:color w:val="auto"/>
              </w:rPr>
            </w:pPr>
          </w:p>
        </w:tc>
      </w:tr>
      <w:tr>
        <w:trPr>
          <w:trHeight w:val="60"/>
        </w:trPr>
        <w:tc>
          <w:tcPr>
            <w:tcW w:w="2820" w:type="dxa"/>
            <w:vAlign w:val="bottom"/>
            <w:tcBorders>
              <w:bottom w:val="single" w:sz="8" w:color="CCEEFF"/>
            </w:tcBorders>
            <w:shd w:val="clear" w:color="auto" w:fill="CCEEFF"/>
          </w:tcPr>
          <w:p>
            <w:pPr>
              <w:spacing w:after="0"/>
              <w:rPr>
                <w:sz w:val="5"/>
                <w:szCs w:val="5"/>
                <w:color w:val="auto"/>
              </w:rPr>
            </w:pPr>
          </w:p>
        </w:tc>
        <w:tc>
          <w:tcPr>
            <w:tcW w:w="920" w:type="dxa"/>
            <w:vAlign w:val="bottom"/>
            <w:tcBorders>
              <w:bottom w:val="single" w:sz="8" w:color="CCEEFF"/>
            </w:tcBorders>
            <w:vMerge w:val="continue"/>
            <w:shd w:val="clear" w:color="auto" w:fill="CCEEFF"/>
          </w:tcPr>
          <w:p>
            <w:pPr>
              <w:spacing w:after="0"/>
              <w:rPr>
                <w:sz w:val="5"/>
                <w:szCs w:val="5"/>
                <w:color w:val="auto"/>
              </w:rPr>
            </w:pPr>
          </w:p>
        </w:tc>
        <w:tc>
          <w:tcPr>
            <w:tcW w:w="220" w:type="dxa"/>
            <w:vAlign w:val="bottom"/>
            <w:tcBorders>
              <w:bottom w:val="single" w:sz="8" w:color="auto"/>
            </w:tcBorders>
            <w:vMerge w:val="continue"/>
            <w:shd w:val="clear" w:color="auto" w:fill="CCEEFF"/>
          </w:tcPr>
          <w:p>
            <w:pPr>
              <w:spacing w:after="0"/>
              <w:rPr>
                <w:sz w:val="5"/>
                <w:szCs w:val="5"/>
                <w:color w:val="auto"/>
              </w:rPr>
            </w:pPr>
          </w:p>
        </w:tc>
        <w:tc>
          <w:tcPr>
            <w:tcW w:w="720" w:type="dxa"/>
            <w:vAlign w:val="bottom"/>
            <w:tcBorders>
              <w:bottom w:val="single" w:sz="8" w:color="auto"/>
            </w:tcBorders>
            <w:vMerge w:val="continue"/>
            <w:shd w:val="clear" w:color="auto" w:fill="CCEEFF"/>
          </w:tcPr>
          <w:p>
            <w:pPr>
              <w:spacing w:after="0"/>
              <w:rPr>
                <w:sz w:val="5"/>
                <w:szCs w:val="5"/>
                <w:color w:val="auto"/>
              </w:rPr>
            </w:pPr>
          </w:p>
        </w:tc>
        <w:tc>
          <w:tcPr>
            <w:tcW w:w="60" w:type="dxa"/>
            <w:vAlign w:val="bottom"/>
            <w:tcBorders>
              <w:bottom w:val="single" w:sz="8" w:color="auto"/>
            </w:tcBorders>
            <w:vMerge w:val="continue"/>
            <w:shd w:val="clear" w:color="auto" w:fill="CCEEFF"/>
          </w:tcPr>
          <w:p>
            <w:pPr>
              <w:spacing w:after="0"/>
              <w:rPr>
                <w:sz w:val="5"/>
                <w:szCs w:val="5"/>
                <w:color w:val="auto"/>
              </w:rPr>
            </w:pPr>
          </w:p>
        </w:tc>
        <w:tc>
          <w:tcPr>
            <w:tcW w:w="100" w:type="dxa"/>
            <w:vAlign w:val="bottom"/>
            <w:tcBorders>
              <w:bottom w:val="single" w:sz="8" w:color="CCEEFF"/>
            </w:tcBorders>
            <w:vMerge w:val="continue"/>
            <w:shd w:val="clear" w:color="auto" w:fill="CCEEFF"/>
          </w:tcPr>
          <w:p>
            <w:pPr>
              <w:spacing w:after="0"/>
              <w:rPr>
                <w:sz w:val="5"/>
                <w:szCs w:val="5"/>
                <w:color w:val="auto"/>
              </w:rPr>
            </w:pPr>
          </w:p>
        </w:tc>
        <w:tc>
          <w:tcPr>
            <w:tcW w:w="280" w:type="dxa"/>
            <w:vAlign w:val="bottom"/>
            <w:tcBorders>
              <w:bottom w:val="single" w:sz="8" w:color="auto"/>
            </w:tcBorders>
            <w:vMerge w:val="continue"/>
            <w:shd w:val="clear" w:color="auto" w:fill="CCEEFF"/>
          </w:tcPr>
          <w:p>
            <w:pPr>
              <w:spacing w:after="0"/>
              <w:rPr>
                <w:sz w:val="5"/>
                <w:szCs w:val="5"/>
                <w:color w:val="auto"/>
              </w:rPr>
            </w:pPr>
          </w:p>
        </w:tc>
        <w:tc>
          <w:tcPr>
            <w:tcW w:w="720" w:type="dxa"/>
            <w:vAlign w:val="bottom"/>
            <w:tcBorders>
              <w:bottom w:val="single" w:sz="8" w:color="auto"/>
            </w:tcBorders>
            <w:vMerge w:val="continue"/>
            <w:shd w:val="clear" w:color="auto" w:fill="CCEEFF"/>
          </w:tcPr>
          <w:p>
            <w:pPr>
              <w:spacing w:after="0"/>
              <w:rPr>
                <w:sz w:val="5"/>
                <w:szCs w:val="5"/>
                <w:color w:val="auto"/>
              </w:rPr>
            </w:pPr>
          </w:p>
        </w:tc>
        <w:tc>
          <w:tcPr>
            <w:tcW w:w="100" w:type="dxa"/>
            <w:vAlign w:val="bottom"/>
            <w:tcBorders>
              <w:bottom w:val="single" w:sz="8" w:color="CCEEFF"/>
            </w:tcBorders>
            <w:shd w:val="clear" w:color="auto" w:fill="CCEEFF"/>
          </w:tcPr>
          <w:p>
            <w:pPr>
              <w:spacing w:after="0"/>
              <w:rPr>
                <w:sz w:val="5"/>
                <w:szCs w:val="5"/>
                <w:color w:val="auto"/>
              </w:rPr>
            </w:pPr>
          </w:p>
        </w:tc>
        <w:tc>
          <w:tcPr>
            <w:tcW w:w="280" w:type="dxa"/>
            <w:vAlign w:val="bottom"/>
            <w:tcBorders>
              <w:bottom w:val="single" w:sz="8" w:color="auto"/>
            </w:tcBorders>
            <w:vMerge w:val="continue"/>
            <w:shd w:val="clear" w:color="auto" w:fill="CCEEFF"/>
          </w:tcPr>
          <w:p>
            <w:pPr>
              <w:spacing w:after="0"/>
              <w:rPr>
                <w:sz w:val="5"/>
                <w:szCs w:val="5"/>
                <w:color w:val="auto"/>
              </w:rPr>
            </w:pPr>
          </w:p>
        </w:tc>
        <w:tc>
          <w:tcPr>
            <w:tcW w:w="720" w:type="dxa"/>
            <w:vAlign w:val="bottom"/>
            <w:tcBorders>
              <w:bottom w:val="single" w:sz="8" w:color="auto"/>
            </w:tcBorders>
            <w:vMerge w:val="continue"/>
            <w:shd w:val="clear" w:color="auto" w:fill="CCEEFF"/>
          </w:tcPr>
          <w:p>
            <w:pPr>
              <w:spacing w:after="0"/>
              <w:rPr>
                <w:sz w:val="5"/>
                <w:szCs w:val="5"/>
                <w:color w:val="auto"/>
              </w:rPr>
            </w:pPr>
          </w:p>
        </w:tc>
        <w:tc>
          <w:tcPr>
            <w:tcW w:w="120" w:type="dxa"/>
            <w:vAlign w:val="bottom"/>
            <w:tcBorders>
              <w:bottom w:val="single" w:sz="8" w:color="CCEEFF"/>
            </w:tcBorders>
            <w:shd w:val="clear" w:color="auto" w:fill="CCEEFF"/>
          </w:tcPr>
          <w:p>
            <w:pPr>
              <w:spacing w:after="0"/>
              <w:rPr>
                <w:sz w:val="5"/>
                <w:szCs w:val="5"/>
                <w:color w:val="auto"/>
              </w:rPr>
            </w:pPr>
          </w:p>
        </w:tc>
        <w:tc>
          <w:tcPr>
            <w:tcW w:w="140" w:type="dxa"/>
            <w:vAlign w:val="bottom"/>
            <w:tcBorders>
              <w:bottom w:val="single" w:sz="8" w:color="auto"/>
            </w:tcBorders>
            <w:vMerge w:val="continue"/>
            <w:shd w:val="clear" w:color="auto" w:fill="CCEEFF"/>
          </w:tcPr>
          <w:p>
            <w:pPr>
              <w:spacing w:after="0"/>
              <w:rPr>
                <w:sz w:val="5"/>
                <w:szCs w:val="5"/>
                <w:color w:val="auto"/>
              </w:rPr>
            </w:pPr>
          </w:p>
        </w:tc>
        <w:tc>
          <w:tcPr>
            <w:tcW w:w="880" w:type="dxa"/>
            <w:vAlign w:val="bottom"/>
            <w:tcBorders>
              <w:bottom w:val="single" w:sz="8" w:color="auto"/>
            </w:tcBorders>
            <w:vMerge w:val="continue"/>
            <w:shd w:val="clear" w:color="auto" w:fill="CCEEFF"/>
          </w:tcPr>
          <w:p>
            <w:pPr>
              <w:spacing w:after="0"/>
              <w:rPr>
                <w:sz w:val="5"/>
                <w:szCs w:val="5"/>
                <w:color w:val="auto"/>
              </w:rPr>
            </w:pPr>
          </w:p>
        </w:tc>
        <w:tc>
          <w:tcPr>
            <w:tcW w:w="100" w:type="dxa"/>
            <w:vAlign w:val="bottom"/>
            <w:tcBorders>
              <w:bottom w:val="single" w:sz="8" w:color="CCEEFF"/>
            </w:tcBorders>
            <w:shd w:val="clear" w:color="auto" w:fill="CCEEFF"/>
          </w:tcPr>
          <w:p>
            <w:pPr>
              <w:spacing w:after="0"/>
              <w:rPr>
                <w:sz w:val="5"/>
                <w:szCs w:val="5"/>
                <w:color w:val="auto"/>
              </w:rPr>
            </w:pPr>
          </w:p>
        </w:tc>
        <w:tc>
          <w:tcPr>
            <w:tcW w:w="240" w:type="dxa"/>
            <w:vAlign w:val="bottom"/>
            <w:tcBorders>
              <w:bottom w:val="single" w:sz="8" w:color="auto"/>
            </w:tcBorders>
            <w:vMerge w:val="continue"/>
            <w:shd w:val="clear" w:color="auto" w:fill="CCEEFF"/>
          </w:tcPr>
          <w:p>
            <w:pPr>
              <w:spacing w:after="0"/>
              <w:rPr>
                <w:sz w:val="5"/>
                <w:szCs w:val="5"/>
                <w:color w:val="auto"/>
              </w:rPr>
            </w:pPr>
          </w:p>
        </w:tc>
        <w:tc>
          <w:tcPr>
            <w:tcW w:w="760" w:type="dxa"/>
            <w:vAlign w:val="bottom"/>
            <w:tcBorders>
              <w:bottom w:val="single" w:sz="8" w:color="auto"/>
            </w:tcBorders>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28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0" w:type="dxa"/>
            <w:vAlign w:val="bottom"/>
            <w:tcBorders>
              <w:bottom w:val="single" w:sz="8" w:color="auto"/>
            </w:tcBorders>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4"/>
        </w:trPr>
        <w:tc>
          <w:tcPr>
            <w:tcW w:w="2820" w:type="dxa"/>
            <w:vAlign w:val="bottom"/>
          </w:tcPr>
          <w:p>
            <w:pPr>
              <w:spacing w:after="0"/>
              <w:rPr>
                <w:sz w:val="23"/>
                <w:szCs w:val="23"/>
                <w:color w:val="auto"/>
              </w:rPr>
            </w:pPr>
          </w:p>
        </w:tc>
        <w:tc>
          <w:tcPr>
            <w:tcW w:w="3400" w:type="dxa"/>
            <w:vAlign w:val="bottom"/>
            <w:gridSpan w:val="9"/>
          </w:tcPr>
          <w:p>
            <w:pPr>
              <w:jc w:val="center"/>
              <w:ind w:left="48"/>
              <w:spacing w:after="0"/>
              <w:rPr>
                <w:sz w:val="20"/>
                <w:szCs w:val="20"/>
                <w:color w:val="auto"/>
              </w:rPr>
            </w:pPr>
            <w:r>
              <w:rPr>
                <w:rFonts w:ascii="Arial" w:cs="Arial" w:eastAsia="Arial" w:hAnsi="Arial"/>
                <w:sz w:val="14"/>
                <w:szCs w:val="14"/>
                <w:b w:val="1"/>
                <w:bCs w:val="1"/>
                <w:color w:val="auto"/>
                <w:w w:val="91"/>
              </w:rPr>
              <w:t>Condensed Consolidating Statement of Operations</w:t>
            </w:r>
          </w:p>
        </w:tc>
        <w:tc>
          <w:tcPr>
            <w:tcW w:w="7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5"/>
        </w:trPr>
        <w:tc>
          <w:tcPr>
            <w:tcW w:w="2820" w:type="dxa"/>
            <w:vAlign w:val="bottom"/>
            <w:tcBorders>
              <w:bottom w:val="single" w:sz="8" w:color="auto"/>
            </w:tcBorders>
          </w:tcPr>
          <w:p>
            <w:pPr>
              <w:spacing w:after="0"/>
              <w:rPr>
                <w:sz w:val="17"/>
                <w:szCs w:val="17"/>
                <w:color w:val="auto"/>
              </w:rPr>
            </w:pPr>
          </w:p>
        </w:tc>
        <w:tc>
          <w:tcPr>
            <w:tcW w:w="3400" w:type="dxa"/>
            <w:vAlign w:val="bottom"/>
            <w:tcBorders>
              <w:bottom w:val="single" w:sz="8" w:color="auto"/>
            </w:tcBorders>
            <w:gridSpan w:val="9"/>
          </w:tcPr>
          <w:p>
            <w:pPr>
              <w:jc w:val="center"/>
              <w:ind w:left="68"/>
              <w:spacing w:after="0"/>
              <w:rPr>
                <w:sz w:val="20"/>
                <w:szCs w:val="20"/>
                <w:color w:val="auto"/>
              </w:rPr>
            </w:pPr>
            <w:r>
              <w:rPr>
                <w:rFonts w:ascii="Arial" w:cs="Arial" w:eastAsia="Arial" w:hAnsi="Arial"/>
                <w:sz w:val="14"/>
                <w:szCs w:val="14"/>
                <w:b w:val="1"/>
                <w:bCs w:val="1"/>
                <w:color w:val="auto"/>
                <w:w w:val="94"/>
              </w:rPr>
              <w:t>For the Three Months Ended March 31, 2020</w:t>
            </w:r>
          </w:p>
        </w:tc>
        <w:tc>
          <w:tcPr>
            <w:tcW w:w="7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53"/>
        </w:trPr>
        <w:tc>
          <w:tcPr>
            <w:tcW w:w="2820" w:type="dxa"/>
            <w:vAlign w:val="bottom"/>
          </w:tcPr>
          <w:p>
            <w:pPr>
              <w:spacing w:after="0"/>
              <w:rPr>
                <w:sz w:val="13"/>
                <w:szCs w:val="13"/>
                <w:color w:val="auto"/>
              </w:rPr>
            </w:pPr>
          </w:p>
        </w:tc>
        <w:tc>
          <w:tcPr>
            <w:tcW w:w="1860" w:type="dxa"/>
            <w:vAlign w:val="bottom"/>
            <w:gridSpan w:val="3"/>
            <w:vMerge w:val="restart"/>
          </w:tcPr>
          <w:p>
            <w:pPr>
              <w:jc w:val="right"/>
              <w:ind w:right="328"/>
              <w:spacing w:after="0"/>
              <w:rPr>
                <w:sz w:val="20"/>
                <w:szCs w:val="20"/>
                <w:color w:val="auto"/>
              </w:rPr>
            </w:pPr>
            <w:r>
              <w:rPr>
                <w:rFonts w:ascii="Arial" w:cs="Arial" w:eastAsia="Arial" w:hAnsi="Arial"/>
                <w:sz w:val="14"/>
                <w:szCs w:val="14"/>
                <w:b w:val="1"/>
                <w:bCs w:val="1"/>
                <w:color w:val="auto"/>
              </w:rPr>
              <w:t>Matador</w:t>
            </w:r>
          </w:p>
        </w:tc>
        <w:tc>
          <w:tcPr>
            <w:tcW w:w="1260" w:type="dxa"/>
            <w:vAlign w:val="bottom"/>
            <w:gridSpan w:val="5"/>
          </w:tcPr>
          <w:p>
            <w:pPr>
              <w:jc w:val="center"/>
              <w:ind w:right="240"/>
              <w:spacing w:after="0" w:line="153" w:lineRule="exact"/>
              <w:rPr>
                <w:sz w:val="20"/>
                <w:szCs w:val="20"/>
                <w:color w:val="auto"/>
              </w:rPr>
            </w:pPr>
            <w:r>
              <w:rPr>
                <w:rFonts w:ascii="Arial" w:cs="Arial" w:eastAsia="Arial" w:hAnsi="Arial"/>
                <w:sz w:val="14"/>
                <w:szCs w:val="14"/>
                <w:b w:val="1"/>
                <w:bCs w:val="1"/>
                <w:color w:val="auto"/>
                <w:w w:val="98"/>
              </w:rPr>
              <w:t>Non-Guarantor</w:t>
            </w:r>
          </w:p>
        </w:tc>
        <w:tc>
          <w:tcPr>
            <w:tcW w:w="1120" w:type="dxa"/>
            <w:vAlign w:val="bottom"/>
            <w:gridSpan w:val="3"/>
          </w:tcPr>
          <w:p>
            <w:pPr>
              <w:ind w:left="80"/>
              <w:spacing w:after="0" w:line="153" w:lineRule="exact"/>
              <w:rPr>
                <w:sz w:val="20"/>
                <w:szCs w:val="20"/>
                <w:color w:val="auto"/>
              </w:rPr>
            </w:pPr>
            <w:r>
              <w:rPr>
                <w:rFonts w:ascii="Arial" w:cs="Arial" w:eastAsia="Arial" w:hAnsi="Arial"/>
                <w:sz w:val="14"/>
                <w:szCs w:val="14"/>
                <w:b w:val="1"/>
                <w:bCs w:val="1"/>
                <w:color w:val="auto"/>
              </w:rPr>
              <w:t>Guarantor</w:t>
            </w:r>
          </w:p>
        </w:tc>
        <w:tc>
          <w:tcPr>
            <w:tcW w:w="1120" w:type="dxa"/>
            <w:vAlign w:val="bottom"/>
            <w:gridSpan w:val="3"/>
          </w:tcPr>
          <w:p>
            <w:pPr>
              <w:jc w:val="center"/>
              <w:ind w:right="260"/>
              <w:spacing w:after="0" w:line="153" w:lineRule="exact"/>
              <w:rPr>
                <w:sz w:val="20"/>
                <w:szCs w:val="20"/>
                <w:color w:val="auto"/>
              </w:rPr>
            </w:pPr>
            <w:r>
              <w:rPr>
                <w:rFonts w:ascii="Arial" w:cs="Arial" w:eastAsia="Arial" w:hAnsi="Arial"/>
                <w:sz w:val="14"/>
                <w:szCs w:val="14"/>
                <w:b w:val="1"/>
                <w:bCs w:val="1"/>
                <w:color w:val="auto"/>
                <w:w w:val="98"/>
              </w:rPr>
              <w:t>Eliminating</w:t>
            </w:r>
          </w:p>
        </w:tc>
        <w:tc>
          <w:tcPr>
            <w:tcW w:w="1000" w:type="dxa"/>
            <w:vAlign w:val="bottom"/>
            <w:gridSpan w:val="2"/>
            <w:vMerge w:val="restart"/>
          </w:tcPr>
          <w:p>
            <w:pPr>
              <w:jc w:val="right"/>
              <w:ind w:right="48"/>
              <w:spacing w:after="0"/>
              <w:rPr>
                <w:sz w:val="20"/>
                <w:szCs w:val="20"/>
                <w:color w:val="auto"/>
              </w:rPr>
            </w:pPr>
            <w:r>
              <w:rPr>
                <w:rFonts w:ascii="Arial" w:cs="Arial" w:eastAsia="Arial" w:hAnsi="Arial"/>
                <w:sz w:val="14"/>
                <w:szCs w:val="14"/>
                <w:b w:val="1"/>
                <w:bCs w:val="1"/>
                <w:color w:val="auto"/>
                <w:w w:val="96"/>
              </w:rPr>
              <w:t>Consolidated</w:t>
            </w:r>
          </w:p>
        </w:tc>
        <w:tc>
          <w:tcPr>
            <w:tcW w:w="0" w:type="dxa"/>
            <w:vAlign w:val="bottom"/>
          </w:tcPr>
          <w:p>
            <w:pPr>
              <w:spacing w:after="0"/>
              <w:rPr>
                <w:sz w:val="1"/>
                <w:szCs w:val="1"/>
                <w:color w:val="auto"/>
              </w:rPr>
            </w:pPr>
          </w:p>
        </w:tc>
      </w:tr>
      <w:tr>
        <w:trPr>
          <w:trHeight w:val="186"/>
        </w:trPr>
        <w:tc>
          <w:tcPr>
            <w:tcW w:w="2820" w:type="dxa"/>
            <w:vAlign w:val="bottom"/>
          </w:tcPr>
          <w:p>
            <w:pPr>
              <w:spacing w:after="0"/>
              <w:rPr>
                <w:sz w:val="16"/>
                <w:szCs w:val="16"/>
                <w:color w:val="auto"/>
              </w:rPr>
            </w:pPr>
          </w:p>
        </w:tc>
        <w:tc>
          <w:tcPr>
            <w:tcW w:w="1860" w:type="dxa"/>
            <w:vAlign w:val="bottom"/>
            <w:gridSpan w:val="3"/>
            <w:vMerge w:val="continue"/>
          </w:tcPr>
          <w:p>
            <w:pPr>
              <w:spacing w:after="0"/>
              <w:rPr>
                <w:sz w:val="16"/>
                <w:szCs w:val="16"/>
                <w:color w:val="auto"/>
              </w:rPr>
            </w:pPr>
          </w:p>
        </w:tc>
        <w:tc>
          <w:tcPr>
            <w:tcW w:w="60" w:type="dxa"/>
            <w:vAlign w:val="bottom"/>
          </w:tcPr>
          <w:p>
            <w:pPr>
              <w:spacing w:after="0"/>
              <w:rPr>
                <w:sz w:val="16"/>
                <w:szCs w:val="16"/>
                <w:color w:val="auto"/>
              </w:rPr>
            </w:pPr>
          </w:p>
        </w:tc>
        <w:tc>
          <w:tcPr>
            <w:tcW w:w="1200" w:type="dxa"/>
            <w:vAlign w:val="bottom"/>
            <w:gridSpan w:val="4"/>
          </w:tcPr>
          <w:p>
            <w:pPr>
              <w:jc w:val="center"/>
              <w:ind w:right="300"/>
              <w:spacing w:after="0"/>
              <w:rPr>
                <w:sz w:val="20"/>
                <w:szCs w:val="20"/>
                <w:color w:val="auto"/>
              </w:rPr>
            </w:pPr>
            <w:r>
              <w:rPr>
                <w:rFonts w:ascii="Arial" w:cs="Arial" w:eastAsia="Arial" w:hAnsi="Arial"/>
                <w:sz w:val="14"/>
                <w:szCs w:val="14"/>
                <w:b w:val="1"/>
                <w:bCs w:val="1"/>
                <w:color w:val="auto"/>
                <w:w w:val="88"/>
              </w:rPr>
              <w:t>Subsidiaries</w:t>
            </w:r>
          </w:p>
        </w:tc>
        <w:tc>
          <w:tcPr>
            <w:tcW w:w="1120" w:type="dxa"/>
            <w:vAlign w:val="bottom"/>
            <w:gridSpan w:val="3"/>
          </w:tcPr>
          <w:p>
            <w:pPr>
              <w:ind w:left="40"/>
              <w:spacing w:after="0"/>
              <w:rPr>
                <w:sz w:val="20"/>
                <w:szCs w:val="20"/>
                <w:color w:val="auto"/>
              </w:rPr>
            </w:pPr>
            <w:r>
              <w:rPr>
                <w:rFonts w:ascii="Arial" w:cs="Arial" w:eastAsia="Arial" w:hAnsi="Arial"/>
                <w:sz w:val="14"/>
                <w:szCs w:val="14"/>
                <w:b w:val="1"/>
                <w:bCs w:val="1"/>
                <w:color w:val="auto"/>
              </w:rPr>
              <w:t>Subsidiaries</w:t>
            </w:r>
          </w:p>
        </w:tc>
        <w:tc>
          <w:tcPr>
            <w:tcW w:w="140" w:type="dxa"/>
            <w:vAlign w:val="bottom"/>
          </w:tcPr>
          <w:p>
            <w:pPr>
              <w:spacing w:after="0"/>
              <w:rPr>
                <w:sz w:val="16"/>
                <w:szCs w:val="16"/>
                <w:color w:val="auto"/>
              </w:rPr>
            </w:pPr>
          </w:p>
        </w:tc>
        <w:tc>
          <w:tcPr>
            <w:tcW w:w="98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6"/>
              </w:rPr>
              <w:t>Entries</w:t>
            </w:r>
          </w:p>
        </w:tc>
        <w:tc>
          <w:tcPr>
            <w:tcW w:w="100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7620</wp:posOffset>
            </wp:positionV>
            <wp:extent cx="5837555" cy="17970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837555" cy="179705"/>
                    </a:xfrm>
                    <a:prstGeom prst="rect">
                      <a:avLst/>
                    </a:prstGeom>
                    <a:noFill/>
                  </pic:spPr>
                </pic:pic>
              </a:graphicData>
            </a:graphic>
          </wp:anchor>
        </w:drawing>
      </w:r>
    </w:p>
    <w:p>
      <w:pPr>
        <w:sectPr>
          <w:pgSz w:w="11900" w:h="16838" w:orient="portrait"/>
          <w:cols w:equalWidth="0" w:num="1">
            <w:col w:w="9180"/>
          </w:cols>
          <w:pgMar w:left="1360" w:top="121" w:right="1359" w:bottom="0" w:gutter="0" w:footer="0" w:header="0"/>
        </w:sectPr>
      </w:pPr>
    </w:p>
    <w:p>
      <w:pPr>
        <w:spacing w:after="0" w:line="34" w:lineRule="exact"/>
        <w:rPr>
          <w:sz w:val="20"/>
          <w:szCs w:val="20"/>
          <w:color w:val="auto"/>
        </w:rPr>
      </w:pPr>
    </w:p>
    <w:p>
      <w:pPr>
        <w:ind w:left="20"/>
        <w:spacing w:after="0"/>
        <w:rPr>
          <w:sz w:val="20"/>
          <w:szCs w:val="20"/>
          <w:color w:val="auto"/>
        </w:rPr>
      </w:pPr>
      <w:r>
        <w:rPr>
          <w:rFonts w:ascii="Arial" w:cs="Arial" w:eastAsia="Arial" w:hAnsi="Arial"/>
          <w:sz w:val="14"/>
          <w:szCs w:val="14"/>
          <w:color w:val="auto"/>
        </w:rPr>
        <w:t>Total revenues</w:t>
      </w:r>
    </w:p>
    <w:p>
      <w:pPr>
        <w:spacing w:after="0" w:line="109" w:lineRule="exact"/>
        <w:rPr>
          <w:sz w:val="20"/>
          <w:szCs w:val="20"/>
          <w:color w:val="auto"/>
        </w:rPr>
      </w:pPr>
    </w:p>
    <w:p>
      <w:pPr>
        <w:ind w:left="20"/>
        <w:spacing w:after="0"/>
        <w:rPr>
          <w:sz w:val="20"/>
          <w:szCs w:val="20"/>
          <w:color w:val="auto"/>
        </w:rPr>
      </w:pPr>
      <w:r>
        <w:rPr>
          <w:rFonts w:ascii="Arial" w:cs="Arial" w:eastAsia="Arial" w:hAnsi="Arial"/>
          <w:sz w:val="14"/>
          <w:szCs w:val="14"/>
          <w:color w:val="auto"/>
        </w:rPr>
        <w:t>Total expenses</w:t>
      </w:r>
    </w:p>
    <w:p>
      <w:pPr>
        <w:spacing w:after="0" w:line="109" w:lineRule="exact"/>
        <w:rPr>
          <w:sz w:val="20"/>
          <w:szCs w:val="20"/>
          <w:color w:val="auto"/>
        </w:rPr>
      </w:pPr>
    </w:p>
    <w:p>
      <w:pPr>
        <w:ind w:left="360"/>
        <w:spacing w:after="0"/>
        <w:rPr>
          <w:sz w:val="20"/>
          <w:szCs w:val="20"/>
          <w:color w:val="auto"/>
        </w:rPr>
      </w:pPr>
      <w:r>
        <w:rPr>
          <w:rFonts w:ascii="Arial" w:cs="Arial" w:eastAsia="Arial" w:hAnsi="Arial"/>
          <w:sz w:val="14"/>
          <w:szCs w:val="14"/>
          <w:color w:val="auto"/>
        </w:rPr>
        <w:t>Operating (loss) income</w:t>
      </w:r>
    </w:p>
    <w:p>
      <w:pPr>
        <w:spacing w:after="0" w:line="109" w:lineRule="exact"/>
        <w:rPr>
          <w:sz w:val="20"/>
          <w:szCs w:val="20"/>
          <w:color w:val="auto"/>
        </w:rPr>
      </w:pPr>
    </w:p>
    <w:p>
      <w:pPr>
        <w:ind w:left="20"/>
        <w:spacing w:after="0"/>
        <w:rPr>
          <w:sz w:val="20"/>
          <w:szCs w:val="20"/>
          <w:color w:val="auto"/>
        </w:rPr>
      </w:pPr>
      <w:r>
        <w:rPr>
          <w:rFonts w:ascii="Arial" w:cs="Arial" w:eastAsia="Arial" w:hAnsi="Arial"/>
          <w:sz w:val="14"/>
          <w:szCs w:val="14"/>
          <w:color w:val="auto"/>
        </w:rPr>
        <w:t>Interest expense</w:t>
      </w:r>
    </w:p>
    <w:p>
      <w:pPr>
        <w:spacing w:after="0" w:line="109" w:lineRule="exact"/>
        <w:rPr>
          <w:sz w:val="20"/>
          <w:szCs w:val="20"/>
          <w:color w:val="auto"/>
        </w:rPr>
      </w:pPr>
    </w:p>
    <w:p>
      <w:pPr>
        <w:ind w:left="20"/>
        <w:spacing w:after="0"/>
        <w:rPr>
          <w:sz w:val="20"/>
          <w:szCs w:val="20"/>
          <w:color w:val="auto"/>
        </w:rPr>
      </w:pPr>
      <w:r>
        <w:rPr>
          <w:rFonts w:ascii="Arial" w:cs="Arial" w:eastAsia="Arial" w:hAnsi="Arial"/>
          <w:sz w:val="14"/>
          <w:szCs w:val="14"/>
          <w:color w:val="auto"/>
        </w:rPr>
        <w:t>Other income</w:t>
      </w:r>
    </w:p>
    <w:p>
      <w:pPr>
        <w:spacing w:after="0" w:line="109" w:lineRule="exact"/>
        <w:rPr>
          <w:sz w:val="20"/>
          <w:szCs w:val="20"/>
          <w:color w:val="auto"/>
        </w:rPr>
      </w:pPr>
    </w:p>
    <w:p>
      <w:pPr>
        <w:ind w:left="20"/>
        <w:spacing w:after="0"/>
        <w:rPr>
          <w:sz w:val="20"/>
          <w:szCs w:val="20"/>
          <w:color w:val="auto"/>
        </w:rPr>
      </w:pPr>
      <w:r>
        <w:rPr>
          <w:rFonts w:ascii="Arial" w:cs="Arial" w:eastAsia="Arial" w:hAnsi="Arial"/>
          <w:sz w:val="14"/>
          <w:szCs w:val="14"/>
          <w:color w:val="auto"/>
        </w:rPr>
        <w:t>Earnings in subsidiaries</w:t>
      </w:r>
    </w:p>
    <w:p>
      <w:pPr>
        <w:spacing w:after="0" w:line="109" w:lineRule="exact"/>
        <w:rPr>
          <w:sz w:val="20"/>
          <w:szCs w:val="20"/>
          <w:color w:val="auto"/>
        </w:rPr>
      </w:pPr>
    </w:p>
    <w:p>
      <w:pPr>
        <w:ind w:left="360"/>
        <w:spacing w:after="0"/>
        <w:rPr>
          <w:sz w:val="20"/>
          <w:szCs w:val="20"/>
          <w:color w:val="auto"/>
        </w:rPr>
      </w:pPr>
      <w:r>
        <w:rPr>
          <w:rFonts w:ascii="Arial" w:cs="Arial" w:eastAsia="Arial" w:hAnsi="Arial"/>
          <w:sz w:val="14"/>
          <w:szCs w:val="14"/>
          <w:color w:val="auto"/>
        </w:rPr>
        <w:t>Income before income taxes</w:t>
      </w:r>
    </w:p>
    <w:p>
      <w:pPr>
        <w:spacing w:after="0" w:line="109" w:lineRule="exact"/>
        <w:rPr>
          <w:sz w:val="20"/>
          <w:szCs w:val="20"/>
          <w:color w:val="auto"/>
        </w:rPr>
      </w:pPr>
    </w:p>
    <w:p>
      <w:pPr>
        <w:ind w:left="20"/>
        <w:spacing w:after="0"/>
        <w:rPr>
          <w:sz w:val="20"/>
          <w:szCs w:val="20"/>
          <w:color w:val="auto"/>
        </w:rPr>
      </w:pPr>
      <w:r>
        <w:rPr>
          <w:rFonts w:ascii="Arial" w:cs="Arial" w:eastAsia="Arial" w:hAnsi="Arial"/>
          <w:sz w:val="14"/>
          <w:szCs w:val="14"/>
          <w:color w:val="auto"/>
        </w:rPr>
        <w:t>Total income tax provision</w:t>
      </w:r>
    </w:p>
    <w:p>
      <w:pPr>
        <w:spacing w:after="0" w:line="109" w:lineRule="exact"/>
        <w:rPr>
          <w:sz w:val="20"/>
          <w:szCs w:val="20"/>
          <w:color w:val="auto"/>
        </w:rPr>
      </w:pPr>
    </w:p>
    <w:p>
      <w:pPr>
        <w:ind w:left="20"/>
        <w:spacing w:after="0" w:line="253" w:lineRule="auto"/>
        <w:rPr>
          <w:sz w:val="20"/>
          <w:szCs w:val="20"/>
          <w:color w:val="auto"/>
        </w:rPr>
      </w:pPr>
      <w:r>
        <w:rPr>
          <w:rFonts w:ascii="Arial" w:cs="Arial" w:eastAsia="Arial" w:hAnsi="Arial"/>
          <w:sz w:val="14"/>
          <w:szCs w:val="14"/>
          <w:color w:val="auto"/>
        </w:rPr>
        <w:t>Net income attributable to non-controlling interest in subsidiaries</w:t>
      </w:r>
    </w:p>
    <w:p>
      <w:pPr>
        <w:spacing w:after="0" w:line="12" w:lineRule="exact"/>
        <w:rPr>
          <w:sz w:val="20"/>
          <w:szCs w:val="20"/>
          <w:color w:val="auto"/>
        </w:rPr>
      </w:pPr>
    </w:p>
    <w:p>
      <w:pPr>
        <w:ind w:left="360" w:right="40"/>
        <w:spacing w:after="0" w:line="253" w:lineRule="auto"/>
        <w:rPr>
          <w:sz w:val="20"/>
          <w:szCs w:val="20"/>
          <w:color w:val="auto"/>
        </w:rPr>
      </w:pPr>
      <w:r>
        <w:rPr>
          <w:rFonts w:ascii="Arial" w:cs="Arial" w:eastAsia="Arial" w:hAnsi="Arial"/>
          <w:sz w:val="14"/>
          <w:szCs w:val="14"/>
          <w:color w:val="auto"/>
        </w:rPr>
        <w:t>Net income attributable to Matador Resources Company shareholders</w:t>
      </w:r>
    </w:p>
    <w:p>
      <w:pPr>
        <w:spacing w:after="0" w:line="20" w:lineRule="exact"/>
        <w:rPr>
          <w:sz w:val="20"/>
          <w:szCs w:val="20"/>
          <w:color w:val="auto"/>
        </w:rPr>
      </w:pPr>
      <w:r>
        <w:rPr>
          <w:sz w:val="20"/>
          <w:szCs w:val="20"/>
          <w:color w:val="auto"/>
        </w:rPr>
        <w:br w:type="column"/>
      </w:r>
    </w:p>
    <w:p>
      <w:pPr>
        <w:spacing w:after="0" w:line="8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2"/>
        </w:trPr>
        <w:tc>
          <w:tcPr>
            <w:tcW w:w="280" w:type="dxa"/>
            <w:vAlign w:val="bottom"/>
          </w:tcPr>
          <w:p>
            <w:pPr>
              <w:jc w:val="right"/>
              <w:ind w:right="128"/>
              <w:spacing w:after="0"/>
              <w:rPr>
                <w:sz w:val="20"/>
                <w:szCs w:val="20"/>
                <w:color w:val="auto"/>
              </w:rPr>
            </w:pPr>
            <w:r>
              <w:rPr>
                <w:rFonts w:ascii="Arial" w:cs="Arial" w:eastAsia="Arial" w:hAnsi="Arial"/>
                <w:sz w:val="14"/>
                <w:szCs w:val="14"/>
                <w:color w:val="auto"/>
                <w:w w:val="76"/>
              </w:rPr>
              <w:t>$</w:t>
            </w:r>
          </w:p>
        </w:tc>
        <w:tc>
          <w:tcPr>
            <w:tcW w:w="8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320" w:type="dxa"/>
            <w:vAlign w:val="bottom"/>
          </w:tcPr>
          <w:p>
            <w:pPr>
              <w:jc w:val="right"/>
              <w:ind w:right="168"/>
              <w:spacing w:after="0"/>
              <w:rPr>
                <w:sz w:val="20"/>
                <w:szCs w:val="20"/>
                <w:color w:val="auto"/>
              </w:rPr>
            </w:pPr>
            <w:r>
              <w:rPr>
                <w:rFonts w:ascii="Arial" w:cs="Arial" w:eastAsia="Arial" w:hAnsi="Arial"/>
                <w:sz w:val="14"/>
                <w:szCs w:val="14"/>
                <w:color w:val="auto"/>
                <w:w w:val="76"/>
              </w:rPr>
              <w:t>$</w:t>
            </w: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45,319</w:t>
            </w:r>
          </w:p>
        </w:tc>
        <w:tc>
          <w:tcPr>
            <w:tcW w:w="120" w:type="dxa"/>
            <w:vAlign w:val="bottom"/>
          </w:tcPr>
          <w:p>
            <w:pPr>
              <w:spacing w:after="0"/>
              <w:rPr>
                <w:sz w:val="15"/>
                <w:szCs w:val="15"/>
                <w:color w:val="auto"/>
              </w:rPr>
            </w:pPr>
          </w:p>
        </w:tc>
        <w:tc>
          <w:tcPr>
            <w:tcW w:w="280" w:type="dxa"/>
            <w:vAlign w:val="bottom"/>
          </w:tcPr>
          <w:p>
            <w:pPr>
              <w:jc w:val="right"/>
              <w:ind w:right="128"/>
              <w:spacing w:after="0"/>
              <w:rPr>
                <w:sz w:val="20"/>
                <w:szCs w:val="20"/>
                <w:color w:val="auto"/>
              </w:rPr>
            </w:pPr>
            <w:r>
              <w:rPr>
                <w:rFonts w:ascii="Arial" w:cs="Arial" w:eastAsia="Arial" w:hAnsi="Arial"/>
                <w:sz w:val="14"/>
                <w:szCs w:val="14"/>
                <w:color w:val="auto"/>
                <w:w w:val="76"/>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347,687</w:t>
            </w:r>
          </w:p>
        </w:tc>
        <w:tc>
          <w:tcPr>
            <w:tcW w:w="120" w:type="dxa"/>
            <w:vAlign w:val="bottom"/>
          </w:tcPr>
          <w:p>
            <w:pPr>
              <w:spacing w:after="0"/>
              <w:rPr>
                <w:sz w:val="15"/>
                <w:szCs w:val="15"/>
                <w:color w:val="auto"/>
              </w:rPr>
            </w:pPr>
          </w:p>
        </w:tc>
        <w:tc>
          <w:tcPr>
            <w:tcW w:w="260" w:type="dxa"/>
            <w:vAlign w:val="bottom"/>
          </w:tcPr>
          <w:p>
            <w:pPr>
              <w:jc w:val="right"/>
              <w:ind w:right="108"/>
              <w:spacing w:after="0"/>
              <w:rPr>
                <w:sz w:val="20"/>
                <w:szCs w:val="20"/>
                <w:color w:val="auto"/>
              </w:rPr>
            </w:pPr>
            <w:r>
              <w:rPr>
                <w:rFonts w:ascii="Arial" w:cs="Arial" w:eastAsia="Arial" w:hAnsi="Arial"/>
                <w:sz w:val="14"/>
                <w:szCs w:val="14"/>
                <w:color w:val="auto"/>
                <w:w w:val="76"/>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(21,421)</w:t>
            </w:r>
          </w:p>
        </w:tc>
        <w:tc>
          <w:tcPr>
            <w:tcW w:w="120" w:type="dxa"/>
            <w:vAlign w:val="bottom"/>
          </w:tcPr>
          <w:p>
            <w:pPr>
              <w:spacing w:after="0"/>
              <w:rPr>
                <w:sz w:val="15"/>
                <w:szCs w:val="15"/>
                <w:color w:val="auto"/>
              </w:rPr>
            </w:pPr>
          </w:p>
        </w:tc>
        <w:tc>
          <w:tcPr>
            <w:tcW w:w="280" w:type="dxa"/>
            <w:vAlign w:val="bottom"/>
          </w:tcPr>
          <w:p>
            <w:pPr>
              <w:jc w:val="right"/>
              <w:ind w:right="128"/>
              <w:spacing w:after="0"/>
              <w:rPr>
                <w:sz w:val="20"/>
                <w:szCs w:val="20"/>
                <w:color w:val="auto"/>
              </w:rPr>
            </w:pPr>
            <w:r>
              <w:rPr>
                <w:rFonts w:ascii="Arial" w:cs="Arial" w:eastAsia="Arial" w:hAnsi="Arial"/>
                <w:sz w:val="14"/>
                <w:szCs w:val="14"/>
                <w:color w:val="auto"/>
                <w:w w:val="76"/>
              </w:rPr>
              <w:t>$</w:t>
            </w: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371,585</w:t>
            </w:r>
          </w:p>
        </w:tc>
      </w:tr>
      <w:tr>
        <w:trPr>
          <w:trHeight w:val="276"/>
        </w:trPr>
        <w:tc>
          <w:tcPr>
            <w:tcW w:w="28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921</w:t>
            </w:r>
          </w:p>
        </w:tc>
        <w:tc>
          <w:tcPr>
            <w:tcW w:w="12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23,794</w:t>
            </w:r>
          </w:p>
        </w:tc>
        <w:tc>
          <w:tcPr>
            <w:tcW w:w="1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174,759</w:t>
            </w:r>
          </w:p>
        </w:tc>
        <w:tc>
          <w:tcPr>
            <w:tcW w:w="1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(21,421)</w:t>
            </w:r>
          </w:p>
        </w:tc>
        <w:tc>
          <w:tcPr>
            <w:tcW w:w="1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178,053</w:t>
            </w:r>
          </w:p>
        </w:tc>
      </w:tr>
      <w:tr>
        <w:trPr>
          <w:trHeight w:val="244"/>
        </w:trPr>
        <w:tc>
          <w:tcPr>
            <w:tcW w:w="28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(921)</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21,525</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172,928</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1"/>
                <w:szCs w:val="21"/>
                <w:color w:val="auto"/>
              </w:rPr>
            </w:pP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193,532</w:t>
            </w:r>
          </w:p>
        </w:tc>
      </w:tr>
      <w:tr>
        <w:trPr>
          <w:trHeight w:val="270"/>
        </w:trPr>
        <w:tc>
          <w:tcPr>
            <w:tcW w:w="28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(17,375)</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(2,437)</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3"/>
                <w:szCs w:val="23"/>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(19,812)</w:t>
            </w:r>
          </w:p>
        </w:tc>
      </w:tr>
      <w:tr>
        <w:trPr>
          <w:trHeight w:val="270"/>
        </w:trPr>
        <w:tc>
          <w:tcPr>
            <w:tcW w:w="280" w:type="dxa"/>
            <w:vAlign w:val="bottom"/>
          </w:tcPr>
          <w:p>
            <w:pPr>
              <w:spacing w:after="0"/>
              <w:rPr>
                <w:sz w:val="23"/>
                <w:szCs w:val="23"/>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3"/>
                <w:szCs w:val="23"/>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1,320</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3"/>
                <w:szCs w:val="23"/>
                <w:color w:val="auto"/>
              </w:rPr>
            </w:pP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1,320</w:t>
            </w:r>
          </w:p>
        </w:tc>
      </w:tr>
      <w:tr>
        <w:trPr>
          <w:trHeight w:val="276"/>
        </w:trPr>
        <w:tc>
          <w:tcPr>
            <w:tcW w:w="280" w:type="dxa"/>
            <w:vAlign w:val="bottom"/>
          </w:tcPr>
          <w:p>
            <w:pPr>
              <w:spacing w:after="0"/>
              <w:rPr>
                <w:sz w:val="24"/>
                <w:szCs w:val="24"/>
                <w:color w:val="auto"/>
              </w:rPr>
            </w:pP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183,982</w:t>
            </w: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9,734</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(193,716)</w:t>
            </w: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w:t>
            </w:r>
          </w:p>
        </w:tc>
      </w:tr>
      <w:tr>
        <w:trPr>
          <w:trHeight w:val="244"/>
        </w:trPr>
        <w:tc>
          <w:tcPr>
            <w:tcW w:w="280" w:type="dxa"/>
            <w:vAlign w:val="bottom"/>
            <w:tcBorders>
              <w:top w:val="single" w:sz="8" w:color="auto"/>
            </w:tcBorders>
          </w:tcPr>
          <w:p>
            <w:pPr>
              <w:spacing w:after="0"/>
              <w:rPr>
                <w:sz w:val="21"/>
                <w:szCs w:val="21"/>
                <w:color w:val="auto"/>
              </w:rPr>
            </w:pPr>
          </w:p>
        </w:tc>
        <w:tc>
          <w:tcPr>
            <w:tcW w:w="76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165,686</w:t>
            </w:r>
          </w:p>
        </w:tc>
        <w:tc>
          <w:tcPr>
            <w:tcW w:w="120" w:type="dxa"/>
            <w:vAlign w:val="bottom"/>
          </w:tcPr>
          <w:p>
            <w:pPr>
              <w:spacing w:after="0"/>
              <w:rPr>
                <w:sz w:val="21"/>
                <w:szCs w:val="21"/>
                <w:color w:val="auto"/>
              </w:rPr>
            </w:pPr>
          </w:p>
        </w:tc>
        <w:tc>
          <w:tcPr>
            <w:tcW w:w="320" w:type="dxa"/>
            <w:vAlign w:val="bottom"/>
            <w:tcBorders>
              <w:top w:val="single" w:sz="8" w:color="auto"/>
            </w:tcBorders>
          </w:tcPr>
          <w:p>
            <w:pPr>
              <w:spacing w:after="0"/>
              <w:rPr>
                <w:sz w:val="21"/>
                <w:szCs w:val="21"/>
                <w:color w:val="auto"/>
              </w:rPr>
            </w:pPr>
          </w:p>
        </w:tc>
        <w:tc>
          <w:tcPr>
            <w:tcW w:w="76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19,088</w:t>
            </w:r>
          </w:p>
        </w:tc>
        <w:tc>
          <w:tcPr>
            <w:tcW w:w="120" w:type="dxa"/>
            <w:vAlign w:val="bottom"/>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183,982</w:t>
            </w:r>
          </w:p>
        </w:tc>
        <w:tc>
          <w:tcPr>
            <w:tcW w:w="120" w:type="dxa"/>
            <w:vAlign w:val="bottom"/>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(193,716)</w:t>
            </w:r>
          </w:p>
        </w:tc>
        <w:tc>
          <w:tcPr>
            <w:tcW w:w="120" w:type="dxa"/>
            <w:vAlign w:val="bottom"/>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76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175,040</w:t>
            </w:r>
          </w:p>
        </w:tc>
      </w:tr>
      <w:tr>
        <w:trPr>
          <w:trHeight w:val="270"/>
        </w:trPr>
        <w:tc>
          <w:tcPr>
            <w:tcW w:w="280" w:type="dxa"/>
            <w:vAlign w:val="bottom"/>
          </w:tcPr>
          <w:p>
            <w:pPr>
              <w:spacing w:after="0"/>
              <w:rPr>
                <w:sz w:val="23"/>
                <w:szCs w:val="23"/>
                <w:color w:val="auto"/>
              </w:rPr>
            </w:pP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39,957</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3"/>
                <w:szCs w:val="23"/>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3"/>
                <w:szCs w:val="23"/>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3"/>
                <w:szCs w:val="23"/>
                <w:color w:val="auto"/>
              </w:rPr>
            </w:pP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39,957</w:t>
            </w:r>
          </w:p>
        </w:tc>
      </w:tr>
      <w:tr>
        <w:trPr>
          <w:trHeight w:val="357"/>
        </w:trPr>
        <w:tc>
          <w:tcPr>
            <w:tcW w:w="280" w:type="dxa"/>
            <w:vAlign w:val="bottom"/>
          </w:tcPr>
          <w:p>
            <w:pPr>
              <w:spacing w:after="0"/>
              <w:rPr>
                <w:sz w:val="24"/>
                <w:szCs w:val="24"/>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(9,354)</w:t>
            </w: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4"/>
                <w:szCs w:val="24"/>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(9,354)</w:t>
            </w:r>
          </w:p>
        </w:tc>
      </w:tr>
      <w:tr>
        <w:trPr>
          <w:trHeight w:val="318"/>
        </w:trPr>
        <w:tc>
          <w:tcPr>
            <w:tcW w:w="280" w:type="dxa"/>
            <w:vAlign w:val="bottom"/>
            <w:tcBorders>
              <w:top w:val="single" w:sz="8" w:color="auto"/>
              <w:bottom w:val="single" w:sz="8" w:color="auto"/>
            </w:tcBorders>
          </w:tcPr>
          <w:p>
            <w:pPr>
              <w:jc w:val="right"/>
              <w:ind w:right="128"/>
              <w:spacing w:after="0"/>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125,729</w:t>
            </w:r>
          </w:p>
        </w:tc>
        <w:tc>
          <w:tcPr>
            <w:tcW w:w="120" w:type="dxa"/>
            <w:vAlign w:val="bottom"/>
          </w:tcPr>
          <w:p>
            <w:pPr>
              <w:spacing w:after="0"/>
              <w:rPr>
                <w:sz w:val="24"/>
                <w:szCs w:val="24"/>
                <w:color w:val="auto"/>
              </w:rPr>
            </w:pPr>
          </w:p>
        </w:tc>
        <w:tc>
          <w:tcPr>
            <w:tcW w:w="320" w:type="dxa"/>
            <w:vAlign w:val="bottom"/>
            <w:tcBorders>
              <w:top w:val="single" w:sz="8" w:color="auto"/>
              <w:bottom w:val="single" w:sz="8" w:color="auto"/>
            </w:tcBorders>
          </w:tcPr>
          <w:p>
            <w:pPr>
              <w:jc w:val="right"/>
              <w:ind w:right="168"/>
              <w:spacing w:after="0"/>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9,734</w:t>
            </w:r>
          </w:p>
        </w:tc>
        <w:tc>
          <w:tcPr>
            <w:tcW w:w="120" w:type="dxa"/>
            <w:vAlign w:val="bottom"/>
          </w:tcPr>
          <w:p>
            <w:pPr>
              <w:spacing w:after="0"/>
              <w:rPr>
                <w:sz w:val="24"/>
                <w:szCs w:val="24"/>
                <w:color w:val="auto"/>
              </w:rPr>
            </w:pPr>
          </w:p>
        </w:tc>
        <w:tc>
          <w:tcPr>
            <w:tcW w:w="280" w:type="dxa"/>
            <w:vAlign w:val="bottom"/>
            <w:tcBorders>
              <w:top w:val="single" w:sz="8" w:color="auto"/>
              <w:bottom w:val="single" w:sz="8" w:color="auto"/>
            </w:tcBorders>
          </w:tcPr>
          <w:p>
            <w:pPr>
              <w:jc w:val="right"/>
              <w:ind w:right="128"/>
              <w:spacing w:after="0"/>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183,982</w:t>
            </w:r>
          </w:p>
        </w:tc>
        <w:tc>
          <w:tcPr>
            <w:tcW w:w="120" w:type="dxa"/>
            <w:vAlign w:val="bottom"/>
          </w:tcPr>
          <w:p>
            <w:pPr>
              <w:spacing w:after="0"/>
              <w:rPr>
                <w:sz w:val="24"/>
                <w:szCs w:val="24"/>
                <w:color w:val="auto"/>
              </w:rPr>
            </w:pPr>
          </w:p>
        </w:tc>
        <w:tc>
          <w:tcPr>
            <w:tcW w:w="260" w:type="dxa"/>
            <w:vAlign w:val="bottom"/>
            <w:tcBorders>
              <w:top w:val="single" w:sz="8" w:color="auto"/>
              <w:bottom w:val="single" w:sz="8" w:color="auto"/>
            </w:tcBorders>
          </w:tcPr>
          <w:p>
            <w:pPr>
              <w:jc w:val="right"/>
              <w:ind w:right="108"/>
              <w:spacing w:after="0"/>
              <w:rPr>
                <w:sz w:val="20"/>
                <w:szCs w:val="20"/>
                <w:color w:val="auto"/>
              </w:rPr>
            </w:pPr>
            <w:r>
              <w:rPr>
                <w:rFonts w:ascii="Arial" w:cs="Arial" w:eastAsia="Arial" w:hAnsi="Arial"/>
                <w:sz w:val="14"/>
                <w:szCs w:val="14"/>
                <w:color w:val="auto"/>
                <w:w w:val="76"/>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(193,716)</w:t>
            </w:r>
          </w:p>
        </w:tc>
        <w:tc>
          <w:tcPr>
            <w:tcW w:w="120" w:type="dxa"/>
            <w:vAlign w:val="bottom"/>
          </w:tcPr>
          <w:p>
            <w:pPr>
              <w:spacing w:after="0"/>
              <w:rPr>
                <w:sz w:val="24"/>
                <w:szCs w:val="24"/>
                <w:color w:val="auto"/>
              </w:rPr>
            </w:pPr>
          </w:p>
        </w:tc>
        <w:tc>
          <w:tcPr>
            <w:tcW w:w="280" w:type="dxa"/>
            <w:vAlign w:val="bottom"/>
            <w:tcBorders>
              <w:top w:val="single" w:sz="8" w:color="auto"/>
              <w:bottom w:val="single" w:sz="8" w:color="auto"/>
            </w:tcBorders>
          </w:tcPr>
          <w:p>
            <w:pPr>
              <w:jc w:val="right"/>
              <w:ind w:right="128"/>
              <w:spacing w:after="0"/>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125,729</w:t>
            </w:r>
          </w:p>
        </w:tc>
      </w:tr>
      <w:tr>
        <w:trPr>
          <w:trHeight w:val="20"/>
        </w:trPr>
        <w:tc>
          <w:tcPr>
            <w:tcW w:w="2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-2225675</wp:posOffset>
            </wp:positionH>
            <wp:positionV relativeFrom="paragraph">
              <wp:posOffset>-1490980</wp:posOffset>
            </wp:positionV>
            <wp:extent cx="5837555" cy="1714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837555" cy="171450"/>
                    </a:xfrm>
                    <a:prstGeom prst="rect">
                      <a:avLst/>
                    </a:prstGeom>
                    <a:noFill/>
                  </pic:spPr>
                </pic:pic>
              </a:graphicData>
            </a:graphic>
          </wp:anchor>
        </w:drawing>
        <w:drawing>
          <wp:anchor simplePos="0" relativeHeight="251657728" behindDoc="1" locked="0" layoutInCell="0" allowOverlap="1">
            <wp:simplePos x="0" y="0"/>
            <wp:positionH relativeFrom="column">
              <wp:posOffset>-2225675</wp:posOffset>
            </wp:positionH>
            <wp:positionV relativeFrom="paragraph">
              <wp:posOffset>-1148080</wp:posOffset>
            </wp:positionV>
            <wp:extent cx="5837555" cy="1714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837555" cy="171450"/>
                    </a:xfrm>
                    <a:prstGeom prst="rect">
                      <a:avLst/>
                    </a:prstGeom>
                    <a:noFill/>
                  </pic:spPr>
                </pic:pic>
              </a:graphicData>
            </a:graphic>
          </wp:anchor>
        </w:drawing>
        <w:drawing>
          <wp:anchor simplePos="0" relativeHeight="251657728" behindDoc="1" locked="0" layoutInCell="0" allowOverlap="1">
            <wp:simplePos x="0" y="0"/>
            <wp:positionH relativeFrom="column">
              <wp:posOffset>-2225675</wp:posOffset>
            </wp:positionH>
            <wp:positionV relativeFrom="paragraph">
              <wp:posOffset>-805180</wp:posOffset>
            </wp:positionV>
            <wp:extent cx="5837555" cy="1714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837555" cy="171450"/>
                    </a:xfrm>
                    <a:prstGeom prst="rect">
                      <a:avLst/>
                    </a:prstGeom>
                    <a:noFill/>
                  </pic:spPr>
                </pic:pic>
              </a:graphicData>
            </a:graphic>
          </wp:anchor>
        </w:drawing>
        <w:drawing>
          <wp:anchor simplePos="0" relativeHeight="251657728" behindDoc="1" locked="0" layoutInCell="0" allowOverlap="1">
            <wp:simplePos x="0" y="0"/>
            <wp:positionH relativeFrom="column">
              <wp:posOffset>-2225675</wp:posOffset>
            </wp:positionH>
            <wp:positionV relativeFrom="paragraph">
              <wp:posOffset>-462280</wp:posOffset>
            </wp:positionV>
            <wp:extent cx="5837555" cy="22288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837555" cy="22288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060" w:space="440"/>
            <w:col w:w="5680"/>
          </w:cols>
          <w:pgMar w:left="1360" w:top="121" w:right="1359" w:bottom="0" w:gutter="0" w:footer="0" w:header="0"/>
          <w:type w:val="continuous"/>
        </w:sectPr>
      </w:pPr>
    </w:p>
    <w:p>
      <w:pPr>
        <w:spacing w:after="0" w:line="47" w:lineRule="exact"/>
        <w:rPr>
          <w:sz w:val="20"/>
          <w:szCs w:val="20"/>
          <w:color w:val="auto"/>
        </w:rPr>
      </w:pPr>
    </w:p>
    <w:p>
      <w:pPr>
        <w:jc w:val="center"/>
        <w:ind w:right="20"/>
        <w:spacing w:after="0"/>
        <w:rPr>
          <w:sz w:val="20"/>
          <w:szCs w:val="20"/>
          <w:color w:val="auto"/>
        </w:rPr>
      </w:pPr>
      <w:r>
        <w:rPr>
          <w:rFonts w:ascii="Arial" w:cs="Arial" w:eastAsia="Arial" w:hAnsi="Arial"/>
          <w:sz w:val="12"/>
          <w:szCs w:val="12"/>
          <w:b w:val="1"/>
          <w:bCs w:val="1"/>
          <w:color w:val="auto"/>
        </w:rPr>
        <w:t>Condensed Consolidating Statement of Operations</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4"/>
          <w:szCs w:val="14"/>
          <w:b w:val="1"/>
          <w:bCs w:val="1"/>
          <w:color w:val="auto"/>
        </w:rPr>
        <w:t>For the Three Months Ended March 31,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wp:posOffset>
            </wp:positionV>
            <wp:extent cx="5837555"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837555" cy="17145"/>
                    </a:xfrm>
                    <a:prstGeom prst="rect">
                      <a:avLst/>
                    </a:prstGeom>
                    <a:noFill/>
                  </pic:spPr>
                </pic:pic>
              </a:graphicData>
            </a:graphic>
          </wp:anchor>
        </w:drawing>
      </w:r>
    </w:p>
    <w:p>
      <w:pPr>
        <w:spacing w:after="0" w:line="20" w:lineRule="exact"/>
        <w:rPr>
          <w:sz w:val="20"/>
          <w:szCs w:val="20"/>
          <w:color w:val="auto"/>
        </w:rPr>
      </w:pPr>
    </w:p>
    <w:tbl>
      <w:tblPr>
        <w:tblLayout w:type="fixed"/>
        <w:tblInd w:w="3720" w:type="dxa"/>
        <w:tblCellMar>
          <w:top w:w="0" w:type="dxa"/>
          <w:left w:w="0" w:type="dxa"/>
          <w:bottom w:w="0" w:type="dxa"/>
          <w:right w:w="0" w:type="dxa"/>
        </w:tblCellMar>
      </w:tblPr>
      <w:tr>
        <w:trPr>
          <w:trHeight w:val="161"/>
        </w:trPr>
        <w:tc>
          <w:tcPr>
            <w:tcW w:w="760" w:type="dxa"/>
            <w:vAlign w:val="bottom"/>
            <w:vMerge w:val="restart"/>
          </w:tcPr>
          <w:p>
            <w:pPr>
              <w:spacing w:after="0"/>
              <w:rPr>
                <w:sz w:val="20"/>
                <w:szCs w:val="20"/>
                <w:color w:val="auto"/>
              </w:rPr>
            </w:pPr>
            <w:r>
              <w:rPr>
                <w:rFonts w:ascii="Arial" w:cs="Arial" w:eastAsia="Arial" w:hAnsi="Arial"/>
                <w:sz w:val="14"/>
                <w:szCs w:val="14"/>
                <w:b w:val="1"/>
                <w:bCs w:val="1"/>
                <w:color w:val="auto"/>
              </w:rPr>
              <w:t>Matador</w:t>
            </w:r>
          </w:p>
        </w:tc>
        <w:tc>
          <w:tcPr>
            <w:tcW w:w="1320" w:type="dxa"/>
            <w:vAlign w:val="bottom"/>
          </w:tcPr>
          <w:p>
            <w:pPr>
              <w:jc w:val="center"/>
              <w:spacing w:after="0"/>
              <w:rPr>
                <w:sz w:val="20"/>
                <w:szCs w:val="20"/>
                <w:color w:val="auto"/>
              </w:rPr>
            </w:pPr>
            <w:r>
              <w:rPr>
                <w:rFonts w:ascii="Arial" w:cs="Arial" w:eastAsia="Arial" w:hAnsi="Arial"/>
                <w:sz w:val="14"/>
                <w:szCs w:val="14"/>
                <w:b w:val="1"/>
                <w:bCs w:val="1"/>
                <w:color w:val="auto"/>
                <w:w w:val="96"/>
              </w:rPr>
              <w:t>Non-Guarantor</w:t>
            </w: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w w:val="97"/>
              </w:rPr>
              <w:t>Guarantor</w:t>
            </w: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w w:val="98"/>
              </w:rPr>
              <w:t>Eliminating</w:t>
            </w:r>
          </w:p>
        </w:tc>
        <w:tc>
          <w:tcPr>
            <w:tcW w:w="1000" w:type="dxa"/>
            <w:vAlign w:val="bottom"/>
            <w:vMerge w:val="restart"/>
          </w:tcPr>
          <w:p>
            <w:pPr>
              <w:ind w:left="200"/>
              <w:spacing w:after="0"/>
              <w:rPr>
                <w:sz w:val="20"/>
                <w:szCs w:val="20"/>
                <w:color w:val="auto"/>
              </w:rPr>
            </w:pPr>
            <w:r>
              <w:rPr>
                <w:rFonts w:ascii="Arial" w:cs="Arial" w:eastAsia="Arial" w:hAnsi="Arial"/>
                <w:sz w:val="14"/>
                <w:szCs w:val="14"/>
                <w:b w:val="1"/>
                <w:bCs w:val="1"/>
                <w:color w:val="auto"/>
                <w:w w:val="87"/>
              </w:rPr>
              <w:t>Consolidated</w:t>
            </w:r>
          </w:p>
        </w:tc>
        <w:tc>
          <w:tcPr>
            <w:tcW w:w="0" w:type="dxa"/>
            <w:vAlign w:val="bottom"/>
          </w:tcPr>
          <w:p>
            <w:pPr>
              <w:spacing w:after="0"/>
              <w:rPr>
                <w:sz w:val="1"/>
                <w:szCs w:val="1"/>
                <w:color w:val="auto"/>
              </w:rPr>
            </w:pPr>
          </w:p>
        </w:tc>
      </w:tr>
      <w:tr>
        <w:trPr>
          <w:trHeight w:val="186"/>
        </w:trPr>
        <w:tc>
          <w:tcPr>
            <w:tcW w:w="760" w:type="dxa"/>
            <w:vAlign w:val="bottom"/>
            <w:vMerge w:val="continue"/>
          </w:tcPr>
          <w:p>
            <w:pPr>
              <w:spacing w:after="0"/>
              <w:rPr>
                <w:sz w:val="16"/>
                <w:szCs w:val="16"/>
                <w:color w:val="auto"/>
              </w:rPr>
            </w:pPr>
          </w:p>
        </w:tc>
        <w:tc>
          <w:tcPr>
            <w:tcW w:w="1320" w:type="dxa"/>
            <w:vAlign w:val="bottom"/>
          </w:tcPr>
          <w:p>
            <w:pPr>
              <w:jc w:val="center"/>
              <w:spacing w:after="0"/>
              <w:rPr>
                <w:sz w:val="20"/>
                <w:szCs w:val="20"/>
                <w:color w:val="auto"/>
              </w:rPr>
            </w:pPr>
            <w:r>
              <w:rPr>
                <w:rFonts w:ascii="Arial" w:cs="Arial" w:eastAsia="Arial" w:hAnsi="Arial"/>
                <w:sz w:val="14"/>
                <w:szCs w:val="14"/>
                <w:b w:val="1"/>
                <w:bCs w:val="1"/>
                <w:color w:val="auto"/>
                <w:w w:val="91"/>
              </w:rPr>
              <w:t>Subsidiaries</w:t>
            </w: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w w:val="88"/>
              </w:rPr>
              <w:t>Subsidiaries</w:t>
            </w: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w w:val="96"/>
              </w:rPr>
              <w:t>Entries</w:t>
            </w:r>
          </w:p>
        </w:tc>
        <w:tc>
          <w:tcPr>
            <w:tcW w:w="10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7620</wp:posOffset>
            </wp:positionV>
            <wp:extent cx="5837555" cy="17970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837555" cy="179705"/>
                    </a:xfrm>
                    <a:prstGeom prst="rect">
                      <a:avLst/>
                    </a:prstGeom>
                    <a:noFill/>
                  </pic:spPr>
                </pic:pic>
              </a:graphicData>
            </a:graphic>
          </wp:anchor>
        </w:drawing>
      </w:r>
    </w:p>
    <w:p>
      <w:pPr>
        <w:sectPr>
          <w:pgSz w:w="11900" w:h="16838" w:orient="portrait"/>
          <w:cols w:equalWidth="0" w:num="1">
            <w:col w:w="9180"/>
          </w:cols>
          <w:pgMar w:left="1360" w:top="121" w:right="1359" w:bottom="0" w:gutter="0" w:footer="0" w:header="0"/>
          <w:type w:val="continuous"/>
        </w:sectPr>
      </w:pPr>
    </w:p>
    <w:p>
      <w:pPr>
        <w:spacing w:after="0" w:line="34" w:lineRule="exact"/>
        <w:rPr>
          <w:sz w:val="20"/>
          <w:szCs w:val="20"/>
          <w:color w:val="auto"/>
        </w:rPr>
      </w:pPr>
    </w:p>
    <w:p>
      <w:pPr>
        <w:ind w:left="20"/>
        <w:spacing w:after="0"/>
        <w:rPr>
          <w:sz w:val="20"/>
          <w:szCs w:val="20"/>
          <w:color w:val="auto"/>
        </w:rPr>
      </w:pPr>
      <w:r>
        <w:rPr>
          <w:rFonts w:ascii="Arial" w:cs="Arial" w:eastAsia="Arial" w:hAnsi="Arial"/>
          <w:sz w:val="14"/>
          <w:szCs w:val="14"/>
          <w:color w:val="auto"/>
        </w:rPr>
        <w:t>Total revenues</w:t>
      </w:r>
    </w:p>
    <w:p>
      <w:pPr>
        <w:spacing w:after="0" w:line="109" w:lineRule="exact"/>
        <w:rPr>
          <w:sz w:val="20"/>
          <w:szCs w:val="20"/>
          <w:color w:val="auto"/>
        </w:rPr>
      </w:pPr>
    </w:p>
    <w:p>
      <w:pPr>
        <w:ind w:left="20"/>
        <w:spacing w:after="0"/>
        <w:rPr>
          <w:sz w:val="20"/>
          <w:szCs w:val="20"/>
          <w:color w:val="auto"/>
        </w:rPr>
      </w:pPr>
      <w:r>
        <w:rPr>
          <w:rFonts w:ascii="Arial" w:cs="Arial" w:eastAsia="Arial" w:hAnsi="Arial"/>
          <w:sz w:val="14"/>
          <w:szCs w:val="14"/>
          <w:color w:val="auto"/>
        </w:rPr>
        <w:t>Total expenses</w:t>
      </w:r>
    </w:p>
    <w:p>
      <w:pPr>
        <w:spacing w:after="0" w:line="109" w:lineRule="exact"/>
        <w:rPr>
          <w:sz w:val="20"/>
          <w:szCs w:val="20"/>
          <w:color w:val="auto"/>
        </w:rPr>
      </w:pPr>
    </w:p>
    <w:p>
      <w:pPr>
        <w:ind w:left="360"/>
        <w:spacing w:after="0"/>
        <w:rPr>
          <w:sz w:val="20"/>
          <w:szCs w:val="20"/>
          <w:color w:val="auto"/>
        </w:rPr>
      </w:pPr>
      <w:r>
        <w:rPr>
          <w:rFonts w:ascii="Arial" w:cs="Arial" w:eastAsia="Arial" w:hAnsi="Arial"/>
          <w:sz w:val="14"/>
          <w:szCs w:val="14"/>
          <w:color w:val="auto"/>
        </w:rPr>
        <w:t>Operating (loss) income</w:t>
      </w:r>
    </w:p>
    <w:p>
      <w:pPr>
        <w:spacing w:after="0" w:line="109" w:lineRule="exact"/>
        <w:rPr>
          <w:sz w:val="20"/>
          <w:szCs w:val="20"/>
          <w:color w:val="auto"/>
        </w:rPr>
      </w:pPr>
    </w:p>
    <w:p>
      <w:pPr>
        <w:ind w:left="20"/>
        <w:spacing w:after="0"/>
        <w:rPr>
          <w:sz w:val="20"/>
          <w:szCs w:val="20"/>
          <w:color w:val="auto"/>
        </w:rPr>
      </w:pPr>
      <w:r>
        <w:rPr>
          <w:rFonts w:ascii="Arial" w:cs="Arial" w:eastAsia="Arial" w:hAnsi="Arial"/>
          <w:sz w:val="14"/>
          <w:szCs w:val="14"/>
          <w:color w:val="auto"/>
        </w:rPr>
        <w:t>Interest expense</w:t>
      </w:r>
    </w:p>
    <w:p>
      <w:pPr>
        <w:spacing w:after="0" w:line="109" w:lineRule="exact"/>
        <w:rPr>
          <w:sz w:val="20"/>
          <w:szCs w:val="20"/>
          <w:color w:val="auto"/>
        </w:rPr>
      </w:pPr>
    </w:p>
    <w:p>
      <w:pPr>
        <w:ind w:left="20"/>
        <w:spacing w:after="0"/>
        <w:rPr>
          <w:sz w:val="20"/>
          <w:szCs w:val="20"/>
          <w:color w:val="auto"/>
        </w:rPr>
      </w:pPr>
      <w:r>
        <w:rPr>
          <w:rFonts w:ascii="Arial" w:cs="Arial" w:eastAsia="Arial" w:hAnsi="Arial"/>
          <w:sz w:val="14"/>
          <w:szCs w:val="14"/>
          <w:color w:val="auto"/>
        </w:rPr>
        <w:t>Other expense</w:t>
      </w:r>
    </w:p>
    <w:p>
      <w:pPr>
        <w:spacing w:after="0" w:line="109" w:lineRule="exact"/>
        <w:rPr>
          <w:sz w:val="20"/>
          <w:szCs w:val="20"/>
          <w:color w:val="auto"/>
        </w:rPr>
      </w:pPr>
    </w:p>
    <w:p>
      <w:pPr>
        <w:ind w:left="20"/>
        <w:spacing w:after="0"/>
        <w:rPr>
          <w:sz w:val="20"/>
          <w:szCs w:val="20"/>
          <w:color w:val="auto"/>
        </w:rPr>
      </w:pPr>
      <w:r>
        <w:rPr>
          <w:rFonts w:ascii="Arial" w:cs="Arial" w:eastAsia="Arial" w:hAnsi="Arial"/>
          <w:sz w:val="14"/>
          <w:szCs w:val="14"/>
          <w:color w:val="auto"/>
        </w:rPr>
        <w:t>(Loss) earnings in subsidiaries</w:t>
      </w:r>
    </w:p>
    <w:p>
      <w:pPr>
        <w:spacing w:after="0" w:line="109" w:lineRule="exact"/>
        <w:rPr>
          <w:sz w:val="20"/>
          <w:szCs w:val="20"/>
          <w:color w:val="auto"/>
        </w:rPr>
      </w:pPr>
    </w:p>
    <w:p>
      <w:pPr>
        <w:ind w:left="360"/>
        <w:spacing w:after="0"/>
        <w:rPr>
          <w:sz w:val="20"/>
          <w:szCs w:val="20"/>
          <w:color w:val="auto"/>
        </w:rPr>
      </w:pPr>
      <w:r>
        <w:rPr>
          <w:rFonts w:ascii="Arial" w:cs="Arial" w:eastAsia="Arial" w:hAnsi="Arial"/>
          <w:sz w:val="14"/>
          <w:szCs w:val="14"/>
          <w:color w:val="auto"/>
        </w:rPr>
        <w:t>(Loss) income before income taxes</w:t>
      </w:r>
    </w:p>
    <w:p>
      <w:pPr>
        <w:spacing w:after="0" w:line="109" w:lineRule="exact"/>
        <w:rPr>
          <w:sz w:val="20"/>
          <w:szCs w:val="20"/>
          <w:color w:val="auto"/>
        </w:rPr>
      </w:pPr>
    </w:p>
    <w:p>
      <w:pPr>
        <w:ind w:left="20"/>
        <w:spacing w:after="0"/>
        <w:rPr>
          <w:sz w:val="20"/>
          <w:szCs w:val="20"/>
          <w:color w:val="auto"/>
        </w:rPr>
      </w:pPr>
      <w:r>
        <w:rPr>
          <w:rFonts w:ascii="Arial" w:cs="Arial" w:eastAsia="Arial" w:hAnsi="Arial"/>
          <w:sz w:val="14"/>
          <w:szCs w:val="14"/>
          <w:color w:val="auto"/>
        </w:rPr>
        <w:t>Total income tax benefit</w:t>
      </w:r>
    </w:p>
    <w:p>
      <w:pPr>
        <w:spacing w:after="0" w:line="109" w:lineRule="exact"/>
        <w:rPr>
          <w:sz w:val="20"/>
          <w:szCs w:val="20"/>
          <w:color w:val="auto"/>
        </w:rPr>
      </w:pPr>
    </w:p>
    <w:p>
      <w:pPr>
        <w:ind w:left="20"/>
        <w:spacing w:after="0" w:line="253" w:lineRule="auto"/>
        <w:rPr>
          <w:sz w:val="20"/>
          <w:szCs w:val="20"/>
          <w:color w:val="auto"/>
        </w:rPr>
      </w:pPr>
      <w:r>
        <w:rPr>
          <w:rFonts w:ascii="Arial" w:cs="Arial" w:eastAsia="Arial" w:hAnsi="Arial"/>
          <w:sz w:val="14"/>
          <w:szCs w:val="14"/>
          <w:color w:val="auto"/>
        </w:rPr>
        <w:t>Net income attributable to non-controlling interest in subsidiaries</w:t>
      </w:r>
    </w:p>
    <w:p>
      <w:pPr>
        <w:spacing w:after="0" w:line="12" w:lineRule="exact"/>
        <w:rPr>
          <w:sz w:val="20"/>
          <w:szCs w:val="20"/>
          <w:color w:val="auto"/>
        </w:rPr>
      </w:pPr>
    </w:p>
    <w:p>
      <w:pPr>
        <w:ind w:left="360" w:right="300"/>
        <w:spacing w:after="0" w:line="290" w:lineRule="auto"/>
        <w:rPr>
          <w:sz w:val="20"/>
          <w:szCs w:val="20"/>
          <w:color w:val="auto"/>
        </w:rPr>
      </w:pPr>
      <w:r>
        <w:rPr>
          <w:rFonts w:ascii="Arial" w:cs="Arial" w:eastAsia="Arial" w:hAnsi="Arial"/>
          <w:sz w:val="13"/>
          <w:szCs w:val="13"/>
          <w:color w:val="auto"/>
        </w:rPr>
        <w:t>Net (loss) income attributable to Matador Resources Company shareholders</w:t>
      </w:r>
    </w:p>
    <w:p>
      <w:pPr>
        <w:spacing w:after="0" w:line="20" w:lineRule="exact"/>
        <w:rPr>
          <w:sz w:val="20"/>
          <w:szCs w:val="20"/>
          <w:color w:val="auto"/>
        </w:rPr>
      </w:pPr>
      <w:r>
        <w:rPr>
          <w:sz w:val="20"/>
          <w:szCs w:val="20"/>
          <w:color w:val="auto"/>
        </w:rPr>
        <w:br w:type="column"/>
      </w:r>
    </w:p>
    <w:p>
      <w:pPr>
        <w:spacing w:after="0" w:line="8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2"/>
        </w:trPr>
        <w:tc>
          <w:tcPr>
            <w:tcW w:w="300" w:type="dxa"/>
            <w:vAlign w:val="bottom"/>
          </w:tcPr>
          <w:p>
            <w:pPr>
              <w:jc w:val="right"/>
              <w:ind w:right="148"/>
              <w:spacing w:after="0"/>
              <w:rPr>
                <w:sz w:val="20"/>
                <w:szCs w:val="20"/>
                <w:color w:val="auto"/>
              </w:rPr>
            </w:pPr>
            <w:r>
              <w:rPr>
                <w:rFonts w:ascii="Arial" w:cs="Arial" w:eastAsia="Arial" w:hAnsi="Arial"/>
                <w:sz w:val="14"/>
                <w:szCs w:val="14"/>
                <w:color w:val="auto"/>
                <w:w w:val="76"/>
              </w:rPr>
              <w:t>$</w:t>
            </w:r>
          </w:p>
        </w:tc>
        <w:tc>
          <w:tcPr>
            <w:tcW w:w="8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42,876</w:t>
            </w:r>
          </w:p>
        </w:tc>
        <w:tc>
          <w:tcPr>
            <w:tcW w:w="120" w:type="dxa"/>
            <w:vAlign w:val="bottom"/>
          </w:tcPr>
          <w:p>
            <w:pPr>
              <w:spacing w:after="0"/>
              <w:rPr>
                <w:sz w:val="15"/>
                <w:szCs w:val="15"/>
                <w:color w:val="auto"/>
              </w:rPr>
            </w:pPr>
          </w:p>
        </w:tc>
        <w:tc>
          <w:tcPr>
            <w:tcW w:w="280" w:type="dxa"/>
            <w:vAlign w:val="bottom"/>
          </w:tcPr>
          <w:p>
            <w:pPr>
              <w:jc w:val="right"/>
              <w:ind w:right="128"/>
              <w:spacing w:after="0"/>
              <w:rPr>
                <w:sz w:val="20"/>
                <w:szCs w:val="20"/>
                <w:color w:val="auto"/>
              </w:rPr>
            </w:pPr>
            <w:r>
              <w:rPr>
                <w:rFonts w:ascii="Arial" w:cs="Arial" w:eastAsia="Arial" w:hAnsi="Arial"/>
                <w:sz w:val="14"/>
                <w:szCs w:val="14"/>
                <w:color w:val="auto"/>
                <w:w w:val="76"/>
              </w:rPr>
              <w:t>$</w:t>
            </w: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149,248</w:t>
            </w:r>
          </w:p>
        </w:tc>
        <w:tc>
          <w:tcPr>
            <w:tcW w:w="120" w:type="dxa"/>
            <w:vAlign w:val="bottom"/>
          </w:tcPr>
          <w:p>
            <w:pPr>
              <w:spacing w:after="0"/>
              <w:rPr>
                <w:sz w:val="15"/>
                <w:szCs w:val="15"/>
                <w:color w:val="auto"/>
              </w:rPr>
            </w:pPr>
          </w:p>
        </w:tc>
        <w:tc>
          <w:tcPr>
            <w:tcW w:w="300" w:type="dxa"/>
            <w:vAlign w:val="bottom"/>
          </w:tcPr>
          <w:p>
            <w:pPr>
              <w:jc w:val="right"/>
              <w:ind w:right="148"/>
              <w:spacing w:after="0"/>
              <w:rPr>
                <w:sz w:val="20"/>
                <w:szCs w:val="20"/>
                <w:color w:val="auto"/>
              </w:rPr>
            </w:pPr>
            <w:r>
              <w:rPr>
                <w:rFonts w:ascii="Arial" w:cs="Arial" w:eastAsia="Arial" w:hAnsi="Arial"/>
                <w:sz w:val="14"/>
                <w:szCs w:val="14"/>
                <w:color w:val="auto"/>
                <w:w w:val="76"/>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(18,235)</w:t>
            </w:r>
          </w:p>
        </w:tc>
        <w:tc>
          <w:tcPr>
            <w:tcW w:w="120" w:type="dxa"/>
            <w:vAlign w:val="bottom"/>
          </w:tcPr>
          <w:p>
            <w:pPr>
              <w:spacing w:after="0"/>
              <w:rPr>
                <w:sz w:val="15"/>
                <w:szCs w:val="15"/>
                <w:color w:val="auto"/>
              </w:rPr>
            </w:pPr>
          </w:p>
        </w:tc>
        <w:tc>
          <w:tcPr>
            <w:tcW w:w="280" w:type="dxa"/>
            <w:vAlign w:val="bottom"/>
          </w:tcPr>
          <w:p>
            <w:pPr>
              <w:jc w:val="right"/>
              <w:ind w:right="128"/>
              <w:spacing w:after="0"/>
              <w:rPr>
                <w:sz w:val="20"/>
                <w:szCs w:val="20"/>
                <w:color w:val="auto"/>
              </w:rPr>
            </w:pPr>
            <w:r>
              <w:rPr>
                <w:rFonts w:ascii="Arial" w:cs="Arial" w:eastAsia="Arial" w:hAnsi="Arial"/>
                <w:sz w:val="14"/>
                <w:szCs w:val="14"/>
                <w:color w:val="auto"/>
                <w:w w:val="76"/>
              </w:rPr>
              <w:t>$</w:t>
            </w: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173,889</w:t>
            </w:r>
          </w:p>
        </w:tc>
      </w:tr>
      <w:tr>
        <w:trPr>
          <w:trHeight w:val="276"/>
        </w:trPr>
        <w:tc>
          <w:tcPr>
            <w:tcW w:w="3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1,035</w:t>
            </w:r>
          </w:p>
        </w:tc>
        <w:tc>
          <w:tcPr>
            <w:tcW w:w="12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25,505</w:t>
            </w:r>
          </w:p>
        </w:tc>
        <w:tc>
          <w:tcPr>
            <w:tcW w:w="1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158,043</w:t>
            </w:r>
          </w:p>
        </w:tc>
        <w:tc>
          <w:tcPr>
            <w:tcW w:w="1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(18,235)</w:t>
            </w:r>
          </w:p>
        </w:tc>
        <w:tc>
          <w:tcPr>
            <w:tcW w:w="1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166,348</w:t>
            </w:r>
          </w:p>
        </w:tc>
      </w:tr>
      <w:tr>
        <w:trPr>
          <w:trHeight w:val="244"/>
        </w:trPr>
        <w:tc>
          <w:tcPr>
            <w:tcW w:w="3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(1,035)</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17,371</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(8,795)</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1"/>
                <w:szCs w:val="21"/>
                <w:color w:val="auto"/>
              </w:rPr>
            </w:pP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7,541</w:t>
            </w:r>
          </w:p>
        </w:tc>
      </w:tr>
      <w:tr>
        <w:trPr>
          <w:trHeight w:val="270"/>
        </w:trPr>
        <w:tc>
          <w:tcPr>
            <w:tcW w:w="3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(15,787)</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(2,142)</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3"/>
                <w:szCs w:val="23"/>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(17,929)</w:t>
            </w:r>
          </w:p>
        </w:tc>
      </w:tr>
      <w:tr>
        <w:trPr>
          <w:trHeight w:val="270"/>
        </w:trPr>
        <w:tc>
          <w:tcPr>
            <w:tcW w:w="300" w:type="dxa"/>
            <w:vAlign w:val="bottom"/>
          </w:tcPr>
          <w:p>
            <w:pPr>
              <w:spacing w:after="0"/>
              <w:rPr>
                <w:sz w:val="23"/>
                <w:szCs w:val="23"/>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3"/>
                <w:szCs w:val="23"/>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(110)</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(110)</w:t>
            </w:r>
          </w:p>
        </w:tc>
      </w:tr>
      <w:tr>
        <w:trPr>
          <w:trHeight w:val="276"/>
        </w:trPr>
        <w:tc>
          <w:tcPr>
            <w:tcW w:w="3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(1,138)</w:t>
            </w: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4"/>
                <w:szCs w:val="24"/>
                <w:color w:val="auto"/>
              </w:rPr>
            </w:pP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7,767</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(6,629)</w:t>
            </w: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w:t>
            </w:r>
          </w:p>
        </w:tc>
      </w:tr>
      <w:tr>
        <w:trPr>
          <w:trHeight w:val="244"/>
        </w:trPr>
        <w:tc>
          <w:tcPr>
            <w:tcW w:w="300" w:type="dxa"/>
            <w:vAlign w:val="bottom"/>
            <w:tcBorders>
              <w:top w:val="single" w:sz="8" w:color="auto"/>
            </w:tcBorders>
          </w:tcPr>
          <w:p>
            <w:pPr>
              <w:spacing w:after="0"/>
              <w:rPr>
                <w:sz w:val="21"/>
                <w:szCs w:val="21"/>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(17,960)</w:t>
            </w:r>
          </w:p>
        </w:tc>
        <w:tc>
          <w:tcPr>
            <w:tcW w:w="120" w:type="dxa"/>
            <w:vAlign w:val="bottom"/>
          </w:tcPr>
          <w:p>
            <w:pPr>
              <w:spacing w:after="0"/>
              <w:rPr>
                <w:sz w:val="21"/>
                <w:szCs w:val="21"/>
                <w:color w:val="auto"/>
              </w:rPr>
            </w:pPr>
          </w:p>
        </w:tc>
        <w:tc>
          <w:tcPr>
            <w:tcW w:w="320" w:type="dxa"/>
            <w:vAlign w:val="bottom"/>
            <w:tcBorders>
              <w:top w:val="single" w:sz="8" w:color="auto"/>
            </w:tcBorders>
          </w:tcPr>
          <w:p>
            <w:pPr>
              <w:spacing w:after="0"/>
              <w:rPr>
                <w:sz w:val="21"/>
                <w:szCs w:val="21"/>
                <w:color w:val="auto"/>
              </w:rPr>
            </w:pPr>
          </w:p>
        </w:tc>
        <w:tc>
          <w:tcPr>
            <w:tcW w:w="74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15,229</w:t>
            </w:r>
          </w:p>
        </w:tc>
        <w:tc>
          <w:tcPr>
            <w:tcW w:w="120" w:type="dxa"/>
            <w:vAlign w:val="bottom"/>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(1,138)</w:t>
            </w:r>
          </w:p>
        </w:tc>
        <w:tc>
          <w:tcPr>
            <w:tcW w:w="120" w:type="dxa"/>
            <w:vAlign w:val="bottom"/>
          </w:tcPr>
          <w:p>
            <w:pPr>
              <w:spacing w:after="0"/>
              <w:rPr>
                <w:sz w:val="21"/>
                <w:szCs w:val="21"/>
                <w:color w:val="auto"/>
              </w:rPr>
            </w:pPr>
          </w:p>
        </w:tc>
        <w:tc>
          <w:tcPr>
            <w:tcW w:w="300" w:type="dxa"/>
            <w:vAlign w:val="bottom"/>
            <w:tcBorders>
              <w:top w:val="single" w:sz="8" w:color="auto"/>
            </w:tcBorders>
          </w:tcPr>
          <w:p>
            <w:pPr>
              <w:spacing w:after="0"/>
              <w:rPr>
                <w:sz w:val="21"/>
                <w:szCs w:val="21"/>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(6,629)</w:t>
            </w:r>
          </w:p>
        </w:tc>
        <w:tc>
          <w:tcPr>
            <w:tcW w:w="120" w:type="dxa"/>
            <w:vAlign w:val="bottom"/>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(10,498)</w:t>
            </w:r>
          </w:p>
        </w:tc>
      </w:tr>
      <w:tr>
        <w:trPr>
          <w:trHeight w:val="270"/>
        </w:trPr>
        <w:tc>
          <w:tcPr>
            <w:tcW w:w="3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(1,013)</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3"/>
                <w:szCs w:val="23"/>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3"/>
                <w:szCs w:val="23"/>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(1,013)</w:t>
            </w:r>
          </w:p>
        </w:tc>
      </w:tr>
      <w:tr>
        <w:trPr>
          <w:trHeight w:val="357"/>
        </w:trPr>
        <w:tc>
          <w:tcPr>
            <w:tcW w:w="300" w:type="dxa"/>
            <w:vAlign w:val="bottom"/>
          </w:tcPr>
          <w:p>
            <w:pPr>
              <w:spacing w:after="0"/>
              <w:rPr>
                <w:sz w:val="24"/>
                <w:szCs w:val="24"/>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(7,462)</w:t>
            </w: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4"/>
                <w:szCs w:val="24"/>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(7,462)</w:t>
            </w:r>
          </w:p>
        </w:tc>
      </w:tr>
      <w:tr>
        <w:trPr>
          <w:trHeight w:val="318"/>
        </w:trPr>
        <w:tc>
          <w:tcPr>
            <w:tcW w:w="300" w:type="dxa"/>
            <w:vAlign w:val="bottom"/>
            <w:tcBorders>
              <w:top w:val="single" w:sz="8" w:color="auto"/>
              <w:bottom w:val="single" w:sz="8" w:color="auto"/>
            </w:tcBorders>
          </w:tcPr>
          <w:p>
            <w:pPr>
              <w:jc w:val="right"/>
              <w:ind w:right="148"/>
              <w:spacing w:after="0"/>
              <w:rPr>
                <w:sz w:val="20"/>
                <w:szCs w:val="20"/>
                <w:color w:val="auto"/>
              </w:rPr>
            </w:pPr>
            <w:r>
              <w:rPr>
                <w:rFonts w:ascii="Arial" w:cs="Arial" w:eastAsia="Arial" w:hAnsi="Arial"/>
                <w:sz w:val="14"/>
                <w:szCs w:val="14"/>
                <w:color w:val="auto"/>
                <w:w w:val="76"/>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(16,947)</w:t>
            </w:r>
          </w:p>
        </w:tc>
        <w:tc>
          <w:tcPr>
            <w:tcW w:w="120" w:type="dxa"/>
            <w:vAlign w:val="bottom"/>
          </w:tcPr>
          <w:p>
            <w:pPr>
              <w:spacing w:after="0"/>
              <w:rPr>
                <w:sz w:val="24"/>
                <w:szCs w:val="24"/>
                <w:color w:val="auto"/>
              </w:rPr>
            </w:pPr>
          </w:p>
        </w:tc>
        <w:tc>
          <w:tcPr>
            <w:tcW w:w="320" w:type="dxa"/>
            <w:vAlign w:val="bottom"/>
            <w:tcBorders>
              <w:top w:val="single" w:sz="8" w:color="auto"/>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7,767</w:t>
            </w:r>
          </w:p>
        </w:tc>
        <w:tc>
          <w:tcPr>
            <w:tcW w:w="120" w:type="dxa"/>
            <w:vAlign w:val="bottom"/>
          </w:tcPr>
          <w:p>
            <w:pPr>
              <w:spacing w:after="0"/>
              <w:rPr>
                <w:sz w:val="24"/>
                <w:szCs w:val="24"/>
                <w:color w:val="auto"/>
              </w:rPr>
            </w:pPr>
          </w:p>
        </w:tc>
        <w:tc>
          <w:tcPr>
            <w:tcW w:w="280" w:type="dxa"/>
            <w:vAlign w:val="bottom"/>
            <w:tcBorders>
              <w:top w:val="single" w:sz="8" w:color="auto"/>
              <w:bottom w:val="single" w:sz="8" w:color="auto"/>
            </w:tcBorders>
          </w:tcPr>
          <w:p>
            <w:pPr>
              <w:jc w:val="right"/>
              <w:ind w:right="128"/>
              <w:spacing w:after="0"/>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(1,138)</w:t>
            </w:r>
          </w:p>
        </w:tc>
        <w:tc>
          <w:tcPr>
            <w:tcW w:w="120" w:type="dxa"/>
            <w:vAlign w:val="bottom"/>
          </w:tcPr>
          <w:p>
            <w:pPr>
              <w:spacing w:after="0"/>
              <w:rPr>
                <w:sz w:val="24"/>
                <w:szCs w:val="24"/>
                <w:color w:val="auto"/>
              </w:rPr>
            </w:pPr>
          </w:p>
        </w:tc>
        <w:tc>
          <w:tcPr>
            <w:tcW w:w="300" w:type="dxa"/>
            <w:vAlign w:val="bottom"/>
            <w:tcBorders>
              <w:top w:val="single" w:sz="8" w:color="auto"/>
              <w:bottom w:val="single" w:sz="8" w:color="auto"/>
            </w:tcBorders>
          </w:tcPr>
          <w:p>
            <w:pPr>
              <w:jc w:val="right"/>
              <w:ind w:right="148"/>
              <w:spacing w:after="0"/>
              <w:rPr>
                <w:sz w:val="20"/>
                <w:szCs w:val="20"/>
                <w:color w:val="auto"/>
              </w:rPr>
            </w:pPr>
            <w:r>
              <w:rPr>
                <w:rFonts w:ascii="Arial" w:cs="Arial" w:eastAsia="Arial" w:hAnsi="Arial"/>
                <w:sz w:val="14"/>
                <w:szCs w:val="14"/>
                <w:color w:val="auto"/>
                <w:w w:val="76"/>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(6,629)</w:t>
            </w:r>
          </w:p>
        </w:tc>
        <w:tc>
          <w:tcPr>
            <w:tcW w:w="120" w:type="dxa"/>
            <w:vAlign w:val="bottom"/>
          </w:tcPr>
          <w:p>
            <w:pPr>
              <w:spacing w:after="0"/>
              <w:rPr>
                <w:sz w:val="24"/>
                <w:szCs w:val="24"/>
                <w:color w:val="auto"/>
              </w:rPr>
            </w:pPr>
          </w:p>
        </w:tc>
        <w:tc>
          <w:tcPr>
            <w:tcW w:w="280" w:type="dxa"/>
            <w:vAlign w:val="bottom"/>
            <w:tcBorders>
              <w:top w:val="single" w:sz="8" w:color="auto"/>
              <w:bottom w:val="single" w:sz="8" w:color="auto"/>
            </w:tcBorders>
          </w:tcPr>
          <w:p>
            <w:pPr>
              <w:jc w:val="right"/>
              <w:ind w:right="128"/>
              <w:spacing w:after="0"/>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(16,947)</w:t>
            </w:r>
          </w:p>
        </w:tc>
      </w:tr>
      <w:tr>
        <w:trPr>
          <w:trHeight w:val="20"/>
        </w:trPr>
        <w:tc>
          <w:tcPr>
            <w:tcW w:w="3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-2212975</wp:posOffset>
            </wp:positionH>
            <wp:positionV relativeFrom="paragraph">
              <wp:posOffset>-1490980</wp:posOffset>
            </wp:positionV>
            <wp:extent cx="5837555" cy="17145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837555" cy="171450"/>
                    </a:xfrm>
                    <a:prstGeom prst="rect">
                      <a:avLst/>
                    </a:prstGeom>
                    <a:noFill/>
                  </pic:spPr>
                </pic:pic>
              </a:graphicData>
            </a:graphic>
          </wp:anchor>
        </w:drawing>
        <w:drawing>
          <wp:anchor simplePos="0" relativeHeight="251657728" behindDoc="1" locked="0" layoutInCell="0" allowOverlap="1">
            <wp:simplePos x="0" y="0"/>
            <wp:positionH relativeFrom="column">
              <wp:posOffset>-2212975</wp:posOffset>
            </wp:positionH>
            <wp:positionV relativeFrom="paragraph">
              <wp:posOffset>-1148080</wp:posOffset>
            </wp:positionV>
            <wp:extent cx="5837555" cy="17145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837555" cy="171450"/>
                    </a:xfrm>
                    <a:prstGeom prst="rect">
                      <a:avLst/>
                    </a:prstGeom>
                    <a:noFill/>
                  </pic:spPr>
                </pic:pic>
              </a:graphicData>
            </a:graphic>
          </wp:anchor>
        </w:drawing>
        <w:drawing>
          <wp:anchor simplePos="0" relativeHeight="251657728" behindDoc="1" locked="0" layoutInCell="0" allowOverlap="1">
            <wp:simplePos x="0" y="0"/>
            <wp:positionH relativeFrom="column">
              <wp:posOffset>-2212975</wp:posOffset>
            </wp:positionH>
            <wp:positionV relativeFrom="paragraph">
              <wp:posOffset>-805180</wp:posOffset>
            </wp:positionV>
            <wp:extent cx="5837555" cy="17145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837555" cy="171450"/>
                    </a:xfrm>
                    <a:prstGeom prst="rect">
                      <a:avLst/>
                    </a:prstGeom>
                    <a:noFill/>
                  </pic:spPr>
                </pic:pic>
              </a:graphicData>
            </a:graphic>
          </wp:anchor>
        </w:drawing>
        <w:drawing>
          <wp:anchor simplePos="0" relativeHeight="251657728" behindDoc="1" locked="0" layoutInCell="0" allowOverlap="1">
            <wp:simplePos x="0" y="0"/>
            <wp:positionH relativeFrom="column">
              <wp:posOffset>-2212975</wp:posOffset>
            </wp:positionH>
            <wp:positionV relativeFrom="paragraph">
              <wp:posOffset>-462280</wp:posOffset>
            </wp:positionV>
            <wp:extent cx="5837555" cy="22288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837555" cy="22288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060" w:space="420"/>
            <w:col w:w="5700"/>
          </w:cols>
          <w:pgMar w:left="1360" w:top="121" w:right="1359" w:bottom="0" w:gutter="0" w:footer="0" w:header="0"/>
          <w:type w:val="continuous"/>
        </w:sectPr>
      </w:pPr>
    </w:p>
    <w:p>
      <w:pPr>
        <w:spacing w:after="0" w:line="47" w:lineRule="exact"/>
        <w:rPr>
          <w:sz w:val="20"/>
          <w:szCs w:val="20"/>
          <w:color w:val="auto"/>
        </w:rPr>
      </w:pPr>
    </w:p>
    <w:p>
      <w:pPr>
        <w:jc w:val="center"/>
        <w:ind w:right="20"/>
        <w:spacing w:after="0"/>
        <w:rPr>
          <w:sz w:val="20"/>
          <w:szCs w:val="20"/>
          <w:color w:val="auto"/>
        </w:rPr>
      </w:pPr>
      <w:r>
        <w:rPr>
          <w:rFonts w:ascii="Arial" w:cs="Arial" w:eastAsia="Arial" w:hAnsi="Arial"/>
          <w:sz w:val="14"/>
          <w:szCs w:val="14"/>
          <w:b w:val="1"/>
          <w:bCs w:val="1"/>
          <w:color w:val="auto"/>
        </w:rPr>
        <w:t>Condensed Consolidating Statement of Cash Flows</w:t>
      </w:r>
    </w:p>
    <w:p>
      <w:pPr>
        <w:spacing w:after="0" w:line="4" w:lineRule="exact"/>
        <w:rPr>
          <w:sz w:val="20"/>
          <w:szCs w:val="20"/>
          <w:color w:val="auto"/>
        </w:rPr>
      </w:pPr>
    </w:p>
    <w:p>
      <w:pPr>
        <w:jc w:val="center"/>
        <w:ind w:right="20"/>
        <w:spacing w:after="0"/>
        <w:rPr>
          <w:sz w:val="20"/>
          <w:szCs w:val="20"/>
          <w:color w:val="auto"/>
        </w:rPr>
      </w:pPr>
      <w:r>
        <w:rPr>
          <w:rFonts w:ascii="Arial" w:cs="Arial" w:eastAsia="Arial" w:hAnsi="Arial"/>
          <w:sz w:val="14"/>
          <w:szCs w:val="14"/>
          <w:b w:val="1"/>
          <w:bCs w:val="1"/>
          <w:color w:val="auto"/>
        </w:rPr>
        <w:t>For the Three Months Ended March 31,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wp:posOffset>
            </wp:positionV>
            <wp:extent cx="5837555"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837555" cy="17145"/>
                    </a:xfrm>
                    <a:prstGeom prst="rect">
                      <a:avLst/>
                    </a:prstGeom>
                    <a:noFill/>
                  </pic:spPr>
                </pic:pic>
              </a:graphicData>
            </a:graphic>
          </wp:anchor>
        </w:drawing>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Matador</w:t>
            </w:r>
          </w:p>
        </w:tc>
        <w:tc>
          <w:tcPr>
            <w:tcW w:w="1120" w:type="dxa"/>
            <w:vAlign w:val="bottom"/>
            <w:gridSpan w:val="5"/>
          </w:tcPr>
          <w:p>
            <w:pPr>
              <w:ind w:left="20"/>
              <w:spacing w:after="0"/>
              <w:rPr>
                <w:sz w:val="20"/>
                <w:szCs w:val="20"/>
                <w:color w:val="auto"/>
              </w:rPr>
            </w:pPr>
            <w:r>
              <w:rPr>
                <w:rFonts w:ascii="Arial" w:cs="Arial" w:eastAsia="Arial" w:hAnsi="Arial"/>
                <w:sz w:val="14"/>
                <w:szCs w:val="14"/>
                <w:b w:val="1"/>
                <w:bCs w:val="1"/>
                <w:color w:val="auto"/>
              </w:rPr>
              <w:t>Non-Guarantor</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gridSpan w:val="3"/>
          </w:tcPr>
          <w:p>
            <w:pPr>
              <w:ind w:left="20"/>
              <w:spacing w:after="0"/>
              <w:rPr>
                <w:sz w:val="20"/>
                <w:szCs w:val="20"/>
                <w:color w:val="auto"/>
              </w:rPr>
            </w:pPr>
            <w:r>
              <w:rPr>
                <w:rFonts w:ascii="Arial" w:cs="Arial" w:eastAsia="Arial" w:hAnsi="Arial"/>
                <w:sz w:val="14"/>
                <w:szCs w:val="14"/>
                <w:b w:val="1"/>
                <w:bCs w:val="1"/>
                <w:color w:val="auto"/>
              </w:rPr>
              <w:t>Guarantor</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tcPr>
          <w:p>
            <w:pPr>
              <w:spacing w:after="0"/>
              <w:rPr>
                <w:sz w:val="20"/>
                <w:szCs w:val="20"/>
                <w:color w:val="auto"/>
              </w:rPr>
            </w:pPr>
            <w:r>
              <w:rPr>
                <w:rFonts w:ascii="Arial" w:cs="Arial" w:eastAsia="Arial" w:hAnsi="Arial"/>
                <w:sz w:val="14"/>
                <w:szCs w:val="14"/>
                <w:b w:val="1"/>
                <w:bCs w:val="1"/>
                <w:color w:val="auto"/>
              </w:rPr>
              <w:t>Eliminating</w:t>
            </w:r>
          </w:p>
        </w:tc>
        <w:tc>
          <w:tcPr>
            <w:tcW w:w="100" w:type="dxa"/>
            <w:vAlign w:val="bottom"/>
          </w:tcPr>
          <w:p>
            <w:pPr>
              <w:spacing w:after="0"/>
              <w:rPr>
                <w:sz w:val="14"/>
                <w:szCs w:val="14"/>
                <w:color w:val="auto"/>
              </w:rPr>
            </w:pPr>
          </w:p>
        </w:tc>
        <w:tc>
          <w:tcPr>
            <w:tcW w:w="94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w w:val="90"/>
              </w:rPr>
              <w:t>Consolidated</w:t>
            </w:r>
          </w:p>
        </w:tc>
        <w:tc>
          <w:tcPr>
            <w:tcW w:w="0" w:type="dxa"/>
            <w:vAlign w:val="bottom"/>
          </w:tcPr>
          <w:p>
            <w:pPr>
              <w:spacing w:after="0"/>
              <w:rPr>
                <w:sz w:val="1"/>
                <w:szCs w:val="1"/>
                <w:color w:val="auto"/>
              </w:rPr>
            </w:pPr>
          </w:p>
        </w:tc>
      </w:tr>
      <w:tr>
        <w:trPr>
          <w:trHeight w:val="192"/>
        </w:trPr>
        <w:tc>
          <w:tcPr>
            <w:tcW w:w="314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gridSpan w:val="3"/>
            <w:vMerge w:val="continue"/>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4"/>
          </w:tcPr>
          <w:p>
            <w:pPr>
              <w:ind w:left="80"/>
              <w:spacing w:after="0"/>
              <w:rPr>
                <w:sz w:val="20"/>
                <w:szCs w:val="20"/>
                <w:color w:val="auto"/>
              </w:rPr>
            </w:pPr>
            <w:r>
              <w:rPr>
                <w:rFonts w:ascii="Arial" w:cs="Arial" w:eastAsia="Arial" w:hAnsi="Arial"/>
                <w:sz w:val="14"/>
                <w:szCs w:val="14"/>
                <w:b w:val="1"/>
                <w:bCs w:val="1"/>
                <w:color w:val="auto"/>
              </w:rPr>
              <w:t>Subsidiaries</w:t>
            </w:r>
          </w:p>
        </w:tc>
        <w:tc>
          <w:tcPr>
            <w:tcW w:w="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4"/>
          </w:tcPr>
          <w:p>
            <w:pPr>
              <w:jc w:val="right"/>
              <w:ind w:right="260"/>
              <w:spacing w:after="0"/>
              <w:rPr>
                <w:sz w:val="20"/>
                <w:szCs w:val="20"/>
                <w:color w:val="auto"/>
              </w:rPr>
            </w:pPr>
            <w:r>
              <w:rPr>
                <w:rFonts w:ascii="Arial" w:cs="Arial" w:eastAsia="Arial" w:hAnsi="Arial"/>
                <w:sz w:val="14"/>
                <w:szCs w:val="14"/>
                <w:b w:val="1"/>
                <w:bCs w:val="1"/>
                <w:color w:val="auto"/>
                <w:w w:val="98"/>
              </w:rPr>
              <w:t>Subsidiaries</w:t>
            </w: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2"/>
          </w:tcPr>
          <w:p>
            <w:pPr>
              <w:ind w:left="140"/>
              <w:spacing w:after="0"/>
              <w:rPr>
                <w:sz w:val="20"/>
                <w:szCs w:val="20"/>
                <w:color w:val="auto"/>
              </w:rPr>
            </w:pPr>
            <w:r>
              <w:rPr>
                <w:rFonts w:ascii="Arial" w:cs="Arial" w:eastAsia="Arial" w:hAnsi="Arial"/>
                <w:sz w:val="14"/>
                <w:szCs w:val="14"/>
                <w:b w:val="1"/>
                <w:bCs w:val="1"/>
                <w:color w:val="auto"/>
              </w:rPr>
              <w:t>Entries</w:t>
            </w:r>
          </w:p>
        </w:tc>
        <w:tc>
          <w:tcPr>
            <w:tcW w:w="1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3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cash provided by operating activities</w:t>
            </w:r>
          </w:p>
        </w:tc>
        <w:tc>
          <w:tcPr>
            <w:tcW w:w="66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gridSpan w:val="2"/>
            <w:vMerge w:val="restart"/>
            <w:shd w:val="clear" w:color="auto" w:fill="CCEEFF"/>
          </w:tcPr>
          <w:p>
            <w:pPr>
              <w:ind w:left="20"/>
              <w:spacing w:after="0"/>
              <w:rPr>
                <w:sz w:val="20"/>
                <w:szCs w:val="20"/>
                <w:color w:val="auto"/>
              </w:rPr>
            </w:pPr>
            <w:r>
              <w:rPr>
                <w:rFonts w:ascii="Arial" w:cs="Arial" w:eastAsia="Arial" w:hAnsi="Arial"/>
                <w:sz w:val="14"/>
                <w:szCs w:val="14"/>
                <w:color w:val="auto"/>
              </w:rPr>
              <w:t>$</w:t>
            </w:r>
          </w:p>
        </w:tc>
        <w:tc>
          <w:tcPr>
            <w:tcW w:w="88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25,244</w:t>
            </w: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6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84,124</w:t>
            </w: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4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100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4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109,372</w:t>
            </w:r>
          </w:p>
        </w:tc>
        <w:tc>
          <w:tcPr>
            <w:tcW w:w="0" w:type="dxa"/>
            <w:vAlign w:val="bottom"/>
          </w:tcPr>
          <w:p>
            <w:pPr>
              <w:spacing w:after="0"/>
              <w:rPr>
                <w:sz w:val="1"/>
                <w:szCs w:val="1"/>
                <w:color w:val="auto"/>
              </w:rPr>
            </w:pPr>
          </w:p>
        </w:tc>
      </w:tr>
      <w:tr>
        <w:trPr>
          <w:trHeight w:val="79"/>
        </w:trPr>
        <w:tc>
          <w:tcPr>
            <w:tcW w:w="3140" w:type="dxa"/>
            <w:vAlign w:val="bottom"/>
            <w:shd w:val="clear" w:color="auto" w:fill="CCEEFF"/>
          </w:tcPr>
          <w:p>
            <w:pPr>
              <w:spacing w:after="0"/>
              <w:rPr>
                <w:sz w:val="6"/>
                <w:szCs w:val="6"/>
                <w:color w:val="auto"/>
              </w:rPr>
            </w:pPr>
          </w:p>
        </w:tc>
        <w:tc>
          <w:tcPr>
            <w:tcW w:w="660" w:type="dxa"/>
            <w:vAlign w:val="bottom"/>
            <w:gridSpan w:val="2"/>
            <w:vMerge w:val="continue"/>
            <w:shd w:val="clear" w:color="auto" w:fill="CCEEFF"/>
          </w:tcPr>
          <w:p>
            <w:pPr>
              <w:spacing w:after="0"/>
              <w:rPr>
                <w:sz w:val="6"/>
                <w:szCs w:val="6"/>
                <w:color w:val="auto"/>
              </w:rPr>
            </w:pPr>
          </w:p>
        </w:tc>
        <w:tc>
          <w:tcPr>
            <w:tcW w:w="820" w:type="dxa"/>
            <w:vAlign w:val="bottom"/>
            <w:vMerge w:val="continue"/>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140" w:type="dxa"/>
            <w:vAlign w:val="bottom"/>
            <w:gridSpan w:val="2"/>
            <w:vMerge w:val="continue"/>
            <w:shd w:val="clear" w:color="auto" w:fill="CCEEFF"/>
          </w:tcPr>
          <w:p>
            <w:pPr>
              <w:spacing w:after="0"/>
              <w:rPr>
                <w:sz w:val="6"/>
                <w:szCs w:val="6"/>
                <w:color w:val="auto"/>
              </w:rPr>
            </w:pPr>
          </w:p>
        </w:tc>
        <w:tc>
          <w:tcPr>
            <w:tcW w:w="880" w:type="dxa"/>
            <w:vAlign w:val="bottom"/>
            <w:vMerge w:val="continue"/>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160" w:type="dxa"/>
            <w:vAlign w:val="bottom"/>
            <w:gridSpan w:val="2"/>
            <w:vMerge w:val="continue"/>
            <w:shd w:val="clear" w:color="auto" w:fill="CCEEFF"/>
          </w:tcPr>
          <w:p>
            <w:pPr>
              <w:spacing w:after="0"/>
              <w:rPr>
                <w:sz w:val="6"/>
                <w:szCs w:val="6"/>
                <w:color w:val="auto"/>
              </w:rPr>
            </w:pPr>
          </w:p>
        </w:tc>
        <w:tc>
          <w:tcPr>
            <w:tcW w:w="880" w:type="dxa"/>
            <w:vAlign w:val="bottom"/>
            <w:vMerge w:val="continue"/>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140" w:type="dxa"/>
            <w:vAlign w:val="bottom"/>
            <w:gridSpan w:val="2"/>
            <w:vMerge w:val="continue"/>
            <w:shd w:val="clear" w:color="auto" w:fill="CCEEFF"/>
          </w:tcPr>
          <w:p>
            <w:pPr>
              <w:spacing w:after="0"/>
              <w:rPr>
                <w:sz w:val="6"/>
                <w:szCs w:val="6"/>
                <w:color w:val="auto"/>
              </w:rPr>
            </w:pPr>
          </w:p>
        </w:tc>
        <w:tc>
          <w:tcPr>
            <w:tcW w:w="1000" w:type="dxa"/>
            <w:vAlign w:val="bottom"/>
            <w:gridSpan w:val="2"/>
            <w:vMerge w:val="continue"/>
            <w:shd w:val="clear" w:color="auto" w:fill="CCEEFF"/>
          </w:tcPr>
          <w:p>
            <w:pPr>
              <w:spacing w:after="0"/>
              <w:rPr>
                <w:sz w:val="6"/>
                <w:szCs w:val="6"/>
                <w:color w:val="auto"/>
              </w:rPr>
            </w:pPr>
          </w:p>
        </w:tc>
        <w:tc>
          <w:tcPr>
            <w:tcW w:w="100" w:type="dxa"/>
            <w:vAlign w:val="bottom"/>
            <w:vMerge w:val="continue"/>
            <w:shd w:val="clear" w:color="auto" w:fill="CCEEFF"/>
          </w:tcPr>
          <w:p>
            <w:pPr>
              <w:spacing w:after="0"/>
              <w:rPr>
                <w:sz w:val="6"/>
                <w:szCs w:val="6"/>
                <w:color w:val="auto"/>
              </w:rPr>
            </w:pPr>
          </w:p>
        </w:tc>
        <w:tc>
          <w:tcPr>
            <w:tcW w:w="94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3140" w:type="dxa"/>
            <w:vAlign w:val="bottom"/>
          </w:tcPr>
          <w:p>
            <w:pPr>
              <w:ind w:left="20"/>
              <w:spacing w:after="0"/>
              <w:rPr>
                <w:sz w:val="20"/>
                <w:szCs w:val="20"/>
                <w:color w:val="auto"/>
              </w:rPr>
            </w:pPr>
            <w:r>
              <w:rPr>
                <w:rFonts w:ascii="Arial" w:cs="Arial" w:eastAsia="Arial" w:hAnsi="Arial"/>
                <w:sz w:val="14"/>
                <w:szCs w:val="14"/>
                <w:color w:val="auto"/>
              </w:rPr>
              <w:t>Net cash used in investing activities</w:t>
            </w:r>
          </w:p>
        </w:tc>
        <w:tc>
          <w:tcPr>
            <w:tcW w:w="5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gridSpan w:val="3"/>
            <w:vMerge w:val="restart"/>
          </w:tcPr>
          <w:p>
            <w:pPr>
              <w:jc w:val="right"/>
              <w:ind w:right="16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vMerge w:val="restart"/>
          </w:tcPr>
          <w:p>
            <w:pPr>
              <w:jc w:val="right"/>
              <w:spacing w:after="0"/>
              <w:rPr>
                <w:sz w:val="20"/>
                <w:szCs w:val="20"/>
                <w:color w:val="auto"/>
              </w:rPr>
            </w:pPr>
            <w:r>
              <w:rPr>
                <w:rFonts w:ascii="Arial" w:cs="Arial" w:eastAsia="Arial" w:hAnsi="Arial"/>
                <w:sz w:val="14"/>
                <w:szCs w:val="14"/>
                <w:color w:val="auto"/>
              </w:rPr>
              <w:t>(73,670)</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vMerge w:val="restart"/>
          </w:tcPr>
          <w:p>
            <w:pPr>
              <w:jc w:val="right"/>
              <w:spacing w:after="0"/>
              <w:rPr>
                <w:sz w:val="20"/>
                <w:szCs w:val="20"/>
                <w:color w:val="auto"/>
              </w:rPr>
            </w:pPr>
            <w:r>
              <w:rPr>
                <w:rFonts w:ascii="Arial" w:cs="Arial" w:eastAsia="Arial" w:hAnsi="Arial"/>
                <w:sz w:val="14"/>
                <w:szCs w:val="14"/>
                <w:color w:val="auto"/>
              </w:rPr>
              <w:t>(170,065)</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vMerge w:val="restart"/>
          </w:tcPr>
          <w:p>
            <w:pPr>
              <w:jc w:val="right"/>
              <w:spacing w:after="0"/>
              <w:rPr>
                <w:sz w:val="20"/>
                <w:szCs w:val="20"/>
                <w:color w:val="auto"/>
              </w:rPr>
            </w:pPr>
            <w:r>
              <w:rPr>
                <w:rFonts w:ascii="Arial" w:cs="Arial" w:eastAsia="Arial" w:hAnsi="Arial"/>
                <w:sz w:val="14"/>
                <w:szCs w:val="14"/>
                <w:color w:val="auto"/>
              </w:rPr>
              <w:t>(4,485)</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vMerge w:val="restart"/>
          </w:tcPr>
          <w:p>
            <w:pPr>
              <w:jc w:val="right"/>
              <w:spacing w:after="0"/>
              <w:rPr>
                <w:sz w:val="20"/>
                <w:szCs w:val="20"/>
                <w:color w:val="auto"/>
              </w:rPr>
            </w:pPr>
            <w:r>
              <w:rPr>
                <w:rFonts w:ascii="Arial" w:cs="Arial" w:eastAsia="Arial" w:hAnsi="Arial"/>
                <w:sz w:val="14"/>
                <w:szCs w:val="14"/>
                <w:color w:val="auto"/>
              </w:rPr>
              <w:t>(248,220)</w:t>
            </w:r>
          </w:p>
        </w:tc>
        <w:tc>
          <w:tcPr>
            <w:tcW w:w="0" w:type="dxa"/>
            <w:vAlign w:val="bottom"/>
          </w:tcPr>
          <w:p>
            <w:pPr>
              <w:spacing w:after="0"/>
              <w:rPr>
                <w:sz w:val="1"/>
                <w:szCs w:val="1"/>
                <w:color w:val="auto"/>
              </w:rPr>
            </w:pPr>
          </w:p>
        </w:tc>
      </w:tr>
      <w:tr>
        <w:trPr>
          <w:trHeight w:val="74"/>
        </w:trPr>
        <w:tc>
          <w:tcPr>
            <w:tcW w:w="3140" w:type="dxa"/>
            <w:vAlign w:val="bottom"/>
          </w:tcPr>
          <w:p>
            <w:pPr>
              <w:spacing w:after="0"/>
              <w:rPr>
                <w:sz w:val="6"/>
                <w:szCs w:val="6"/>
                <w:color w:val="auto"/>
              </w:rPr>
            </w:pPr>
          </w:p>
        </w:tc>
        <w:tc>
          <w:tcPr>
            <w:tcW w:w="520" w:type="dxa"/>
            <w:vAlign w:val="bottom"/>
          </w:tcPr>
          <w:p>
            <w:pPr>
              <w:spacing w:after="0"/>
              <w:rPr>
                <w:sz w:val="6"/>
                <w:szCs w:val="6"/>
                <w:color w:val="auto"/>
              </w:rPr>
            </w:pPr>
          </w:p>
        </w:tc>
        <w:tc>
          <w:tcPr>
            <w:tcW w:w="140" w:type="dxa"/>
            <w:vAlign w:val="bottom"/>
          </w:tcPr>
          <w:p>
            <w:pPr>
              <w:spacing w:after="0"/>
              <w:rPr>
                <w:sz w:val="6"/>
                <w:szCs w:val="6"/>
                <w:color w:val="auto"/>
              </w:rPr>
            </w:pPr>
          </w:p>
        </w:tc>
        <w:tc>
          <w:tcPr>
            <w:tcW w:w="940" w:type="dxa"/>
            <w:vAlign w:val="bottom"/>
            <w:gridSpan w:val="3"/>
            <w:vMerge w:val="continue"/>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88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88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8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9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6"/>
        </w:trPr>
        <w:tc>
          <w:tcPr>
            <w:tcW w:w="3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cash provided by financing activities</w:t>
            </w:r>
          </w:p>
        </w:tc>
        <w:tc>
          <w:tcPr>
            <w:tcW w:w="5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gridSpan w:val="2"/>
            <w:vMerge w:val="restart"/>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53,500</w:t>
            </w: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72,530</w:t>
            </w: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4,485</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130,515</w:t>
            </w:r>
          </w:p>
        </w:tc>
        <w:tc>
          <w:tcPr>
            <w:tcW w:w="0" w:type="dxa"/>
            <w:vAlign w:val="bottom"/>
          </w:tcPr>
          <w:p>
            <w:pPr>
              <w:spacing w:after="0"/>
              <w:rPr>
                <w:sz w:val="1"/>
                <w:szCs w:val="1"/>
                <w:color w:val="auto"/>
              </w:rPr>
            </w:pPr>
          </w:p>
        </w:tc>
      </w:tr>
      <w:tr>
        <w:trPr>
          <w:trHeight w:val="79"/>
        </w:trPr>
        <w:tc>
          <w:tcPr>
            <w:tcW w:w="3140" w:type="dxa"/>
            <w:vAlign w:val="bottom"/>
            <w:shd w:val="clear" w:color="auto" w:fill="CCEEFF"/>
          </w:tcPr>
          <w:p>
            <w:pPr>
              <w:spacing w:after="0"/>
              <w:rPr>
                <w:sz w:val="6"/>
                <w:szCs w:val="6"/>
                <w:color w:val="auto"/>
              </w:rPr>
            </w:pPr>
          </w:p>
        </w:tc>
        <w:tc>
          <w:tcPr>
            <w:tcW w:w="520" w:type="dxa"/>
            <w:vAlign w:val="bottom"/>
            <w:shd w:val="clear" w:color="auto" w:fill="CCEEFF"/>
          </w:tcPr>
          <w:p>
            <w:pPr>
              <w:spacing w:after="0"/>
              <w:rPr>
                <w:sz w:val="6"/>
                <w:szCs w:val="6"/>
                <w:color w:val="auto"/>
              </w:rPr>
            </w:pPr>
          </w:p>
        </w:tc>
        <w:tc>
          <w:tcPr>
            <w:tcW w:w="140" w:type="dxa"/>
            <w:vAlign w:val="bottom"/>
            <w:tcBorders>
              <w:bottom w:val="single" w:sz="8" w:color="auto"/>
            </w:tcBorders>
            <w:shd w:val="clear" w:color="auto" w:fill="CCEEFF"/>
          </w:tcPr>
          <w:p>
            <w:pPr>
              <w:spacing w:after="0"/>
              <w:rPr>
                <w:sz w:val="6"/>
                <w:szCs w:val="6"/>
                <w:color w:val="auto"/>
              </w:rPr>
            </w:pPr>
          </w:p>
        </w:tc>
        <w:tc>
          <w:tcPr>
            <w:tcW w:w="82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gridSpan w:val="2"/>
            <w:vMerge w:val="continue"/>
            <w:shd w:val="clear" w:color="auto" w:fill="CCEEFF"/>
          </w:tcPr>
          <w:p>
            <w:pPr>
              <w:spacing w:after="0"/>
              <w:rPr>
                <w:sz w:val="6"/>
                <w:szCs w:val="6"/>
                <w:color w:val="auto"/>
              </w:rPr>
            </w:pPr>
          </w:p>
        </w:tc>
        <w:tc>
          <w:tcPr>
            <w:tcW w:w="40" w:type="dxa"/>
            <w:vAlign w:val="bottom"/>
            <w:tcBorders>
              <w:bottom w:val="single" w:sz="8" w:color="auto"/>
            </w:tcBorders>
            <w:shd w:val="clear" w:color="auto" w:fill="CCEEFF"/>
          </w:tcPr>
          <w:p>
            <w:pPr>
              <w:spacing w:after="0"/>
              <w:rPr>
                <w:sz w:val="6"/>
                <w:szCs w:val="6"/>
                <w:color w:val="auto"/>
              </w:rPr>
            </w:pPr>
          </w:p>
        </w:tc>
        <w:tc>
          <w:tcPr>
            <w:tcW w:w="100" w:type="dxa"/>
            <w:vAlign w:val="bottom"/>
            <w:tcBorders>
              <w:bottom w:val="single" w:sz="8" w:color="auto"/>
            </w:tcBorders>
            <w:shd w:val="clear" w:color="auto" w:fill="CCEEFF"/>
          </w:tcPr>
          <w:p>
            <w:pPr>
              <w:spacing w:after="0"/>
              <w:rPr>
                <w:sz w:val="6"/>
                <w:szCs w:val="6"/>
                <w:color w:val="auto"/>
              </w:rPr>
            </w:pPr>
          </w:p>
        </w:tc>
        <w:tc>
          <w:tcPr>
            <w:tcW w:w="880" w:type="dxa"/>
            <w:vAlign w:val="bottom"/>
            <w:tcBorders>
              <w:bottom w:val="single" w:sz="8" w:color="auto"/>
            </w:tcBorders>
            <w:vMerge w:val="continue"/>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40" w:type="dxa"/>
            <w:vAlign w:val="bottom"/>
            <w:tcBorders>
              <w:bottom w:val="single" w:sz="8" w:color="auto"/>
            </w:tcBorders>
            <w:shd w:val="clear" w:color="auto" w:fill="CCEEFF"/>
          </w:tcPr>
          <w:p>
            <w:pPr>
              <w:spacing w:after="0"/>
              <w:rPr>
                <w:sz w:val="6"/>
                <w:szCs w:val="6"/>
                <w:color w:val="auto"/>
              </w:rPr>
            </w:pPr>
          </w:p>
        </w:tc>
        <w:tc>
          <w:tcPr>
            <w:tcW w:w="120" w:type="dxa"/>
            <w:vAlign w:val="bottom"/>
            <w:tcBorders>
              <w:bottom w:val="single" w:sz="8" w:color="auto"/>
            </w:tcBorders>
            <w:shd w:val="clear" w:color="auto" w:fill="CCEEFF"/>
          </w:tcPr>
          <w:p>
            <w:pPr>
              <w:spacing w:after="0"/>
              <w:rPr>
                <w:sz w:val="6"/>
                <w:szCs w:val="6"/>
                <w:color w:val="auto"/>
              </w:rPr>
            </w:pPr>
          </w:p>
        </w:tc>
        <w:tc>
          <w:tcPr>
            <w:tcW w:w="880" w:type="dxa"/>
            <w:vAlign w:val="bottom"/>
            <w:tcBorders>
              <w:bottom w:val="single" w:sz="8" w:color="auto"/>
            </w:tcBorders>
            <w:vMerge w:val="continue"/>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40" w:type="dxa"/>
            <w:vAlign w:val="bottom"/>
            <w:tcBorders>
              <w:bottom w:val="single" w:sz="8" w:color="auto"/>
            </w:tcBorders>
            <w:shd w:val="clear" w:color="auto" w:fill="CCEEFF"/>
          </w:tcPr>
          <w:p>
            <w:pPr>
              <w:spacing w:after="0"/>
              <w:rPr>
                <w:sz w:val="6"/>
                <w:szCs w:val="6"/>
                <w:color w:val="auto"/>
              </w:rPr>
            </w:pPr>
          </w:p>
        </w:tc>
        <w:tc>
          <w:tcPr>
            <w:tcW w:w="100" w:type="dxa"/>
            <w:vAlign w:val="bottom"/>
            <w:tcBorders>
              <w:bottom w:val="single" w:sz="8" w:color="auto"/>
            </w:tcBorders>
            <w:shd w:val="clear" w:color="auto" w:fill="CCEEFF"/>
          </w:tcPr>
          <w:p>
            <w:pPr>
              <w:spacing w:after="0"/>
              <w:rPr>
                <w:sz w:val="6"/>
                <w:szCs w:val="6"/>
                <w:color w:val="auto"/>
              </w:rPr>
            </w:pPr>
          </w:p>
        </w:tc>
        <w:tc>
          <w:tcPr>
            <w:tcW w:w="88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0" w:type="dxa"/>
            <w:vAlign w:val="bottom"/>
            <w:tcBorders>
              <w:bottom w:val="single" w:sz="8" w:color="auto"/>
            </w:tcBorders>
            <w:shd w:val="clear" w:color="auto" w:fill="CCEEFF"/>
          </w:tcPr>
          <w:p>
            <w:pPr>
              <w:spacing w:after="0"/>
              <w:rPr>
                <w:sz w:val="6"/>
                <w:szCs w:val="6"/>
                <w:color w:val="auto"/>
              </w:rPr>
            </w:pPr>
          </w:p>
        </w:tc>
        <w:tc>
          <w:tcPr>
            <w:tcW w:w="94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0"/>
        </w:trPr>
        <w:tc>
          <w:tcPr>
            <w:tcW w:w="3140" w:type="dxa"/>
            <w:vAlign w:val="bottom"/>
          </w:tcPr>
          <w:p>
            <w:pPr>
              <w:ind w:left="360"/>
              <w:spacing w:after="0"/>
              <w:rPr>
                <w:sz w:val="20"/>
                <w:szCs w:val="20"/>
                <w:color w:val="auto"/>
              </w:rPr>
            </w:pPr>
            <w:r>
              <w:rPr>
                <w:rFonts w:ascii="Arial" w:cs="Arial" w:eastAsia="Arial" w:hAnsi="Arial"/>
                <w:sz w:val="14"/>
                <w:szCs w:val="14"/>
                <w:color w:val="auto"/>
                <w:w w:val="93"/>
              </w:rPr>
              <w:t>Increase (decrease) in cash and restricted cash</w:t>
            </w:r>
          </w:p>
        </w:tc>
        <w:tc>
          <w:tcPr>
            <w:tcW w:w="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4</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vMerge w:val="restart"/>
          </w:tcPr>
          <w:p>
            <w:pPr>
              <w:jc w:val="right"/>
              <w:ind w:right="8"/>
              <w:spacing w:after="0"/>
              <w:rPr>
                <w:sz w:val="20"/>
                <w:szCs w:val="20"/>
                <w:color w:val="auto"/>
              </w:rPr>
            </w:pPr>
            <w:r>
              <w:rPr>
                <w:rFonts w:ascii="Arial" w:cs="Arial" w:eastAsia="Arial" w:hAnsi="Arial"/>
                <w:sz w:val="14"/>
                <w:szCs w:val="14"/>
                <w:color w:val="auto"/>
              </w:rPr>
              <w:t>5,074</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vMerge w:val="restart"/>
          </w:tcPr>
          <w:p>
            <w:pPr>
              <w:jc w:val="right"/>
              <w:spacing w:after="0"/>
              <w:rPr>
                <w:sz w:val="20"/>
                <w:szCs w:val="20"/>
                <w:color w:val="auto"/>
              </w:rPr>
            </w:pPr>
            <w:r>
              <w:rPr>
                <w:rFonts w:ascii="Arial" w:cs="Arial" w:eastAsia="Arial" w:hAnsi="Arial"/>
                <w:sz w:val="14"/>
                <w:szCs w:val="14"/>
                <w:color w:val="auto"/>
              </w:rPr>
              <w:t>(13,411)</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940" w:type="dxa"/>
            <w:vAlign w:val="bottom"/>
            <w:vMerge w:val="restart"/>
          </w:tcPr>
          <w:p>
            <w:pPr>
              <w:jc w:val="right"/>
              <w:spacing w:after="0"/>
              <w:rPr>
                <w:sz w:val="20"/>
                <w:szCs w:val="20"/>
                <w:color w:val="auto"/>
              </w:rPr>
            </w:pPr>
            <w:r>
              <w:rPr>
                <w:rFonts w:ascii="Arial" w:cs="Arial" w:eastAsia="Arial" w:hAnsi="Arial"/>
                <w:sz w:val="14"/>
                <w:szCs w:val="14"/>
                <w:color w:val="auto"/>
              </w:rPr>
              <w:t>(8,333)</w:t>
            </w:r>
          </w:p>
        </w:tc>
        <w:tc>
          <w:tcPr>
            <w:tcW w:w="0" w:type="dxa"/>
            <w:vAlign w:val="bottom"/>
          </w:tcPr>
          <w:p>
            <w:pPr>
              <w:spacing w:after="0"/>
              <w:rPr>
                <w:sz w:val="1"/>
                <w:szCs w:val="1"/>
                <w:color w:val="auto"/>
              </w:rPr>
            </w:pPr>
          </w:p>
        </w:tc>
      </w:tr>
      <w:tr>
        <w:trPr>
          <w:trHeight w:val="74"/>
        </w:trPr>
        <w:tc>
          <w:tcPr>
            <w:tcW w:w="3140" w:type="dxa"/>
            <w:vAlign w:val="bottom"/>
          </w:tcPr>
          <w:p>
            <w:pPr>
              <w:spacing w:after="0"/>
              <w:rPr>
                <w:sz w:val="6"/>
                <w:szCs w:val="6"/>
                <w:color w:val="auto"/>
              </w:rPr>
            </w:pPr>
          </w:p>
        </w:tc>
        <w:tc>
          <w:tcPr>
            <w:tcW w:w="520" w:type="dxa"/>
            <w:vAlign w:val="bottom"/>
          </w:tcPr>
          <w:p>
            <w:pPr>
              <w:spacing w:after="0"/>
              <w:rPr>
                <w:sz w:val="6"/>
                <w:szCs w:val="6"/>
                <w:color w:val="auto"/>
              </w:rPr>
            </w:pPr>
          </w:p>
        </w:tc>
        <w:tc>
          <w:tcPr>
            <w:tcW w:w="140" w:type="dxa"/>
            <w:vAlign w:val="bottom"/>
          </w:tcPr>
          <w:p>
            <w:pPr>
              <w:spacing w:after="0"/>
              <w:rPr>
                <w:sz w:val="6"/>
                <w:szCs w:val="6"/>
                <w:color w:val="auto"/>
              </w:rPr>
            </w:pPr>
          </w:p>
        </w:tc>
        <w:tc>
          <w:tcPr>
            <w:tcW w:w="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88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88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9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6"/>
        </w:trPr>
        <w:tc>
          <w:tcPr>
            <w:tcW w:w="3140" w:type="dxa"/>
            <w:vAlign w:val="bottom"/>
            <w:shd w:val="clear" w:color="auto" w:fill="CCEEFF"/>
          </w:tcPr>
          <w:p>
            <w:pPr>
              <w:ind w:left="360"/>
              <w:spacing w:after="0"/>
              <w:rPr>
                <w:sz w:val="20"/>
                <w:szCs w:val="20"/>
                <w:color w:val="auto"/>
              </w:rPr>
            </w:pPr>
            <w:r>
              <w:rPr>
                <w:rFonts w:ascii="Arial" w:cs="Arial" w:eastAsia="Arial" w:hAnsi="Arial"/>
                <w:sz w:val="14"/>
                <w:szCs w:val="14"/>
                <w:color w:val="auto"/>
                <w:w w:val="94"/>
              </w:rPr>
              <w:t>Cash and restricted cash at beginning of period</w:t>
            </w:r>
          </w:p>
        </w:tc>
        <w:tc>
          <w:tcPr>
            <w:tcW w:w="5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29</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24,656</w:t>
            </w: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40,443</w:t>
            </w: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20" w:type="dxa"/>
            <w:vAlign w:val="bottom"/>
            <w:vMerge w:val="restart"/>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65,128</w:t>
            </w:r>
          </w:p>
        </w:tc>
        <w:tc>
          <w:tcPr>
            <w:tcW w:w="0" w:type="dxa"/>
            <w:vAlign w:val="bottom"/>
          </w:tcPr>
          <w:p>
            <w:pPr>
              <w:spacing w:after="0"/>
              <w:rPr>
                <w:sz w:val="1"/>
                <w:szCs w:val="1"/>
                <w:color w:val="auto"/>
              </w:rPr>
            </w:pPr>
          </w:p>
        </w:tc>
      </w:tr>
      <w:tr>
        <w:trPr>
          <w:trHeight w:val="80"/>
        </w:trPr>
        <w:tc>
          <w:tcPr>
            <w:tcW w:w="3140" w:type="dxa"/>
            <w:vAlign w:val="bottom"/>
            <w:shd w:val="clear" w:color="auto" w:fill="CCEEFF"/>
          </w:tcPr>
          <w:p>
            <w:pPr>
              <w:spacing w:after="0"/>
              <w:rPr>
                <w:sz w:val="6"/>
                <w:szCs w:val="6"/>
                <w:color w:val="auto"/>
              </w:rPr>
            </w:pPr>
          </w:p>
        </w:tc>
        <w:tc>
          <w:tcPr>
            <w:tcW w:w="520" w:type="dxa"/>
            <w:vAlign w:val="bottom"/>
            <w:shd w:val="clear" w:color="auto" w:fill="CCEEFF"/>
          </w:tcPr>
          <w:p>
            <w:pPr>
              <w:spacing w:after="0"/>
              <w:rPr>
                <w:sz w:val="6"/>
                <w:szCs w:val="6"/>
                <w:color w:val="auto"/>
              </w:rPr>
            </w:pPr>
          </w:p>
        </w:tc>
        <w:tc>
          <w:tcPr>
            <w:tcW w:w="140" w:type="dxa"/>
            <w:vAlign w:val="bottom"/>
            <w:tcBorders>
              <w:bottom w:val="single" w:sz="8" w:color="auto"/>
            </w:tcBorders>
            <w:shd w:val="clear" w:color="auto" w:fill="CCEEFF"/>
          </w:tcPr>
          <w:p>
            <w:pPr>
              <w:spacing w:after="0"/>
              <w:rPr>
                <w:sz w:val="6"/>
                <w:szCs w:val="6"/>
                <w:color w:val="auto"/>
              </w:rPr>
            </w:pPr>
          </w:p>
        </w:tc>
        <w:tc>
          <w:tcPr>
            <w:tcW w:w="820" w:type="dxa"/>
            <w:vAlign w:val="bottom"/>
            <w:tcBorders>
              <w:bottom w:val="single" w:sz="8" w:color="auto"/>
            </w:tcBorders>
            <w:vMerge w:val="continue"/>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40" w:type="dxa"/>
            <w:vAlign w:val="bottom"/>
            <w:tcBorders>
              <w:bottom w:val="single" w:sz="8" w:color="auto"/>
            </w:tcBorders>
            <w:shd w:val="clear" w:color="auto" w:fill="CCEEFF"/>
          </w:tcPr>
          <w:p>
            <w:pPr>
              <w:spacing w:after="0"/>
              <w:rPr>
                <w:sz w:val="6"/>
                <w:szCs w:val="6"/>
                <w:color w:val="auto"/>
              </w:rPr>
            </w:pPr>
          </w:p>
        </w:tc>
        <w:tc>
          <w:tcPr>
            <w:tcW w:w="100" w:type="dxa"/>
            <w:vAlign w:val="bottom"/>
            <w:tcBorders>
              <w:bottom w:val="single" w:sz="8" w:color="auto"/>
            </w:tcBorders>
            <w:shd w:val="clear" w:color="auto" w:fill="CCEEFF"/>
          </w:tcPr>
          <w:p>
            <w:pPr>
              <w:spacing w:after="0"/>
              <w:rPr>
                <w:sz w:val="6"/>
                <w:szCs w:val="6"/>
                <w:color w:val="auto"/>
              </w:rPr>
            </w:pPr>
          </w:p>
        </w:tc>
        <w:tc>
          <w:tcPr>
            <w:tcW w:w="880" w:type="dxa"/>
            <w:vAlign w:val="bottom"/>
            <w:tcBorders>
              <w:bottom w:val="single" w:sz="8" w:color="auto"/>
            </w:tcBorders>
            <w:vMerge w:val="continue"/>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40" w:type="dxa"/>
            <w:vAlign w:val="bottom"/>
            <w:tcBorders>
              <w:bottom w:val="single" w:sz="8" w:color="auto"/>
            </w:tcBorders>
            <w:shd w:val="clear" w:color="auto" w:fill="CCEEFF"/>
          </w:tcPr>
          <w:p>
            <w:pPr>
              <w:spacing w:after="0"/>
              <w:rPr>
                <w:sz w:val="6"/>
                <w:szCs w:val="6"/>
                <w:color w:val="auto"/>
              </w:rPr>
            </w:pPr>
          </w:p>
        </w:tc>
        <w:tc>
          <w:tcPr>
            <w:tcW w:w="120" w:type="dxa"/>
            <w:vAlign w:val="bottom"/>
            <w:tcBorders>
              <w:bottom w:val="single" w:sz="8" w:color="auto"/>
            </w:tcBorders>
            <w:shd w:val="clear" w:color="auto" w:fill="CCEEFF"/>
          </w:tcPr>
          <w:p>
            <w:pPr>
              <w:spacing w:after="0"/>
              <w:rPr>
                <w:sz w:val="6"/>
                <w:szCs w:val="6"/>
                <w:color w:val="auto"/>
              </w:rPr>
            </w:pPr>
          </w:p>
        </w:tc>
        <w:tc>
          <w:tcPr>
            <w:tcW w:w="880" w:type="dxa"/>
            <w:vAlign w:val="bottom"/>
            <w:tcBorders>
              <w:bottom w:val="single" w:sz="8" w:color="auto"/>
            </w:tcBorders>
            <w:vMerge w:val="continue"/>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40" w:type="dxa"/>
            <w:vAlign w:val="bottom"/>
            <w:tcBorders>
              <w:bottom w:val="single" w:sz="8" w:color="auto"/>
            </w:tcBorders>
            <w:shd w:val="clear" w:color="auto" w:fill="CCEEFF"/>
          </w:tcPr>
          <w:p>
            <w:pPr>
              <w:spacing w:after="0"/>
              <w:rPr>
                <w:sz w:val="6"/>
                <w:szCs w:val="6"/>
                <w:color w:val="auto"/>
              </w:rPr>
            </w:pPr>
          </w:p>
        </w:tc>
        <w:tc>
          <w:tcPr>
            <w:tcW w:w="100" w:type="dxa"/>
            <w:vAlign w:val="bottom"/>
            <w:tcBorders>
              <w:bottom w:val="single" w:sz="8" w:color="auto"/>
            </w:tcBorders>
            <w:shd w:val="clear" w:color="auto" w:fill="CCEEFF"/>
          </w:tcPr>
          <w:p>
            <w:pPr>
              <w:spacing w:after="0"/>
              <w:rPr>
                <w:sz w:val="6"/>
                <w:szCs w:val="6"/>
                <w:color w:val="auto"/>
              </w:rPr>
            </w:pPr>
          </w:p>
        </w:tc>
        <w:tc>
          <w:tcPr>
            <w:tcW w:w="88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vMerge w:val="continue"/>
            <w:shd w:val="clear" w:color="auto" w:fill="CCEEFF"/>
          </w:tcPr>
          <w:p>
            <w:pPr>
              <w:spacing w:after="0"/>
              <w:rPr>
                <w:sz w:val="6"/>
                <w:szCs w:val="6"/>
                <w:color w:val="auto"/>
              </w:rPr>
            </w:pPr>
          </w:p>
        </w:tc>
        <w:tc>
          <w:tcPr>
            <w:tcW w:w="100" w:type="dxa"/>
            <w:vAlign w:val="bottom"/>
            <w:tcBorders>
              <w:bottom w:val="single" w:sz="8" w:color="auto"/>
            </w:tcBorders>
            <w:shd w:val="clear" w:color="auto" w:fill="CCEEFF"/>
          </w:tcPr>
          <w:p>
            <w:pPr>
              <w:spacing w:after="0"/>
              <w:rPr>
                <w:sz w:val="6"/>
                <w:szCs w:val="6"/>
                <w:color w:val="auto"/>
              </w:rPr>
            </w:pPr>
          </w:p>
        </w:tc>
        <w:tc>
          <w:tcPr>
            <w:tcW w:w="94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0"/>
        </w:trPr>
        <w:tc>
          <w:tcPr>
            <w:tcW w:w="3140" w:type="dxa"/>
            <w:vAlign w:val="bottom"/>
          </w:tcPr>
          <w:p>
            <w:pPr>
              <w:ind w:left="360"/>
              <w:spacing w:after="0"/>
              <w:rPr>
                <w:sz w:val="20"/>
                <w:szCs w:val="20"/>
                <w:color w:val="auto"/>
              </w:rPr>
            </w:pPr>
            <w:r>
              <w:rPr>
                <w:rFonts w:ascii="Arial" w:cs="Arial" w:eastAsia="Arial" w:hAnsi="Arial"/>
                <w:sz w:val="14"/>
                <w:szCs w:val="14"/>
                <w:color w:val="auto"/>
              </w:rPr>
              <w:t>Cash and restricted cash at end of period</w:t>
            </w:r>
          </w:p>
        </w:tc>
        <w:tc>
          <w:tcPr>
            <w:tcW w:w="520" w:type="dxa"/>
            <w:vAlign w:val="bottom"/>
            <w:vMerge w:val="restart"/>
          </w:tcPr>
          <w:p>
            <w:pPr>
              <w:spacing w:after="0"/>
              <w:rPr>
                <w:sz w:val="14"/>
                <w:szCs w:val="14"/>
                <w:color w:val="auto"/>
              </w:rPr>
            </w:pPr>
          </w:p>
        </w:tc>
        <w:tc>
          <w:tcPr>
            <w:tcW w:w="140" w:type="dxa"/>
            <w:vAlign w:val="bottom"/>
            <w:vMerge w:val="restart"/>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33</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gridSpan w:val="2"/>
            <w:vMerge w:val="restart"/>
          </w:tcPr>
          <w:p>
            <w:pPr>
              <w:ind w:left="20"/>
              <w:spacing w:after="0"/>
              <w:rPr>
                <w:sz w:val="20"/>
                <w:szCs w:val="20"/>
                <w:color w:val="auto"/>
              </w:rPr>
            </w:pPr>
            <w:r>
              <w:rPr>
                <w:rFonts w:ascii="Arial" w:cs="Arial" w:eastAsia="Arial" w:hAnsi="Arial"/>
                <w:sz w:val="14"/>
                <w:szCs w:val="14"/>
                <w:color w:val="auto"/>
              </w:rPr>
              <w:t>$</w:t>
            </w:r>
          </w:p>
        </w:tc>
        <w:tc>
          <w:tcPr>
            <w:tcW w:w="880" w:type="dxa"/>
            <w:vAlign w:val="bottom"/>
            <w:vMerge w:val="restart"/>
          </w:tcPr>
          <w:p>
            <w:pPr>
              <w:jc w:val="right"/>
              <w:ind w:right="8"/>
              <w:spacing w:after="0"/>
              <w:rPr>
                <w:sz w:val="20"/>
                <w:szCs w:val="20"/>
                <w:color w:val="auto"/>
              </w:rPr>
            </w:pPr>
            <w:r>
              <w:rPr>
                <w:rFonts w:ascii="Arial" w:cs="Arial" w:eastAsia="Arial" w:hAnsi="Arial"/>
                <w:sz w:val="14"/>
                <w:szCs w:val="14"/>
                <w:color w:val="auto"/>
              </w:rPr>
              <w:t>29,730</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gridSpan w:val="2"/>
            <w:vMerge w:val="restart"/>
          </w:tcPr>
          <w:p>
            <w:pPr>
              <w:jc w:val="right"/>
              <w:spacing w:after="0"/>
              <w:rPr>
                <w:sz w:val="20"/>
                <w:szCs w:val="20"/>
                <w:color w:val="auto"/>
              </w:rPr>
            </w:pPr>
            <w:r>
              <w:rPr>
                <w:rFonts w:ascii="Arial" w:cs="Arial" w:eastAsia="Arial" w:hAnsi="Arial"/>
                <w:sz w:val="14"/>
                <w:szCs w:val="14"/>
                <w:color w:val="auto"/>
              </w:rPr>
              <w:t>$</w:t>
            </w:r>
          </w:p>
        </w:tc>
        <w:tc>
          <w:tcPr>
            <w:tcW w:w="880" w:type="dxa"/>
            <w:vAlign w:val="bottom"/>
            <w:vMerge w:val="restart"/>
          </w:tcPr>
          <w:p>
            <w:pPr>
              <w:jc w:val="right"/>
              <w:ind w:right="28"/>
              <w:spacing w:after="0"/>
              <w:rPr>
                <w:sz w:val="20"/>
                <w:szCs w:val="20"/>
                <w:color w:val="auto"/>
              </w:rPr>
            </w:pPr>
            <w:r>
              <w:rPr>
                <w:rFonts w:ascii="Arial" w:cs="Arial" w:eastAsia="Arial" w:hAnsi="Arial"/>
                <w:sz w:val="14"/>
                <w:szCs w:val="14"/>
                <w:color w:val="auto"/>
              </w:rPr>
              <w:t>27,032</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gridSpan w:val="2"/>
            <w:vMerge w:val="restart"/>
          </w:tcPr>
          <w:p>
            <w:pPr>
              <w:jc w:val="right"/>
              <w:ind w:right="40"/>
              <w:spacing w:after="0"/>
              <w:rPr>
                <w:sz w:val="20"/>
                <w:szCs w:val="20"/>
                <w:color w:val="auto"/>
              </w:rPr>
            </w:pPr>
            <w:r>
              <w:rPr>
                <w:rFonts w:ascii="Arial" w:cs="Arial" w:eastAsia="Arial" w:hAnsi="Arial"/>
                <w:sz w:val="14"/>
                <w:szCs w:val="14"/>
                <w:color w:val="auto"/>
              </w:rPr>
              <w:t>$</w:t>
            </w:r>
          </w:p>
        </w:tc>
        <w:tc>
          <w:tcPr>
            <w:tcW w:w="880" w:type="dxa"/>
            <w:vAlign w:val="bottom"/>
            <w:vMerge w:val="restart"/>
          </w:tcPr>
          <w:p>
            <w:pPr>
              <w:jc w:val="right"/>
              <w:ind w:right="8"/>
              <w:spacing w:after="0"/>
              <w:rPr>
                <w:sz w:val="20"/>
                <w:szCs w:val="20"/>
                <w:color w:val="auto"/>
              </w:rPr>
            </w:pPr>
            <w:r>
              <w:rPr>
                <w:rFonts w:ascii="Arial" w:cs="Arial" w:eastAsia="Arial" w:hAnsi="Arial"/>
                <w:sz w:val="14"/>
                <w:szCs w:val="14"/>
                <w:color w:val="auto"/>
              </w:rPr>
              <w:t>—</w:t>
            </w:r>
          </w:p>
        </w:tc>
        <w:tc>
          <w:tcPr>
            <w:tcW w:w="120" w:type="dxa"/>
            <w:vAlign w:val="bottom"/>
            <w:vMerge w:val="restart"/>
          </w:tcPr>
          <w:p>
            <w:pPr>
              <w:spacing w:after="0"/>
              <w:rPr>
                <w:sz w:val="14"/>
                <w:szCs w:val="14"/>
                <w:color w:val="auto"/>
              </w:rPr>
            </w:pPr>
          </w:p>
        </w:tc>
        <w:tc>
          <w:tcPr>
            <w:tcW w:w="100" w:type="dxa"/>
            <w:vAlign w:val="bottom"/>
            <w:vMerge w:val="restart"/>
          </w:tcPr>
          <w:p>
            <w:pPr>
              <w:jc w:val="right"/>
              <w:spacing w:after="0"/>
              <w:rPr>
                <w:sz w:val="20"/>
                <w:szCs w:val="20"/>
                <w:color w:val="auto"/>
              </w:rPr>
            </w:pPr>
            <w:r>
              <w:rPr>
                <w:rFonts w:ascii="Arial" w:cs="Arial" w:eastAsia="Arial" w:hAnsi="Arial"/>
                <w:sz w:val="14"/>
                <w:szCs w:val="14"/>
                <w:color w:val="auto"/>
                <w:w w:val="76"/>
              </w:rPr>
              <w:t>$</w:t>
            </w:r>
          </w:p>
        </w:tc>
        <w:tc>
          <w:tcPr>
            <w:tcW w:w="940" w:type="dxa"/>
            <w:vAlign w:val="bottom"/>
            <w:vMerge w:val="restart"/>
          </w:tcPr>
          <w:p>
            <w:pPr>
              <w:jc w:val="right"/>
              <w:ind w:right="8"/>
              <w:spacing w:after="0"/>
              <w:rPr>
                <w:sz w:val="20"/>
                <w:szCs w:val="20"/>
                <w:color w:val="auto"/>
              </w:rPr>
            </w:pPr>
            <w:r>
              <w:rPr>
                <w:rFonts w:ascii="Arial" w:cs="Arial" w:eastAsia="Arial" w:hAnsi="Arial"/>
                <w:sz w:val="14"/>
                <w:szCs w:val="14"/>
                <w:color w:val="auto"/>
              </w:rPr>
              <w:t>56,795</w:t>
            </w:r>
          </w:p>
        </w:tc>
        <w:tc>
          <w:tcPr>
            <w:tcW w:w="0" w:type="dxa"/>
            <w:vAlign w:val="bottom"/>
          </w:tcPr>
          <w:p>
            <w:pPr>
              <w:spacing w:after="0"/>
              <w:rPr>
                <w:sz w:val="1"/>
                <w:szCs w:val="1"/>
                <w:color w:val="auto"/>
              </w:rPr>
            </w:pPr>
          </w:p>
        </w:tc>
      </w:tr>
      <w:tr>
        <w:trPr>
          <w:trHeight w:val="65"/>
        </w:trPr>
        <w:tc>
          <w:tcPr>
            <w:tcW w:w="314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140" w:type="dxa"/>
            <w:vAlign w:val="bottom"/>
            <w:tcBorders>
              <w:bottom w:val="single" w:sz="8" w:color="auto"/>
            </w:tcBorders>
            <w:vMerge w:val="continue"/>
          </w:tcPr>
          <w:p>
            <w:pPr>
              <w:spacing w:after="0"/>
              <w:rPr>
                <w:sz w:val="5"/>
                <w:szCs w:val="5"/>
                <w:color w:val="auto"/>
              </w:rPr>
            </w:pPr>
          </w:p>
        </w:tc>
        <w:tc>
          <w:tcPr>
            <w:tcW w:w="820" w:type="dxa"/>
            <w:vAlign w:val="bottom"/>
            <w:tcBorders>
              <w:bottom w:val="single" w:sz="8" w:color="auto"/>
            </w:tcBorders>
            <w:vMerge w:val="continue"/>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Borders>
              <w:bottom w:val="single" w:sz="8" w:color="auto"/>
            </w:tcBorders>
            <w:gridSpan w:val="2"/>
            <w:vMerge w:val="continue"/>
          </w:tcPr>
          <w:p>
            <w:pPr>
              <w:spacing w:after="0"/>
              <w:rPr>
                <w:sz w:val="5"/>
                <w:szCs w:val="5"/>
                <w:color w:val="auto"/>
              </w:rPr>
            </w:pPr>
          </w:p>
        </w:tc>
        <w:tc>
          <w:tcPr>
            <w:tcW w:w="880" w:type="dxa"/>
            <w:vAlign w:val="bottom"/>
            <w:tcBorders>
              <w:bottom w:val="single" w:sz="8" w:color="auto"/>
            </w:tcBorders>
            <w:vMerge w:val="continue"/>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60" w:type="dxa"/>
            <w:vAlign w:val="bottom"/>
            <w:tcBorders>
              <w:bottom w:val="single" w:sz="8" w:color="auto"/>
            </w:tcBorders>
            <w:gridSpan w:val="2"/>
            <w:vMerge w:val="continue"/>
          </w:tcPr>
          <w:p>
            <w:pPr>
              <w:spacing w:after="0"/>
              <w:rPr>
                <w:sz w:val="5"/>
                <w:szCs w:val="5"/>
                <w:color w:val="auto"/>
              </w:rPr>
            </w:pPr>
          </w:p>
        </w:tc>
        <w:tc>
          <w:tcPr>
            <w:tcW w:w="880" w:type="dxa"/>
            <w:vAlign w:val="bottom"/>
            <w:tcBorders>
              <w:bottom w:val="single" w:sz="8" w:color="auto"/>
            </w:tcBorders>
            <w:vMerge w:val="continue"/>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Borders>
              <w:bottom w:val="single" w:sz="8" w:color="auto"/>
            </w:tcBorders>
            <w:gridSpan w:val="2"/>
            <w:vMerge w:val="continue"/>
          </w:tcPr>
          <w:p>
            <w:pPr>
              <w:spacing w:after="0"/>
              <w:rPr>
                <w:sz w:val="5"/>
                <w:szCs w:val="5"/>
                <w:color w:val="auto"/>
              </w:rPr>
            </w:pPr>
          </w:p>
        </w:tc>
        <w:tc>
          <w:tcPr>
            <w:tcW w:w="880" w:type="dxa"/>
            <w:vAlign w:val="bottom"/>
            <w:tcBorders>
              <w:bottom w:val="single" w:sz="8" w:color="auto"/>
            </w:tcBorders>
            <w:vMerge w:val="continue"/>
          </w:tcPr>
          <w:p>
            <w:pPr>
              <w:spacing w:after="0"/>
              <w:rPr>
                <w:sz w:val="5"/>
                <w:szCs w:val="5"/>
                <w:color w:val="auto"/>
              </w:rPr>
            </w:pPr>
          </w:p>
        </w:tc>
        <w:tc>
          <w:tcPr>
            <w:tcW w:w="120" w:type="dxa"/>
            <w:vAlign w:val="bottom"/>
            <w:vMerge w:val="continue"/>
          </w:tcPr>
          <w:p>
            <w:pPr>
              <w:spacing w:after="0"/>
              <w:rPr>
                <w:sz w:val="5"/>
                <w:szCs w:val="5"/>
                <w:color w:val="auto"/>
              </w:rPr>
            </w:pPr>
          </w:p>
        </w:tc>
        <w:tc>
          <w:tcPr>
            <w:tcW w:w="100" w:type="dxa"/>
            <w:vAlign w:val="bottom"/>
            <w:tcBorders>
              <w:bottom w:val="single" w:sz="8" w:color="auto"/>
            </w:tcBorders>
            <w:vMerge w:val="continue"/>
          </w:tcPr>
          <w:p>
            <w:pPr>
              <w:spacing w:after="0"/>
              <w:rPr>
                <w:sz w:val="5"/>
                <w:szCs w:val="5"/>
                <w:color w:val="auto"/>
              </w:rPr>
            </w:pPr>
          </w:p>
        </w:tc>
        <w:tc>
          <w:tcPr>
            <w:tcW w:w="94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3660" w:type="dxa"/>
            <w:vAlign w:val="bottom"/>
            <w:gridSpan w:val="2"/>
          </w:tcPr>
          <w:p>
            <w:pPr>
              <w:spacing w:after="0" w:line="20" w:lineRule="exact"/>
              <w:rPr>
                <w:sz w:val="1"/>
                <w:szCs w:val="1"/>
                <w:color w:val="auto"/>
              </w:rPr>
            </w:pPr>
          </w:p>
        </w:tc>
        <w:tc>
          <w:tcPr>
            <w:tcW w:w="960" w:type="dxa"/>
            <w:vAlign w:val="bottom"/>
            <w:tcBorders>
              <w:bottom w:val="single" w:sz="8" w:color="auto"/>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2"/>
        </w:trPr>
        <w:tc>
          <w:tcPr>
            <w:tcW w:w="7000" w:type="dxa"/>
            <w:vAlign w:val="bottom"/>
            <w:gridSpan w:val="16"/>
          </w:tcPr>
          <w:p>
            <w:pPr>
              <w:ind w:left="3020"/>
              <w:spacing w:after="0"/>
              <w:rPr>
                <w:sz w:val="20"/>
                <w:szCs w:val="20"/>
                <w:color w:val="auto"/>
              </w:rPr>
            </w:pPr>
            <w:r>
              <w:rPr>
                <w:rFonts w:ascii="Arial" w:cs="Arial" w:eastAsia="Arial" w:hAnsi="Arial"/>
                <w:sz w:val="14"/>
                <w:szCs w:val="14"/>
                <w:b w:val="1"/>
                <w:bCs w:val="1"/>
                <w:color w:val="auto"/>
              </w:rPr>
              <w:t>Condensed Consolidating Statement of Cash Flows</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3140" w:type="dxa"/>
            <w:vAlign w:val="bottom"/>
            <w:tcBorders>
              <w:bottom w:val="single" w:sz="8" w:color="auto"/>
            </w:tcBorders>
          </w:tcPr>
          <w:p>
            <w:pPr>
              <w:spacing w:after="0"/>
              <w:rPr>
                <w:sz w:val="17"/>
                <w:szCs w:val="17"/>
                <w:color w:val="auto"/>
              </w:rPr>
            </w:pPr>
          </w:p>
        </w:tc>
        <w:tc>
          <w:tcPr>
            <w:tcW w:w="2880" w:type="dxa"/>
            <w:vAlign w:val="bottom"/>
            <w:tcBorders>
              <w:bottom w:val="single" w:sz="8" w:color="auto"/>
            </w:tcBorders>
            <w:gridSpan w:val="12"/>
          </w:tcPr>
          <w:p>
            <w:pPr>
              <w:jc w:val="right"/>
              <w:spacing w:after="0"/>
              <w:rPr>
                <w:sz w:val="20"/>
                <w:szCs w:val="20"/>
                <w:color w:val="auto"/>
              </w:rPr>
            </w:pPr>
            <w:r>
              <w:rPr>
                <w:rFonts w:ascii="Arial" w:cs="Arial" w:eastAsia="Arial" w:hAnsi="Arial"/>
                <w:sz w:val="14"/>
                <w:szCs w:val="14"/>
                <w:b w:val="1"/>
                <w:bCs w:val="1"/>
                <w:color w:val="auto"/>
                <w:w w:val="96"/>
              </w:rPr>
              <w:t>For the Three Months Ended March 31, 2019</w:t>
            </w:r>
          </w:p>
        </w:tc>
        <w:tc>
          <w:tcPr>
            <w:tcW w:w="88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53"/>
        </w:trPr>
        <w:tc>
          <w:tcPr>
            <w:tcW w:w="3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Matador</w:t>
            </w:r>
          </w:p>
        </w:tc>
        <w:tc>
          <w:tcPr>
            <w:tcW w:w="40" w:type="dxa"/>
            <w:vAlign w:val="bottom"/>
          </w:tcPr>
          <w:p>
            <w:pPr>
              <w:spacing w:after="0"/>
              <w:rPr>
                <w:sz w:val="13"/>
                <w:szCs w:val="13"/>
                <w:color w:val="auto"/>
              </w:rPr>
            </w:pPr>
          </w:p>
        </w:tc>
        <w:tc>
          <w:tcPr>
            <w:tcW w:w="1080" w:type="dxa"/>
            <w:vAlign w:val="bottom"/>
            <w:gridSpan w:val="4"/>
          </w:tcPr>
          <w:p>
            <w:pPr>
              <w:ind w:left="20"/>
              <w:spacing w:after="0" w:line="153" w:lineRule="exact"/>
              <w:rPr>
                <w:sz w:val="20"/>
                <w:szCs w:val="20"/>
                <w:color w:val="auto"/>
              </w:rPr>
            </w:pPr>
            <w:r>
              <w:rPr>
                <w:rFonts w:ascii="Arial" w:cs="Arial" w:eastAsia="Arial" w:hAnsi="Arial"/>
                <w:sz w:val="14"/>
                <w:szCs w:val="14"/>
                <w:b w:val="1"/>
                <w:bCs w:val="1"/>
                <w:color w:val="auto"/>
              </w:rPr>
              <w:t>Non-Guarantor</w:t>
            </w: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gridSpan w:val="3"/>
          </w:tcPr>
          <w:p>
            <w:pPr>
              <w:jc w:val="right"/>
              <w:ind w:right="260"/>
              <w:spacing w:after="0" w:line="153" w:lineRule="exact"/>
              <w:rPr>
                <w:sz w:val="20"/>
                <w:szCs w:val="20"/>
                <w:color w:val="auto"/>
              </w:rPr>
            </w:pPr>
            <w:r>
              <w:rPr>
                <w:rFonts w:ascii="Arial" w:cs="Arial" w:eastAsia="Arial" w:hAnsi="Arial"/>
                <w:sz w:val="14"/>
                <w:szCs w:val="14"/>
                <w:b w:val="1"/>
                <w:bCs w:val="1"/>
                <w:color w:val="auto"/>
              </w:rPr>
              <w:t>Guarantor</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gridSpan w:val="2"/>
          </w:tcPr>
          <w:p>
            <w:pPr>
              <w:ind w:left="20"/>
              <w:spacing w:after="0" w:line="153" w:lineRule="exact"/>
              <w:rPr>
                <w:sz w:val="20"/>
                <w:szCs w:val="20"/>
                <w:color w:val="auto"/>
              </w:rPr>
            </w:pPr>
            <w:r>
              <w:rPr>
                <w:rFonts w:ascii="Arial" w:cs="Arial" w:eastAsia="Arial" w:hAnsi="Arial"/>
                <w:sz w:val="14"/>
                <w:szCs w:val="14"/>
                <w:b w:val="1"/>
                <w:bCs w:val="1"/>
                <w:color w:val="auto"/>
              </w:rPr>
              <w:t>Eliminating</w:t>
            </w:r>
          </w:p>
        </w:tc>
        <w:tc>
          <w:tcPr>
            <w:tcW w:w="100" w:type="dxa"/>
            <w:vAlign w:val="bottom"/>
          </w:tcPr>
          <w:p>
            <w:pPr>
              <w:spacing w:after="0"/>
              <w:rPr>
                <w:sz w:val="13"/>
                <w:szCs w:val="13"/>
                <w:color w:val="auto"/>
              </w:rPr>
            </w:pPr>
          </w:p>
        </w:tc>
        <w:tc>
          <w:tcPr>
            <w:tcW w:w="94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w w:val="90"/>
              </w:rPr>
              <w:t>Consolidated</w:t>
            </w:r>
          </w:p>
        </w:tc>
        <w:tc>
          <w:tcPr>
            <w:tcW w:w="0" w:type="dxa"/>
            <w:vAlign w:val="bottom"/>
          </w:tcPr>
          <w:p>
            <w:pPr>
              <w:spacing w:after="0"/>
              <w:rPr>
                <w:sz w:val="1"/>
                <w:szCs w:val="1"/>
                <w:color w:val="auto"/>
              </w:rPr>
            </w:pPr>
          </w:p>
        </w:tc>
      </w:tr>
      <w:tr>
        <w:trPr>
          <w:trHeight w:val="192"/>
        </w:trPr>
        <w:tc>
          <w:tcPr>
            <w:tcW w:w="314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gridSpan w:val="3"/>
            <w:vMerge w:val="continue"/>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rPr>
              <w:t>Subsidiaries</w:t>
            </w:r>
          </w:p>
        </w:tc>
        <w:tc>
          <w:tcPr>
            <w:tcW w:w="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rPr>
              <w:t>Subsidiaries</w:t>
            </w: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2"/>
          </w:tcPr>
          <w:p>
            <w:pPr>
              <w:ind w:left="160"/>
              <w:spacing w:after="0"/>
              <w:rPr>
                <w:sz w:val="20"/>
                <w:szCs w:val="20"/>
                <w:color w:val="auto"/>
              </w:rPr>
            </w:pPr>
            <w:r>
              <w:rPr>
                <w:rFonts w:ascii="Arial" w:cs="Arial" w:eastAsia="Arial" w:hAnsi="Arial"/>
                <w:sz w:val="14"/>
                <w:szCs w:val="14"/>
                <w:b w:val="1"/>
                <w:bCs w:val="1"/>
                <w:color w:val="auto"/>
              </w:rPr>
              <w:t>Entries</w:t>
            </w:r>
          </w:p>
        </w:tc>
        <w:tc>
          <w:tcPr>
            <w:tcW w:w="1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3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cash (used in) provided by operating activities</w:t>
            </w:r>
          </w:p>
        </w:tc>
        <w:tc>
          <w:tcPr>
            <w:tcW w:w="66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4"/>
                <w:szCs w:val="14"/>
                <w:color w:val="auto"/>
              </w:rPr>
              <w:t>(109)</w:t>
            </w:r>
          </w:p>
        </w:tc>
        <w:tc>
          <w:tcPr>
            <w:tcW w:w="80" w:type="dxa"/>
            <w:vAlign w:val="bottom"/>
            <w:shd w:val="clear" w:color="auto" w:fill="CCEEFF"/>
          </w:tcPr>
          <w:p>
            <w:pPr>
              <w:spacing w:after="0"/>
              <w:rPr>
                <w:sz w:val="16"/>
                <w:szCs w:val="16"/>
                <w:color w:val="auto"/>
              </w:rPr>
            </w:pPr>
          </w:p>
        </w:tc>
        <w:tc>
          <w:tcPr>
            <w:tcW w:w="140" w:type="dxa"/>
            <w:vAlign w:val="bottom"/>
            <w:gridSpan w:val="2"/>
            <w:vMerge w:val="restart"/>
            <w:shd w:val="clear" w:color="auto" w:fill="CCEEFF"/>
          </w:tcPr>
          <w:p>
            <w:pPr>
              <w:ind w:left="60"/>
              <w:spacing w:after="0"/>
              <w:rPr>
                <w:sz w:val="20"/>
                <w:szCs w:val="20"/>
                <w:color w:val="auto"/>
              </w:rPr>
            </w:pPr>
            <w:r>
              <w:rPr>
                <w:rFonts w:ascii="Arial" w:cs="Arial" w:eastAsia="Arial" w:hAnsi="Arial"/>
                <w:sz w:val="14"/>
                <w:szCs w:val="14"/>
                <w:color w:val="auto"/>
                <w:w w:val="76"/>
              </w:rPr>
              <w:t>$</w:t>
            </w: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32,616</w:t>
            </w: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6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26,733</w:t>
            </w: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4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gridSpan w:val="2"/>
            <w:vMerge w:val="restart"/>
            <w:shd w:val="clear" w:color="auto" w:fill="CCEEFF"/>
          </w:tcPr>
          <w:p>
            <w:pPr>
              <w:ind w:left="700"/>
              <w:spacing w:after="0"/>
              <w:rPr>
                <w:sz w:val="20"/>
                <w:szCs w:val="20"/>
                <w:color w:val="auto"/>
              </w:rPr>
            </w:pPr>
            <w:r>
              <w:rPr>
                <w:rFonts w:ascii="Arial" w:cs="Arial" w:eastAsia="Arial" w:hAnsi="Arial"/>
                <w:sz w:val="14"/>
                <w:szCs w:val="14"/>
                <w:color w:val="auto"/>
              </w:rPr>
              <w:t>—</w:t>
            </w: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4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59,240</w:t>
            </w:r>
          </w:p>
        </w:tc>
        <w:tc>
          <w:tcPr>
            <w:tcW w:w="0" w:type="dxa"/>
            <w:vAlign w:val="bottom"/>
          </w:tcPr>
          <w:p>
            <w:pPr>
              <w:spacing w:after="0"/>
              <w:rPr>
                <w:sz w:val="1"/>
                <w:szCs w:val="1"/>
                <w:color w:val="auto"/>
              </w:rPr>
            </w:pPr>
          </w:p>
        </w:tc>
      </w:tr>
      <w:tr>
        <w:trPr>
          <w:trHeight w:val="79"/>
        </w:trPr>
        <w:tc>
          <w:tcPr>
            <w:tcW w:w="3140" w:type="dxa"/>
            <w:vAlign w:val="bottom"/>
            <w:shd w:val="clear" w:color="auto" w:fill="CCEEFF"/>
          </w:tcPr>
          <w:p>
            <w:pPr>
              <w:spacing w:after="0"/>
              <w:rPr>
                <w:sz w:val="6"/>
                <w:szCs w:val="6"/>
                <w:color w:val="auto"/>
              </w:rPr>
            </w:pPr>
          </w:p>
        </w:tc>
        <w:tc>
          <w:tcPr>
            <w:tcW w:w="660" w:type="dxa"/>
            <w:vAlign w:val="bottom"/>
            <w:gridSpan w:val="2"/>
            <w:vMerge w:val="continue"/>
            <w:shd w:val="clear" w:color="auto" w:fill="CCEEFF"/>
          </w:tcPr>
          <w:p>
            <w:pPr>
              <w:spacing w:after="0"/>
              <w:rPr>
                <w:sz w:val="6"/>
                <w:szCs w:val="6"/>
                <w:color w:val="auto"/>
              </w:rPr>
            </w:pPr>
          </w:p>
        </w:tc>
        <w:tc>
          <w:tcPr>
            <w:tcW w:w="860" w:type="dxa"/>
            <w:vAlign w:val="bottom"/>
            <w:gridSpan w:val="2"/>
            <w:vMerge w:val="continue"/>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140" w:type="dxa"/>
            <w:vAlign w:val="bottom"/>
            <w:gridSpan w:val="2"/>
            <w:vMerge w:val="continue"/>
            <w:shd w:val="clear" w:color="auto" w:fill="CCEEFF"/>
          </w:tcPr>
          <w:p>
            <w:pPr>
              <w:spacing w:after="0"/>
              <w:rPr>
                <w:sz w:val="6"/>
                <w:szCs w:val="6"/>
                <w:color w:val="auto"/>
              </w:rPr>
            </w:pPr>
          </w:p>
        </w:tc>
        <w:tc>
          <w:tcPr>
            <w:tcW w:w="880" w:type="dxa"/>
            <w:vAlign w:val="bottom"/>
            <w:vMerge w:val="continue"/>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160" w:type="dxa"/>
            <w:vAlign w:val="bottom"/>
            <w:gridSpan w:val="2"/>
            <w:vMerge w:val="continue"/>
            <w:shd w:val="clear" w:color="auto" w:fill="CCEEFF"/>
          </w:tcPr>
          <w:p>
            <w:pPr>
              <w:spacing w:after="0"/>
              <w:rPr>
                <w:sz w:val="6"/>
                <w:szCs w:val="6"/>
                <w:color w:val="auto"/>
              </w:rPr>
            </w:pPr>
          </w:p>
        </w:tc>
        <w:tc>
          <w:tcPr>
            <w:tcW w:w="880" w:type="dxa"/>
            <w:vAlign w:val="bottom"/>
            <w:vMerge w:val="continue"/>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140" w:type="dxa"/>
            <w:vAlign w:val="bottom"/>
            <w:gridSpan w:val="2"/>
            <w:vMerge w:val="continue"/>
            <w:shd w:val="clear" w:color="auto" w:fill="CCEEFF"/>
          </w:tcPr>
          <w:p>
            <w:pPr>
              <w:spacing w:after="0"/>
              <w:rPr>
                <w:sz w:val="6"/>
                <w:szCs w:val="6"/>
                <w:color w:val="auto"/>
              </w:rPr>
            </w:pPr>
          </w:p>
        </w:tc>
        <w:tc>
          <w:tcPr>
            <w:tcW w:w="1000" w:type="dxa"/>
            <w:vAlign w:val="bottom"/>
            <w:gridSpan w:val="2"/>
            <w:vMerge w:val="continue"/>
            <w:shd w:val="clear" w:color="auto" w:fill="CCEEFF"/>
          </w:tcPr>
          <w:p>
            <w:pPr>
              <w:spacing w:after="0"/>
              <w:rPr>
                <w:sz w:val="6"/>
                <w:szCs w:val="6"/>
                <w:color w:val="auto"/>
              </w:rPr>
            </w:pPr>
          </w:p>
        </w:tc>
        <w:tc>
          <w:tcPr>
            <w:tcW w:w="100" w:type="dxa"/>
            <w:vAlign w:val="bottom"/>
            <w:vMerge w:val="continue"/>
            <w:shd w:val="clear" w:color="auto" w:fill="CCEEFF"/>
          </w:tcPr>
          <w:p>
            <w:pPr>
              <w:spacing w:after="0"/>
              <w:rPr>
                <w:sz w:val="6"/>
                <w:szCs w:val="6"/>
                <w:color w:val="auto"/>
              </w:rPr>
            </w:pPr>
          </w:p>
        </w:tc>
        <w:tc>
          <w:tcPr>
            <w:tcW w:w="94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0"/>
        </w:trPr>
        <w:tc>
          <w:tcPr>
            <w:tcW w:w="3140" w:type="dxa"/>
            <w:vAlign w:val="bottom"/>
          </w:tcPr>
          <w:p>
            <w:pPr>
              <w:ind w:left="20"/>
              <w:spacing w:after="0"/>
              <w:rPr>
                <w:sz w:val="20"/>
                <w:szCs w:val="20"/>
                <w:color w:val="auto"/>
              </w:rPr>
            </w:pPr>
            <w:r>
              <w:rPr>
                <w:rFonts w:ascii="Arial" w:cs="Arial" w:eastAsia="Arial" w:hAnsi="Arial"/>
                <w:sz w:val="14"/>
                <w:szCs w:val="14"/>
                <w:color w:val="auto"/>
              </w:rPr>
              <w:t>Net cash used in investing activities</w:t>
            </w:r>
          </w:p>
        </w:tc>
        <w:tc>
          <w:tcPr>
            <w:tcW w:w="5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gridSpan w:val="3"/>
            <w:vMerge w:val="restart"/>
          </w:tcPr>
          <w:p>
            <w:pPr>
              <w:jc w:val="right"/>
              <w:ind w:right="16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gridSpan w:val="2"/>
            <w:vMerge w:val="restart"/>
          </w:tcPr>
          <w:p>
            <w:pPr>
              <w:jc w:val="right"/>
              <w:ind w:right="40"/>
              <w:spacing w:after="0"/>
              <w:rPr>
                <w:sz w:val="20"/>
                <w:szCs w:val="20"/>
                <w:color w:val="auto"/>
              </w:rPr>
            </w:pPr>
            <w:r>
              <w:rPr>
                <w:rFonts w:ascii="Arial" w:cs="Arial" w:eastAsia="Arial" w:hAnsi="Arial"/>
                <w:sz w:val="14"/>
                <w:szCs w:val="14"/>
                <w:color w:val="auto"/>
              </w:rPr>
              <w:t>(29,988)</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gridSpan w:val="2"/>
            <w:vMerge w:val="restart"/>
          </w:tcPr>
          <w:p>
            <w:pPr>
              <w:jc w:val="right"/>
              <w:ind w:right="40"/>
              <w:spacing w:after="0"/>
              <w:rPr>
                <w:sz w:val="20"/>
                <w:szCs w:val="20"/>
                <w:color w:val="auto"/>
              </w:rPr>
            </w:pPr>
            <w:r>
              <w:rPr>
                <w:rFonts w:ascii="Arial" w:cs="Arial" w:eastAsia="Arial" w:hAnsi="Arial"/>
                <w:sz w:val="14"/>
                <w:szCs w:val="14"/>
                <w:color w:val="auto"/>
              </w:rPr>
              <w:t>(184,892)</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gridSpan w:val="2"/>
            <w:vMerge w:val="restart"/>
          </w:tcPr>
          <w:p>
            <w:pPr>
              <w:ind w:left="7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940" w:type="dxa"/>
            <w:vAlign w:val="bottom"/>
            <w:vMerge w:val="restart"/>
          </w:tcPr>
          <w:p>
            <w:pPr>
              <w:jc w:val="right"/>
              <w:spacing w:after="0"/>
              <w:rPr>
                <w:sz w:val="20"/>
                <w:szCs w:val="20"/>
                <w:color w:val="auto"/>
              </w:rPr>
            </w:pPr>
            <w:r>
              <w:rPr>
                <w:rFonts w:ascii="Arial" w:cs="Arial" w:eastAsia="Arial" w:hAnsi="Arial"/>
                <w:sz w:val="14"/>
                <w:szCs w:val="14"/>
                <w:color w:val="auto"/>
              </w:rPr>
              <w:t>(214,880)</w:t>
            </w:r>
          </w:p>
        </w:tc>
        <w:tc>
          <w:tcPr>
            <w:tcW w:w="0" w:type="dxa"/>
            <w:vAlign w:val="bottom"/>
          </w:tcPr>
          <w:p>
            <w:pPr>
              <w:spacing w:after="0"/>
              <w:rPr>
                <w:sz w:val="1"/>
                <w:szCs w:val="1"/>
                <w:color w:val="auto"/>
              </w:rPr>
            </w:pPr>
          </w:p>
        </w:tc>
      </w:tr>
      <w:tr>
        <w:trPr>
          <w:trHeight w:val="74"/>
        </w:trPr>
        <w:tc>
          <w:tcPr>
            <w:tcW w:w="3140" w:type="dxa"/>
            <w:vAlign w:val="bottom"/>
          </w:tcPr>
          <w:p>
            <w:pPr>
              <w:spacing w:after="0"/>
              <w:rPr>
                <w:sz w:val="6"/>
                <w:szCs w:val="6"/>
                <w:color w:val="auto"/>
              </w:rPr>
            </w:pPr>
          </w:p>
        </w:tc>
        <w:tc>
          <w:tcPr>
            <w:tcW w:w="520" w:type="dxa"/>
            <w:vAlign w:val="bottom"/>
          </w:tcPr>
          <w:p>
            <w:pPr>
              <w:spacing w:after="0"/>
              <w:rPr>
                <w:sz w:val="6"/>
                <w:szCs w:val="6"/>
                <w:color w:val="auto"/>
              </w:rPr>
            </w:pPr>
          </w:p>
        </w:tc>
        <w:tc>
          <w:tcPr>
            <w:tcW w:w="140" w:type="dxa"/>
            <w:vAlign w:val="bottom"/>
          </w:tcPr>
          <w:p>
            <w:pPr>
              <w:spacing w:after="0"/>
              <w:rPr>
                <w:sz w:val="6"/>
                <w:szCs w:val="6"/>
                <w:color w:val="auto"/>
              </w:rPr>
            </w:pPr>
          </w:p>
        </w:tc>
        <w:tc>
          <w:tcPr>
            <w:tcW w:w="940" w:type="dxa"/>
            <w:vAlign w:val="bottom"/>
            <w:gridSpan w:val="3"/>
            <w:vMerge w:val="continue"/>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920" w:type="dxa"/>
            <w:vAlign w:val="bottom"/>
            <w:gridSpan w:val="2"/>
            <w:vMerge w:val="continue"/>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920" w:type="dxa"/>
            <w:vAlign w:val="bottom"/>
            <w:gridSpan w:val="2"/>
            <w:vMerge w:val="continue"/>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9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6"/>
        </w:trPr>
        <w:tc>
          <w:tcPr>
            <w:tcW w:w="3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cash provided by financing activities</w:t>
            </w:r>
          </w:p>
        </w:tc>
        <w:tc>
          <w:tcPr>
            <w:tcW w:w="5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80" w:type="dxa"/>
            <w:vAlign w:val="bottom"/>
            <w:vMerge w:val="restart"/>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3,968</w:t>
            </w: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114,400</w:t>
            </w: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vMerge w:val="restart"/>
            <w:shd w:val="clear" w:color="auto" w:fill="CCEEFF"/>
          </w:tcPr>
          <w:p>
            <w:pPr>
              <w:ind w:left="700"/>
              <w:spacing w:after="0"/>
              <w:rPr>
                <w:sz w:val="20"/>
                <w:szCs w:val="20"/>
                <w:color w:val="auto"/>
              </w:rPr>
            </w:pPr>
            <w:r>
              <w:rPr>
                <w:rFonts w:ascii="Arial" w:cs="Arial" w:eastAsia="Arial" w:hAnsi="Arial"/>
                <w:sz w:val="14"/>
                <w:szCs w:val="14"/>
                <w:color w:val="auto"/>
              </w:rPr>
              <w:t>—</w:t>
            </w:r>
          </w:p>
        </w:tc>
        <w:tc>
          <w:tcPr>
            <w:tcW w:w="120" w:type="dxa"/>
            <w:vAlign w:val="bottom"/>
            <w:vMerge w:val="restart"/>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118,368</w:t>
            </w:r>
          </w:p>
        </w:tc>
        <w:tc>
          <w:tcPr>
            <w:tcW w:w="0" w:type="dxa"/>
            <w:vAlign w:val="bottom"/>
          </w:tcPr>
          <w:p>
            <w:pPr>
              <w:spacing w:after="0"/>
              <w:rPr>
                <w:sz w:val="1"/>
                <w:szCs w:val="1"/>
                <w:color w:val="auto"/>
              </w:rPr>
            </w:pPr>
          </w:p>
        </w:tc>
      </w:tr>
      <w:tr>
        <w:trPr>
          <w:trHeight w:val="80"/>
        </w:trPr>
        <w:tc>
          <w:tcPr>
            <w:tcW w:w="3140" w:type="dxa"/>
            <w:vAlign w:val="bottom"/>
            <w:shd w:val="clear" w:color="auto" w:fill="CCEEFF"/>
          </w:tcPr>
          <w:p>
            <w:pPr>
              <w:spacing w:after="0"/>
              <w:rPr>
                <w:sz w:val="6"/>
                <w:szCs w:val="6"/>
                <w:color w:val="auto"/>
              </w:rPr>
            </w:pPr>
          </w:p>
        </w:tc>
        <w:tc>
          <w:tcPr>
            <w:tcW w:w="520" w:type="dxa"/>
            <w:vAlign w:val="bottom"/>
            <w:shd w:val="clear" w:color="auto" w:fill="CCEEFF"/>
          </w:tcPr>
          <w:p>
            <w:pPr>
              <w:spacing w:after="0"/>
              <w:rPr>
                <w:sz w:val="6"/>
                <w:szCs w:val="6"/>
                <w:color w:val="auto"/>
              </w:rPr>
            </w:pPr>
          </w:p>
        </w:tc>
        <w:tc>
          <w:tcPr>
            <w:tcW w:w="140" w:type="dxa"/>
            <w:vAlign w:val="bottom"/>
            <w:tcBorders>
              <w:bottom w:val="single" w:sz="8" w:color="auto"/>
            </w:tcBorders>
            <w:shd w:val="clear" w:color="auto" w:fill="CCEEFF"/>
          </w:tcPr>
          <w:p>
            <w:pPr>
              <w:spacing w:after="0"/>
              <w:rPr>
                <w:sz w:val="6"/>
                <w:szCs w:val="6"/>
                <w:color w:val="auto"/>
              </w:rPr>
            </w:pPr>
          </w:p>
        </w:tc>
        <w:tc>
          <w:tcPr>
            <w:tcW w:w="860" w:type="dxa"/>
            <w:vAlign w:val="bottom"/>
            <w:tcBorders>
              <w:bottom w:val="single" w:sz="8" w:color="auto"/>
            </w:tcBorders>
            <w:gridSpan w:val="2"/>
            <w:vMerge w:val="continue"/>
            <w:shd w:val="clear" w:color="auto" w:fill="CCEEFF"/>
          </w:tcPr>
          <w:p>
            <w:pPr>
              <w:spacing w:after="0"/>
              <w:rPr>
                <w:sz w:val="6"/>
                <w:szCs w:val="6"/>
                <w:color w:val="auto"/>
              </w:rPr>
            </w:pPr>
          </w:p>
        </w:tc>
        <w:tc>
          <w:tcPr>
            <w:tcW w:w="80" w:type="dxa"/>
            <w:vAlign w:val="bottom"/>
            <w:vMerge w:val="continue"/>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100" w:type="dxa"/>
            <w:vAlign w:val="bottom"/>
            <w:tcBorders>
              <w:bottom w:val="single" w:sz="8" w:color="auto"/>
            </w:tcBorders>
            <w:shd w:val="clear" w:color="auto" w:fill="CCEEFF"/>
          </w:tcPr>
          <w:p>
            <w:pPr>
              <w:spacing w:after="0"/>
              <w:rPr>
                <w:sz w:val="6"/>
                <w:szCs w:val="6"/>
                <w:color w:val="auto"/>
              </w:rPr>
            </w:pPr>
          </w:p>
        </w:tc>
        <w:tc>
          <w:tcPr>
            <w:tcW w:w="880" w:type="dxa"/>
            <w:vAlign w:val="bottom"/>
            <w:tcBorders>
              <w:bottom w:val="single" w:sz="8" w:color="auto"/>
            </w:tcBorders>
            <w:vMerge w:val="continue"/>
            <w:shd w:val="clear" w:color="auto" w:fill="CCEEFF"/>
          </w:tcPr>
          <w:p>
            <w:pPr>
              <w:spacing w:after="0"/>
              <w:rPr>
                <w:sz w:val="6"/>
                <w:szCs w:val="6"/>
                <w:color w:val="auto"/>
              </w:rPr>
            </w:pPr>
          </w:p>
        </w:tc>
        <w:tc>
          <w:tcPr>
            <w:tcW w:w="40" w:type="dxa"/>
            <w:vAlign w:val="bottom"/>
            <w:tcBorders>
              <w:bottom w:val="single" w:sz="8" w:color="auto"/>
            </w:tcBorders>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120" w:type="dxa"/>
            <w:vAlign w:val="bottom"/>
            <w:tcBorders>
              <w:bottom w:val="single" w:sz="8" w:color="auto"/>
            </w:tcBorders>
            <w:shd w:val="clear" w:color="auto" w:fill="CCEEFF"/>
          </w:tcPr>
          <w:p>
            <w:pPr>
              <w:spacing w:after="0"/>
              <w:rPr>
                <w:sz w:val="6"/>
                <w:szCs w:val="6"/>
                <w:color w:val="auto"/>
              </w:rPr>
            </w:pPr>
          </w:p>
        </w:tc>
        <w:tc>
          <w:tcPr>
            <w:tcW w:w="880" w:type="dxa"/>
            <w:vAlign w:val="bottom"/>
            <w:tcBorders>
              <w:bottom w:val="single" w:sz="8" w:color="auto"/>
            </w:tcBorders>
            <w:vMerge w:val="continue"/>
            <w:shd w:val="clear" w:color="auto" w:fill="CCEEFF"/>
          </w:tcPr>
          <w:p>
            <w:pPr>
              <w:spacing w:after="0"/>
              <w:rPr>
                <w:sz w:val="6"/>
                <w:szCs w:val="6"/>
                <w:color w:val="auto"/>
              </w:rPr>
            </w:pPr>
          </w:p>
        </w:tc>
        <w:tc>
          <w:tcPr>
            <w:tcW w:w="40" w:type="dxa"/>
            <w:vAlign w:val="bottom"/>
            <w:tcBorders>
              <w:bottom w:val="single" w:sz="8" w:color="auto"/>
            </w:tcBorders>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100" w:type="dxa"/>
            <w:vAlign w:val="bottom"/>
            <w:tcBorders>
              <w:bottom w:val="single" w:sz="8" w:color="auto"/>
            </w:tcBorders>
            <w:shd w:val="clear" w:color="auto" w:fill="CCEEFF"/>
          </w:tcPr>
          <w:p>
            <w:pPr>
              <w:spacing w:after="0"/>
              <w:rPr>
                <w:sz w:val="6"/>
                <w:szCs w:val="6"/>
                <w:color w:val="auto"/>
              </w:rPr>
            </w:pPr>
          </w:p>
        </w:tc>
        <w:tc>
          <w:tcPr>
            <w:tcW w:w="88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vMerge w:val="continue"/>
            <w:shd w:val="clear" w:color="auto" w:fill="CCEEFF"/>
          </w:tcPr>
          <w:p>
            <w:pPr>
              <w:spacing w:after="0"/>
              <w:rPr>
                <w:sz w:val="6"/>
                <w:szCs w:val="6"/>
                <w:color w:val="auto"/>
              </w:rPr>
            </w:pPr>
          </w:p>
        </w:tc>
        <w:tc>
          <w:tcPr>
            <w:tcW w:w="100" w:type="dxa"/>
            <w:vAlign w:val="bottom"/>
            <w:tcBorders>
              <w:bottom w:val="single" w:sz="8" w:color="auto"/>
            </w:tcBorders>
            <w:shd w:val="clear" w:color="auto" w:fill="CCEEFF"/>
          </w:tcPr>
          <w:p>
            <w:pPr>
              <w:spacing w:after="0"/>
              <w:rPr>
                <w:sz w:val="6"/>
                <w:szCs w:val="6"/>
                <w:color w:val="auto"/>
              </w:rPr>
            </w:pPr>
          </w:p>
        </w:tc>
        <w:tc>
          <w:tcPr>
            <w:tcW w:w="94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0"/>
        </w:trPr>
        <w:tc>
          <w:tcPr>
            <w:tcW w:w="3140" w:type="dxa"/>
            <w:vAlign w:val="bottom"/>
          </w:tcPr>
          <w:p>
            <w:pPr>
              <w:ind w:left="360"/>
              <w:spacing w:after="0"/>
              <w:rPr>
                <w:sz w:val="20"/>
                <w:szCs w:val="20"/>
                <w:color w:val="auto"/>
              </w:rPr>
            </w:pPr>
            <w:r>
              <w:rPr>
                <w:rFonts w:ascii="Arial" w:cs="Arial" w:eastAsia="Arial" w:hAnsi="Arial"/>
                <w:sz w:val="14"/>
                <w:szCs w:val="14"/>
                <w:color w:val="auto"/>
                <w:w w:val="92"/>
              </w:rPr>
              <w:t>(Decrease) Increase in cash and restricted cash</w:t>
            </w:r>
          </w:p>
        </w:tc>
        <w:tc>
          <w:tcPr>
            <w:tcW w:w="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gridSpan w:val="2"/>
            <w:vMerge w:val="restart"/>
          </w:tcPr>
          <w:p>
            <w:pPr>
              <w:jc w:val="right"/>
              <w:ind w:right="40"/>
              <w:spacing w:after="0"/>
              <w:rPr>
                <w:sz w:val="20"/>
                <w:szCs w:val="20"/>
                <w:color w:val="auto"/>
              </w:rPr>
            </w:pPr>
            <w:r>
              <w:rPr>
                <w:rFonts w:ascii="Arial" w:cs="Arial" w:eastAsia="Arial" w:hAnsi="Arial"/>
                <w:sz w:val="14"/>
                <w:szCs w:val="14"/>
                <w:color w:val="auto"/>
              </w:rPr>
              <w:t>(109)</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vMerge w:val="restart"/>
          </w:tcPr>
          <w:p>
            <w:pPr>
              <w:jc w:val="right"/>
              <w:spacing w:after="0"/>
              <w:rPr>
                <w:sz w:val="20"/>
                <w:szCs w:val="20"/>
                <w:color w:val="auto"/>
              </w:rPr>
            </w:pPr>
            <w:r>
              <w:rPr>
                <w:rFonts w:ascii="Arial" w:cs="Arial" w:eastAsia="Arial" w:hAnsi="Arial"/>
                <w:sz w:val="14"/>
                <w:szCs w:val="14"/>
                <w:color w:val="auto"/>
              </w:rPr>
              <w:t>6,596</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2"/>
            <w:vMerge w:val="restart"/>
          </w:tcPr>
          <w:p>
            <w:pPr>
              <w:jc w:val="right"/>
              <w:ind w:right="40"/>
              <w:spacing w:after="0"/>
              <w:rPr>
                <w:sz w:val="20"/>
                <w:szCs w:val="20"/>
                <w:color w:val="auto"/>
              </w:rPr>
            </w:pPr>
            <w:r>
              <w:rPr>
                <w:rFonts w:ascii="Arial" w:cs="Arial" w:eastAsia="Arial" w:hAnsi="Arial"/>
                <w:sz w:val="14"/>
                <w:szCs w:val="14"/>
                <w:color w:val="auto"/>
              </w:rPr>
              <w:t>(43,759)</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vMerge w:val="restart"/>
          </w:tcPr>
          <w:p>
            <w:pPr>
              <w:ind w:left="7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940" w:type="dxa"/>
            <w:vAlign w:val="bottom"/>
            <w:vMerge w:val="restart"/>
          </w:tcPr>
          <w:p>
            <w:pPr>
              <w:jc w:val="right"/>
              <w:spacing w:after="0"/>
              <w:rPr>
                <w:sz w:val="20"/>
                <w:szCs w:val="20"/>
                <w:color w:val="auto"/>
              </w:rPr>
            </w:pPr>
            <w:r>
              <w:rPr>
                <w:rFonts w:ascii="Arial" w:cs="Arial" w:eastAsia="Arial" w:hAnsi="Arial"/>
                <w:sz w:val="14"/>
                <w:szCs w:val="14"/>
                <w:color w:val="auto"/>
              </w:rPr>
              <w:t>(37,272)</w:t>
            </w:r>
          </w:p>
        </w:tc>
        <w:tc>
          <w:tcPr>
            <w:tcW w:w="0" w:type="dxa"/>
            <w:vAlign w:val="bottom"/>
          </w:tcPr>
          <w:p>
            <w:pPr>
              <w:spacing w:after="0"/>
              <w:rPr>
                <w:sz w:val="1"/>
                <w:szCs w:val="1"/>
                <w:color w:val="auto"/>
              </w:rPr>
            </w:pPr>
          </w:p>
        </w:tc>
      </w:tr>
      <w:tr>
        <w:trPr>
          <w:trHeight w:val="74"/>
        </w:trPr>
        <w:tc>
          <w:tcPr>
            <w:tcW w:w="3140" w:type="dxa"/>
            <w:vAlign w:val="bottom"/>
          </w:tcPr>
          <w:p>
            <w:pPr>
              <w:spacing w:after="0"/>
              <w:rPr>
                <w:sz w:val="6"/>
                <w:szCs w:val="6"/>
                <w:color w:val="auto"/>
              </w:rPr>
            </w:pPr>
          </w:p>
        </w:tc>
        <w:tc>
          <w:tcPr>
            <w:tcW w:w="520" w:type="dxa"/>
            <w:vAlign w:val="bottom"/>
          </w:tcPr>
          <w:p>
            <w:pPr>
              <w:spacing w:after="0"/>
              <w:rPr>
                <w:sz w:val="6"/>
                <w:szCs w:val="6"/>
                <w:color w:val="auto"/>
              </w:rPr>
            </w:pPr>
          </w:p>
        </w:tc>
        <w:tc>
          <w:tcPr>
            <w:tcW w:w="140" w:type="dxa"/>
            <w:vAlign w:val="bottom"/>
          </w:tcPr>
          <w:p>
            <w:pPr>
              <w:spacing w:after="0"/>
              <w:rPr>
                <w:sz w:val="6"/>
                <w:szCs w:val="6"/>
                <w:color w:val="auto"/>
              </w:rPr>
            </w:pPr>
          </w:p>
        </w:tc>
        <w:tc>
          <w:tcPr>
            <w:tcW w:w="860" w:type="dxa"/>
            <w:vAlign w:val="bottom"/>
            <w:gridSpan w:val="2"/>
            <w:vMerge w:val="continue"/>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88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920" w:type="dxa"/>
            <w:vAlign w:val="bottom"/>
            <w:gridSpan w:val="2"/>
            <w:vMerge w:val="continue"/>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9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6"/>
        </w:trPr>
        <w:tc>
          <w:tcPr>
            <w:tcW w:w="3140" w:type="dxa"/>
            <w:vAlign w:val="bottom"/>
            <w:shd w:val="clear" w:color="auto" w:fill="CCEEFF"/>
          </w:tcPr>
          <w:p>
            <w:pPr>
              <w:ind w:left="360"/>
              <w:spacing w:after="0"/>
              <w:rPr>
                <w:sz w:val="20"/>
                <w:szCs w:val="20"/>
                <w:color w:val="auto"/>
              </w:rPr>
            </w:pPr>
            <w:r>
              <w:rPr>
                <w:rFonts w:ascii="Arial" w:cs="Arial" w:eastAsia="Arial" w:hAnsi="Arial"/>
                <w:sz w:val="14"/>
                <w:szCs w:val="14"/>
                <w:color w:val="auto"/>
                <w:w w:val="94"/>
              </w:rPr>
              <w:t>Cash and restricted cash at beginning of period</w:t>
            </w:r>
          </w:p>
        </w:tc>
        <w:tc>
          <w:tcPr>
            <w:tcW w:w="5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456</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18,840</w:t>
            </w: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64,688</w:t>
            </w: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vMerge w:val="restart"/>
            <w:shd w:val="clear" w:color="auto" w:fill="CCEEFF"/>
          </w:tcPr>
          <w:p>
            <w:pPr>
              <w:ind w:left="700"/>
              <w:spacing w:after="0"/>
              <w:rPr>
                <w:sz w:val="20"/>
                <w:szCs w:val="20"/>
                <w:color w:val="auto"/>
              </w:rPr>
            </w:pPr>
            <w:r>
              <w:rPr>
                <w:rFonts w:ascii="Arial" w:cs="Arial" w:eastAsia="Arial" w:hAnsi="Arial"/>
                <w:sz w:val="14"/>
                <w:szCs w:val="14"/>
                <w:color w:val="auto"/>
              </w:rPr>
              <w:t>—</w:t>
            </w:r>
          </w:p>
        </w:tc>
        <w:tc>
          <w:tcPr>
            <w:tcW w:w="120" w:type="dxa"/>
            <w:vAlign w:val="bottom"/>
            <w:vMerge w:val="restart"/>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83,984</w:t>
            </w:r>
          </w:p>
        </w:tc>
        <w:tc>
          <w:tcPr>
            <w:tcW w:w="0" w:type="dxa"/>
            <w:vAlign w:val="bottom"/>
          </w:tcPr>
          <w:p>
            <w:pPr>
              <w:spacing w:after="0"/>
              <w:rPr>
                <w:sz w:val="1"/>
                <w:szCs w:val="1"/>
                <w:color w:val="auto"/>
              </w:rPr>
            </w:pPr>
          </w:p>
        </w:tc>
      </w:tr>
      <w:tr>
        <w:trPr>
          <w:trHeight w:val="79"/>
        </w:trPr>
        <w:tc>
          <w:tcPr>
            <w:tcW w:w="3140" w:type="dxa"/>
            <w:vAlign w:val="bottom"/>
            <w:shd w:val="clear" w:color="auto" w:fill="CCEEFF"/>
          </w:tcPr>
          <w:p>
            <w:pPr>
              <w:spacing w:after="0"/>
              <w:rPr>
                <w:sz w:val="6"/>
                <w:szCs w:val="6"/>
                <w:color w:val="auto"/>
              </w:rPr>
            </w:pPr>
          </w:p>
        </w:tc>
        <w:tc>
          <w:tcPr>
            <w:tcW w:w="520" w:type="dxa"/>
            <w:vAlign w:val="bottom"/>
            <w:shd w:val="clear" w:color="auto" w:fill="CCEEFF"/>
          </w:tcPr>
          <w:p>
            <w:pPr>
              <w:spacing w:after="0"/>
              <w:rPr>
                <w:sz w:val="6"/>
                <w:szCs w:val="6"/>
                <w:color w:val="auto"/>
              </w:rPr>
            </w:pPr>
          </w:p>
        </w:tc>
        <w:tc>
          <w:tcPr>
            <w:tcW w:w="140" w:type="dxa"/>
            <w:vAlign w:val="bottom"/>
            <w:tcBorders>
              <w:bottom w:val="single" w:sz="8" w:color="auto"/>
            </w:tcBorders>
            <w:shd w:val="clear" w:color="auto" w:fill="CCEEFF"/>
          </w:tcPr>
          <w:p>
            <w:pPr>
              <w:spacing w:after="0"/>
              <w:rPr>
                <w:sz w:val="6"/>
                <w:szCs w:val="6"/>
                <w:color w:val="auto"/>
              </w:rPr>
            </w:pPr>
          </w:p>
        </w:tc>
        <w:tc>
          <w:tcPr>
            <w:tcW w:w="820" w:type="dxa"/>
            <w:vAlign w:val="bottom"/>
            <w:tcBorders>
              <w:bottom w:val="single" w:sz="8" w:color="auto"/>
            </w:tcBorders>
            <w:vMerge w:val="continue"/>
            <w:shd w:val="clear" w:color="auto" w:fill="CCEEFF"/>
          </w:tcPr>
          <w:p>
            <w:pPr>
              <w:spacing w:after="0"/>
              <w:rPr>
                <w:sz w:val="6"/>
                <w:szCs w:val="6"/>
                <w:color w:val="auto"/>
              </w:rPr>
            </w:pPr>
          </w:p>
        </w:tc>
        <w:tc>
          <w:tcPr>
            <w:tcW w:w="40" w:type="dxa"/>
            <w:vAlign w:val="bottom"/>
            <w:tcBorders>
              <w:bottom w:val="single" w:sz="8" w:color="auto"/>
            </w:tcBorders>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100" w:type="dxa"/>
            <w:vAlign w:val="bottom"/>
            <w:tcBorders>
              <w:bottom w:val="single" w:sz="8" w:color="auto"/>
            </w:tcBorders>
            <w:shd w:val="clear" w:color="auto" w:fill="CCEEFF"/>
          </w:tcPr>
          <w:p>
            <w:pPr>
              <w:spacing w:after="0"/>
              <w:rPr>
                <w:sz w:val="6"/>
                <w:szCs w:val="6"/>
                <w:color w:val="auto"/>
              </w:rPr>
            </w:pPr>
          </w:p>
        </w:tc>
        <w:tc>
          <w:tcPr>
            <w:tcW w:w="880" w:type="dxa"/>
            <w:vAlign w:val="bottom"/>
            <w:tcBorders>
              <w:bottom w:val="single" w:sz="8" w:color="auto"/>
            </w:tcBorders>
            <w:vMerge w:val="continue"/>
            <w:shd w:val="clear" w:color="auto" w:fill="CCEEFF"/>
          </w:tcPr>
          <w:p>
            <w:pPr>
              <w:spacing w:after="0"/>
              <w:rPr>
                <w:sz w:val="6"/>
                <w:szCs w:val="6"/>
                <w:color w:val="auto"/>
              </w:rPr>
            </w:pPr>
          </w:p>
        </w:tc>
        <w:tc>
          <w:tcPr>
            <w:tcW w:w="40" w:type="dxa"/>
            <w:vAlign w:val="bottom"/>
            <w:tcBorders>
              <w:bottom w:val="single" w:sz="8" w:color="auto"/>
            </w:tcBorders>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120" w:type="dxa"/>
            <w:vAlign w:val="bottom"/>
            <w:tcBorders>
              <w:bottom w:val="single" w:sz="8" w:color="auto"/>
            </w:tcBorders>
            <w:shd w:val="clear" w:color="auto" w:fill="CCEEFF"/>
          </w:tcPr>
          <w:p>
            <w:pPr>
              <w:spacing w:after="0"/>
              <w:rPr>
                <w:sz w:val="6"/>
                <w:szCs w:val="6"/>
                <w:color w:val="auto"/>
              </w:rPr>
            </w:pPr>
          </w:p>
        </w:tc>
        <w:tc>
          <w:tcPr>
            <w:tcW w:w="880" w:type="dxa"/>
            <w:vAlign w:val="bottom"/>
            <w:tcBorders>
              <w:bottom w:val="single" w:sz="8" w:color="auto"/>
            </w:tcBorders>
            <w:vMerge w:val="continue"/>
            <w:shd w:val="clear" w:color="auto" w:fill="CCEEFF"/>
          </w:tcPr>
          <w:p>
            <w:pPr>
              <w:spacing w:after="0"/>
              <w:rPr>
                <w:sz w:val="6"/>
                <w:szCs w:val="6"/>
                <w:color w:val="auto"/>
              </w:rPr>
            </w:pPr>
          </w:p>
        </w:tc>
        <w:tc>
          <w:tcPr>
            <w:tcW w:w="40" w:type="dxa"/>
            <w:vAlign w:val="bottom"/>
            <w:tcBorders>
              <w:bottom w:val="single" w:sz="8" w:color="auto"/>
            </w:tcBorders>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100" w:type="dxa"/>
            <w:vAlign w:val="bottom"/>
            <w:tcBorders>
              <w:bottom w:val="single" w:sz="8" w:color="auto"/>
            </w:tcBorders>
            <w:shd w:val="clear" w:color="auto" w:fill="CCEEFF"/>
          </w:tcPr>
          <w:p>
            <w:pPr>
              <w:spacing w:after="0"/>
              <w:rPr>
                <w:sz w:val="6"/>
                <w:szCs w:val="6"/>
                <w:color w:val="auto"/>
              </w:rPr>
            </w:pPr>
          </w:p>
        </w:tc>
        <w:tc>
          <w:tcPr>
            <w:tcW w:w="88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vMerge w:val="continue"/>
            <w:shd w:val="clear" w:color="auto" w:fill="CCEEFF"/>
          </w:tcPr>
          <w:p>
            <w:pPr>
              <w:spacing w:after="0"/>
              <w:rPr>
                <w:sz w:val="6"/>
                <w:szCs w:val="6"/>
                <w:color w:val="auto"/>
              </w:rPr>
            </w:pPr>
          </w:p>
        </w:tc>
        <w:tc>
          <w:tcPr>
            <w:tcW w:w="100" w:type="dxa"/>
            <w:vAlign w:val="bottom"/>
            <w:tcBorders>
              <w:bottom w:val="single" w:sz="8" w:color="auto"/>
            </w:tcBorders>
            <w:shd w:val="clear" w:color="auto" w:fill="CCEEFF"/>
          </w:tcPr>
          <w:p>
            <w:pPr>
              <w:spacing w:after="0"/>
              <w:rPr>
                <w:sz w:val="6"/>
                <w:szCs w:val="6"/>
                <w:color w:val="auto"/>
              </w:rPr>
            </w:pPr>
          </w:p>
        </w:tc>
        <w:tc>
          <w:tcPr>
            <w:tcW w:w="94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0"/>
        </w:trPr>
        <w:tc>
          <w:tcPr>
            <w:tcW w:w="3140" w:type="dxa"/>
            <w:vAlign w:val="bottom"/>
          </w:tcPr>
          <w:p>
            <w:pPr>
              <w:ind w:left="360"/>
              <w:spacing w:after="0"/>
              <w:rPr>
                <w:sz w:val="20"/>
                <w:szCs w:val="20"/>
                <w:color w:val="auto"/>
              </w:rPr>
            </w:pPr>
            <w:r>
              <w:rPr>
                <w:rFonts w:ascii="Arial" w:cs="Arial" w:eastAsia="Arial" w:hAnsi="Arial"/>
                <w:sz w:val="14"/>
                <w:szCs w:val="14"/>
                <w:color w:val="auto"/>
              </w:rPr>
              <w:t>Cash and restricted cash at end of period</w:t>
            </w:r>
          </w:p>
        </w:tc>
        <w:tc>
          <w:tcPr>
            <w:tcW w:w="660" w:type="dxa"/>
            <w:vAlign w:val="bottom"/>
            <w:gridSpan w:val="2"/>
            <w:vMerge w:val="restart"/>
          </w:tcPr>
          <w:p>
            <w:pPr>
              <w:jc w:val="right"/>
              <w:spacing w:after="0"/>
              <w:rPr>
                <w:sz w:val="20"/>
                <w:szCs w:val="20"/>
                <w:color w:val="auto"/>
              </w:rPr>
            </w:pPr>
            <w:r>
              <w:rPr>
                <w:rFonts w:ascii="Arial" w:cs="Arial" w:eastAsia="Arial" w:hAnsi="Arial"/>
                <w:sz w:val="14"/>
                <w:szCs w:val="14"/>
                <w:color w:val="auto"/>
              </w:rPr>
              <w:t>$</w:t>
            </w: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347</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gridSpan w:val="2"/>
            <w:vMerge w:val="restart"/>
          </w:tcPr>
          <w:p>
            <w:pPr>
              <w:ind w:left="60"/>
              <w:spacing w:after="0"/>
              <w:rPr>
                <w:sz w:val="20"/>
                <w:szCs w:val="20"/>
                <w:color w:val="auto"/>
              </w:rPr>
            </w:pPr>
            <w:r>
              <w:rPr>
                <w:rFonts w:ascii="Arial" w:cs="Arial" w:eastAsia="Arial" w:hAnsi="Arial"/>
                <w:sz w:val="14"/>
                <w:szCs w:val="14"/>
                <w:color w:val="auto"/>
                <w:w w:val="76"/>
              </w:rPr>
              <w:t>$</w:t>
            </w:r>
          </w:p>
        </w:tc>
        <w:tc>
          <w:tcPr>
            <w:tcW w:w="880" w:type="dxa"/>
            <w:vAlign w:val="bottom"/>
            <w:vMerge w:val="restart"/>
          </w:tcPr>
          <w:p>
            <w:pPr>
              <w:jc w:val="right"/>
              <w:spacing w:after="0"/>
              <w:rPr>
                <w:sz w:val="20"/>
                <w:szCs w:val="20"/>
                <w:color w:val="auto"/>
              </w:rPr>
            </w:pPr>
            <w:r>
              <w:rPr>
                <w:rFonts w:ascii="Arial" w:cs="Arial" w:eastAsia="Arial" w:hAnsi="Arial"/>
                <w:sz w:val="14"/>
                <w:szCs w:val="14"/>
                <w:color w:val="auto"/>
              </w:rPr>
              <w:t>25,436</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gridSpan w:val="2"/>
            <w:vMerge w:val="restart"/>
          </w:tcPr>
          <w:p>
            <w:pPr>
              <w:jc w:val="right"/>
              <w:spacing w:after="0"/>
              <w:rPr>
                <w:sz w:val="20"/>
                <w:szCs w:val="20"/>
                <w:color w:val="auto"/>
              </w:rPr>
            </w:pPr>
            <w:r>
              <w:rPr>
                <w:rFonts w:ascii="Arial" w:cs="Arial" w:eastAsia="Arial" w:hAnsi="Arial"/>
                <w:sz w:val="14"/>
                <w:szCs w:val="14"/>
                <w:color w:val="auto"/>
              </w:rPr>
              <w:t>$</w:t>
            </w:r>
          </w:p>
        </w:tc>
        <w:tc>
          <w:tcPr>
            <w:tcW w:w="880" w:type="dxa"/>
            <w:vAlign w:val="bottom"/>
            <w:vMerge w:val="restart"/>
          </w:tcPr>
          <w:p>
            <w:pPr>
              <w:jc w:val="right"/>
              <w:spacing w:after="0"/>
              <w:rPr>
                <w:sz w:val="20"/>
                <w:szCs w:val="20"/>
                <w:color w:val="auto"/>
              </w:rPr>
            </w:pPr>
            <w:r>
              <w:rPr>
                <w:rFonts w:ascii="Arial" w:cs="Arial" w:eastAsia="Arial" w:hAnsi="Arial"/>
                <w:sz w:val="14"/>
                <w:szCs w:val="14"/>
                <w:color w:val="auto"/>
              </w:rPr>
              <w:t>20,929</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gridSpan w:val="2"/>
            <w:vMerge w:val="restart"/>
          </w:tcPr>
          <w:p>
            <w:pPr>
              <w:jc w:val="right"/>
              <w:spacing w:after="0"/>
              <w:rPr>
                <w:sz w:val="20"/>
                <w:szCs w:val="20"/>
                <w:color w:val="auto"/>
              </w:rPr>
            </w:pPr>
            <w:r>
              <w:rPr>
                <w:rFonts w:ascii="Arial" w:cs="Arial" w:eastAsia="Arial" w:hAnsi="Arial"/>
                <w:sz w:val="14"/>
                <w:szCs w:val="14"/>
                <w:color w:val="auto"/>
              </w:rPr>
              <w:t>$</w:t>
            </w:r>
          </w:p>
        </w:tc>
        <w:tc>
          <w:tcPr>
            <w:tcW w:w="1000" w:type="dxa"/>
            <w:vAlign w:val="bottom"/>
            <w:gridSpan w:val="2"/>
            <w:vMerge w:val="restart"/>
          </w:tcPr>
          <w:p>
            <w:pPr>
              <w:ind w:left="700"/>
              <w:spacing w:after="0"/>
              <w:rPr>
                <w:sz w:val="20"/>
                <w:szCs w:val="20"/>
                <w:color w:val="auto"/>
              </w:rPr>
            </w:pPr>
            <w:r>
              <w:rPr>
                <w:rFonts w:ascii="Arial" w:cs="Arial" w:eastAsia="Arial" w:hAnsi="Arial"/>
                <w:sz w:val="14"/>
                <w:szCs w:val="14"/>
                <w:color w:val="auto"/>
              </w:rPr>
              <w:t>—</w:t>
            </w:r>
          </w:p>
        </w:tc>
        <w:tc>
          <w:tcPr>
            <w:tcW w:w="100" w:type="dxa"/>
            <w:vAlign w:val="bottom"/>
            <w:vMerge w:val="restart"/>
          </w:tcPr>
          <w:p>
            <w:pPr>
              <w:jc w:val="right"/>
              <w:spacing w:after="0"/>
              <w:rPr>
                <w:sz w:val="20"/>
                <w:szCs w:val="20"/>
                <w:color w:val="auto"/>
              </w:rPr>
            </w:pPr>
            <w:r>
              <w:rPr>
                <w:rFonts w:ascii="Arial" w:cs="Arial" w:eastAsia="Arial" w:hAnsi="Arial"/>
                <w:sz w:val="14"/>
                <w:szCs w:val="14"/>
                <w:color w:val="auto"/>
                <w:w w:val="76"/>
              </w:rPr>
              <w:t>$</w:t>
            </w:r>
          </w:p>
        </w:tc>
        <w:tc>
          <w:tcPr>
            <w:tcW w:w="940" w:type="dxa"/>
            <w:vAlign w:val="bottom"/>
            <w:vMerge w:val="restart"/>
          </w:tcPr>
          <w:p>
            <w:pPr>
              <w:jc w:val="right"/>
              <w:ind w:right="8"/>
              <w:spacing w:after="0"/>
              <w:rPr>
                <w:sz w:val="20"/>
                <w:szCs w:val="20"/>
                <w:color w:val="auto"/>
              </w:rPr>
            </w:pPr>
            <w:r>
              <w:rPr>
                <w:rFonts w:ascii="Arial" w:cs="Arial" w:eastAsia="Arial" w:hAnsi="Arial"/>
                <w:sz w:val="14"/>
                <w:szCs w:val="14"/>
                <w:color w:val="auto"/>
              </w:rPr>
              <w:t>46,712</w:t>
            </w:r>
          </w:p>
        </w:tc>
        <w:tc>
          <w:tcPr>
            <w:tcW w:w="0" w:type="dxa"/>
            <w:vAlign w:val="bottom"/>
          </w:tcPr>
          <w:p>
            <w:pPr>
              <w:spacing w:after="0"/>
              <w:rPr>
                <w:sz w:val="1"/>
                <w:szCs w:val="1"/>
                <w:color w:val="auto"/>
              </w:rPr>
            </w:pPr>
          </w:p>
        </w:tc>
      </w:tr>
      <w:tr>
        <w:trPr>
          <w:trHeight w:val="60"/>
        </w:trPr>
        <w:tc>
          <w:tcPr>
            <w:tcW w:w="3140" w:type="dxa"/>
            <w:vAlign w:val="bottom"/>
          </w:tcPr>
          <w:p>
            <w:pPr>
              <w:spacing w:after="0"/>
              <w:rPr>
                <w:sz w:val="5"/>
                <w:szCs w:val="5"/>
                <w:color w:val="auto"/>
              </w:rPr>
            </w:pPr>
          </w:p>
        </w:tc>
        <w:tc>
          <w:tcPr>
            <w:tcW w:w="660" w:type="dxa"/>
            <w:vAlign w:val="bottom"/>
            <w:gridSpan w:val="2"/>
            <w:vMerge w:val="continue"/>
          </w:tcPr>
          <w:p>
            <w:pPr>
              <w:spacing w:after="0"/>
              <w:rPr>
                <w:sz w:val="5"/>
                <w:szCs w:val="5"/>
                <w:color w:val="auto"/>
              </w:rPr>
            </w:pPr>
          </w:p>
        </w:tc>
        <w:tc>
          <w:tcPr>
            <w:tcW w:w="82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gridSpan w:val="2"/>
            <w:vMerge w:val="continue"/>
          </w:tcPr>
          <w:p>
            <w:pPr>
              <w:spacing w:after="0"/>
              <w:rPr>
                <w:sz w:val="5"/>
                <w:szCs w:val="5"/>
                <w:color w:val="auto"/>
              </w:rPr>
            </w:pPr>
          </w:p>
        </w:tc>
        <w:tc>
          <w:tcPr>
            <w:tcW w:w="88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60" w:type="dxa"/>
            <w:vAlign w:val="bottom"/>
            <w:gridSpan w:val="2"/>
            <w:vMerge w:val="continue"/>
          </w:tcPr>
          <w:p>
            <w:pPr>
              <w:spacing w:after="0"/>
              <w:rPr>
                <w:sz w:val="5"/>
                <w:szCs w:val="5"/>
                <w:color w:val="auto"/>
              </w:rPr>
            </w:pPr>
          </w:p>
        </w:tc>
        <w:tc>
          <w:tcPr>
            <w:tcW w:w="88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gridSpan w:val="2"/>
            <w:vMerge w:val="continue"/>
          </w:tcPr>
          <w:p>
            <w:pPr>
              <w:spacing w:after="0"/>
              <w:rPr>
                <w:sz w:val="5"/>
                <w:szCs w:val="5"/>
                <w:color w:val="auto"/>
              </w:rPr>
            </w:pPr>
          </w:p>
        </w:tc>
        <w:tc>
          <w:tcPr>
            <w:tcW w:w="1000" w:type="dxa"/>
            <w:vAlign w:val="bottom"/>
            <w:gridSpan w:val="2"/>
            <w:vMerge w:val="continue"/>
          </w:tcPr>
          <w:p>
            <w:pPr>
              <w:spacing w:after="0"/>
              <w:rPr>
                <w:sz w:val="5"/>
                <w:szCs w:val="5"/>
                <w:color w:val="auto"/>
              </w:rPr>
            </w:pPr>
          </w:p>
        </w:tc>
        <w:tc>
          <w:tcPr>
            <w:tcW w:w="10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3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180"/>
          </w:cols>
          <w:pgMar w:left="1360" w:top="121" w:right="1359" w:bottom="0" w:gutter="0" w:footer="0" w:header="0"/>
          <w:type w:val="continuous"/>
        </w:sect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w:t>
      </w:r>
    </w:p>
    <w:p>
      <w:pPr>
        <w:sectPr>
          <w:pgSz w:w="11900" w:h="16838" w:orient="portrait"/>
          <w:cols w:equalWidth="0" w:num="1">
            <w:col w:w="9180"/>
          </w:cols>
          <w:pgMar w:left="1360" w:top="121" w:right="1359" w:bottom="0" w:gutter="0" w:footer="0" w:header="0"/>
          <w:type w:val="continuous"/>
        </w:sectPr>
      </w:pPr>
    </w:p>
    <w:bookmarkStart w:id="20" w:name="page21"/>
    <w:bookmarkEnd w:id="2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21" w:lineRule="exact"/>
        <w:rPr>
          <w:sz w:val="20"/>
          <w:szCs w:val="20"/>
          <w:color w:val="auto"/>
        </w:rPr>
      </w:pPr>
    </w:p>
    <w:p>
      <w:pPr>
        <w:ind w:firstLine="432"/>
        <w:spacing w:after="0" w:line="290" w:lineRule="auto"/>
        <w:rPr>
          <w:sz w:val="20"/>
          <w:szCs w:val="20"/>
          <w:color w:val="auto"/>
        </w:rPr>
      </w:pPr>
      <w:r>
        <w:rPr>
          <w:rFonts w:ascii="Arial" w:cs="Arial" w:eastAsia="Arial" w:hAnsi="Arial"/>
          <w:sz w:val="16"/>
          <w:szCs w:val="16"/>
          <w:i w:val="1"/>
          <w:iCs w:val="1"/>
          <w:color w:val="auto"/>
        </w:rPr>
        <w:t xml:space="preserve">The following discussion and analysis of our financial condition and results of operations should be read in conjunction with our interim unaudited condensed consolidated financial statements and related notes thereto contained herein and the consolidated financial statements and related notes thereto contained in our Annual Report on Form 10-K for the year ended December 31, 2019 (the “Annual Report”) filed with the Securities and Exchange Commission (the “SEC”) on March 2, 2020, along with Management’s Discussion and Analysis of Financial Condition and Results of Operations contained in the Annual Report. The Annual Report is accessible on the SEC’s website at </w:t>
      </w:r>
      <w:r>
        <w:rPr>
          <w:rFonts w:ascii="Arial" w:cs="Arial" w:eastAsia="Arial" w:hAnsi="Arial"/>
          <w:sz w:val="16"/>
          <w:szCs w:val="16"/>
          <w:i w:val="1"/>
          <w:iCs w:val="1"/>
          <w:u w:val="single" w:color="auto"/>
          <w:color w:val="auto"/>
        </w:rPr>
        <w:t>www.sec.gov</w:t>
      </w:r>
      <w:r>
        <w:rPr>
          <w:rFonts w:ascii="Arial" w:cs="Arial" w:eastAsia="Arial" w:hAnsi="Arial"/>
          <w:sz w:val="16"/>
          <w:szCs w:val="16"/>
          <w:i w:val="1"/>
          <w:iCs w:val="1"/>
          <w:color w:val="auto"/>
        </w:rPr>
        <w:t xml:space="preserve"> and on our website at </w:t>
      </w:r>
      <w:r>
        <w:rPr>
          <w:rFonts w:ascii="Arial" w:cs="Arial" w:eastAsia="Arial" w:hAnsi="Arial"/>
          <w:sz w:val="16"/>
          <w:szCs w:val="16"/>
          <w:i w:val="1"/>
          <w:iCs w:val="1"/>
          <w:u w:val="single" w:color="auto"/>
          <w:color w:val="auto"/>
        </w:rPr>
        <w:t>www.matadorresources.com</w:t>
      </w:r>
      <w:r>
        <w:rPr>
          <w:rFonts w:ascii="Arial" w:cs="Arial" w:eastAsia="Arial" w:hAnsi="Arial"/>
          <w:sz w:val="16"/>
          <w:szCs w:val="16"/>
          <w:i w:val="1"/>
          <w:iCs w:val="1"/>
          <w:color w:val="auto"/>
        </w:rPr>
        <w:t>. Our discussion and analysis includes forward-looking information that involves risks and uncertainties and should be read in conjunction with the “Risk Factors” section of the Annual Report and the section entitled “Cautionary Note Regarding Forward-Looking Statements” below for information about the risks and uncertainties that could cause our actual results to be materially different than our forward-looking statements.</w:t>
      </w:r>
    </w:p>
    <w:p>
      <w:pPr>
        <w:spacing w:after="0" w:line="57" w:lineRule="exact"/>
        <w:rPr>
          <w:sz w:val="20"/>
          <w:szCs w:val="20"/>
          <w:color w:val="auto"/>
        </w:rPr>
      </w:pPr>
    </w:p>
    <w:p>
      <w:pPr>
        <w:ind w:right="20" w:firstLine="432"/>
        <w:spacing w:after="0" w:line="257" w:lineRule="auto"/>
        <w:rPr>
          <w:sz w:val="20"/>
          <w:szCs w:val="20"/>
          <w:color w:val="auto"/>
        </w:rPr>
      </w:pPr>
      <w:r>
        <w:rPr>
          <w:rFonts w:ascii="Arial" w:cs="Arial" w:eastAsia="Arial" w:hAnsi="Arial"/>
          <w:sz w:val="18"/>
          <w:szCs w:val="18"/>
          <w:i w:val="1"/>
          <w:iCs w:val="1"/>
          <w:color w:val="auto"/>
        </w:rPr>
        <w:t>In this Quarterly Report on Form 10-Q (the “Quarterly Report”), (i) references to “we,” “our” or the “Company” refer to Matador Resources Company and its subsidiaries as a whole (unless the context indicates otherwise), (ii) references to “Matador” refer solely to Matador Resources Company and (iii) references to “San Mateo” refer to San Mateo Midstream, LLC (“San Mateo I”) together with San Mateo Midstream II, LLC (“San Mateo II”). For certain oil and natural gas terms used in this Quarterly Report, please see the “Glossary of Oil and Natural Gas Terms” included with the Annual Report.</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121" w:lineRule="exact"/>
        <w:rPr>
          <w:sz w:val="20"/>
          <w:szCs w:val="20"/>
          <w:color w:val="auto"/>
        </w:rPr>
      </w:pPr>
    </w:p>
    <w:p>
      <w:pPr>
        <w:ind w:right="40" w:firstLine="432"/>
        <w:spacing w:after="0" w:line="255" w:lineRule="auto"/>
        <w:rPr>
          <w:sz w:val="20"/>
          <w:szCs w:val="20"/>
          <w:color w:val="auto"/>
        </w:rPr>
      </w:pPr>
      <w:r>
        <w:rPr>
          <w:rFonts w:ascii="Arial" w:cs="Arial" w:eastAsia="Arial" w:hAnsi="Arial"/>
          <w:sz w:val="18"/>
          <w:szCs w:val="18"/>
          <w:color w:val="auto"/>
        </w:rPr>
        <w:t>Certain statements in this Quarterly Report constitute “forward-looking statements” within the meaning of Section 27A of the Securities Act of 1933, as amended (the “Securities Act”), and Section 21E of the Securities Exchange Act of 1934, as amended (the “Exchange Act”). Additionally, forward-looking statements may be made orally or in press releases, conferences, reports, on our website or otherwise, in the future by us or on our behalf. Such statements are generally identifiable by the terminology used such as “anticipate,” “believe,” “continue,” “could,” “estimate,” “expect,” “forecasted,” “hypothetical,” “intend,” “may,” “might,” “plan,” “potential,” “predict,” “project,” “should,” “would” or other similar words, although not all forward-looking statements contain such identifying words.</w:t>
      </w:r>
    </w:p>
    <w:p>
      <w:pPr>
        <w:spacing w:after="0" w:line="84" w:lineRule="exact"/>
        <w:rPr>
          <w:sz w:val="20"/>
          <w:szCs w:val="20"/>
          <w:color w:val="auto"/>
        </w:rPr>
      </w:pPr>
    </w:p>
    <w:p>
      <w:pPr>
        <w:ind w:right="80" w:firstLine="432"/>
        <w:spacing w:after="0" w:line="286" w:lineRule="auto"/>
        <w:rPr>
          <w:sz w:val="20"/>
          <w:szCs w:val="20"/>
          <w:color w:val="auto"/>
        </w:rPr>
      </w:pPr>
      <w:r>
        <w:rPr>
          <w:rFonts w:ascii="Arial" w:cs="Arial" w:eastAsia="Arial" w:hAnsi="Arial"/>
          <w:sz w:val="16"/>
          <w:szCs w:val="16"/>
          <w:color w:val="auto"/>
        </w:rPr>
        <w:t xml:space="preserve">By their very nature, forward-looking statements require us to make assumptions that may not materialize or that may not be accurate. Forward-looking statements are subject to known and unknown risks and uncertainties and other factors that may cause actual results, levels of activity and achievements to differ materially from those expressed or implied by such statements. Such factors include, among others: </w:t>
      </w:r>
      <w:r>
        <w:rPr>
          <w:rFonts w:ascii="Arial" w:cs="Arial" w:eastAsia="Arial" w:hAnsi="Arial"/>
          <w:sz w:val="16"/>
          <w:szCs w:val="16"/>
          <w:color w:val="0A0A0A"/>
        </w:rPr>
        <w:t>general economic conditions;</w:t>
      </w:r>
      <w:r>
        <w:rPr>
          <w:rFonts w:ascii="Arial" w:cs="Arial" w:eastAsia="Arial" w:hAnsi="Arial"/>
          <w:sz w:val="16"/>
          <w:szCs w:val="16"/>
          <w:color w:val="auto"/>
        </w:rPr>
        <w:t xml:space="preserve"> </w:t>
      </w:r>
      <w:r>
        <w:rPr>
          <w:rFonts w:ascii="Arial" w:cs="Arial" w:eastAsia="Arial" w:hAnsi="Arial"/>
          <w:sz w:val="16"/>
          <w:szCs w:val="16"/>
          <w:color w:val="0A0A0A"/>
        </w:rPr>
        <w:t xml:space="preserve">our ability to execute our business plan, including whether our drilling program is successful; changes in oil, natural gas and natural gas liquids prices and the demand for oil, natural gas and natural gas liquids; our ability to replace reserves and efficiently develop current reserves; costs of operations; delays and other difficulties related to producing oil, natural gas and natural gas liquids; delays and other difficulties related to regulatory and governmental approvals and restrictions; availability of sufficient capital to execute our business plan, including from future cash flows, increases in our borrowing base and otherwise; our ability to make acquisitions on economically acceptable terms; our ability to integrate acquisitions; weather and environmental conditions; the impact of the novel coronavirus pandemic on oil and natural gas demand, oil and natural gas prices and our business; the operating results of San Mateo’s expansion of the Black River cryogenic natural gas processing plant, including the timing of the further expansion of such plant; the timing and operating results of the buildout by San Mateo of oil, natural gas and water gathering and transportation systems and the drilling of any additional salt water disposal wells, including in conjunction with the expansion of San Mateo’s services and assets into new areas in </w:t>
      </w:r>
      <w:r>
        <w:rPr>
          <w:rFonts w:ascii="Arial" w:cs="Arial" w:eastAsia="Arial" w:hAnsi="Arial"/>
          <w:sz w:val="16"/>
          <w:szCs w:val="16"/>
          <w:color w:val="000000"/>
        </w:rPr>
        <w:t>Eddy County, New Mexico</w:t>
      </w:r>
      <w:r>
        <w:rPr>
          <w:rFonts w:ascii="Arial" w:cs="Arial" w:eastAsia="Arial" w:hAnsi="Arial"/>
          <w:sz w:val="16"/>
          <w:szCs w:val="16"/>
          <w:color w:val="0A0A0A"/>
        </w:rPr>
        <w:t xml:space="preserve">; </w:t>
      </w:r>
      <w:r>
        <w:rPr>
          <w:rFonts w:ascii="Arial" w:cs="Arial" w:eastAsia="Arial" w:hAnsi="Arial"/>
          <w:sz w:val="16"/>
          <w:szCs w:val="16"/>
          <w:color w:val="000000"/>
        </w:rPr>
        <w:t>and the</w:t>
      </w:r>
      <w:r>
        <w:rPr>
          <w:rFonts w:ascii="Arial" w:cs="Arial" w:eastAsia="Arial" w:hAnsi="Arial"/>
          <w:sz w:val="16"/>
          <w:szCs w:val="16"/>
          <w:color w:val="0A0A0A"/>
        </w:rPr>
        <w:t xml:space="preserve"> </w:t>
      </w:r>
      <w:r>
        <w:rPr>
          <w:rFonts w:ascii="Arial" w:cs="Arial" w:eastAsia="Arial" w:hAnsi="Arial"/>
          <w:sz w:val="16"/>
          <w:szCs w:val="16"/>
          <w:color w:val="000000"/>
        </w:rPr>
        <w:t>other factors discussed below and elsewhere in this Quarterly Report and in other documents that we file with or furnish to the SEC, all of which are difficult to predict. Forward-looking statements may include statements about:</w:t>
      </w:r>
    </w:p>
    <w:p>
      <w:pPr>
        <w:spacing w:after="0" w:line="63" w:lineRule="exact"/>
        <w:rPr>
          <w:sz w:val="20"/>
          <w:szCs w:val="20"/>
          <w:color w:val="auto"/>
        </w:rPr>
      </w:pPr>
    </w:p>
    <w:p>
      <w:pPr>
        <w:ind w:left="640" w:hanging="322"/>
        <w:spacing w:after="0"/>
        <w:tabs>
          <w:tab w:leader="none" w:pos="6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business strategy;</w:t>
      </w:r>
    </w:p>
    <w:p>
      <w:pPr>
        <w:spacing w:after="0" w:line="23" w:lineRule="exact"/>
        <w:rPr>
          <w:rFonts w:ascii="Arial" w:cs="Arial" w:eastAsia="Arial" w:hAnsi="Arial"/>
          <w:sz w:val="18"/>
          <w:szCs w:val="18"/>
          <w:color w:val="auto"/>
        </w:rPr>
      </w:pPr>
    </w:p>
    <w:p>
      <w:pPr>
        <w:ind w:left="640" w:hanging="322"/>
        <w:spacing w:after="0"/>
        <w:tabs>
          <w:tab w:leader="none" w:pos="640" w:val="left"/>
        </w:tabs>
        <w:numPr>
          <w:ilvl w:val="0"/>
          <w:numId w:val="13"/>
        </w:numPr>
        <w:rPr>
          <w:rFonts w:ascii="Arial" w:cs="Arial" w:eastAsia="Arial" w:hAnsi="Arial"/>
          <w:sz w:val="16"/>
          <w:szCs w:val="16"/>
          <w:color w:val="auto"/>
        </w:rPr>
      </w:pPr>
      <w:r>
        <w:rPr>
          <w:rFonts w:ascii="Arial" w:cs="Arial" w:eastAsia="Arial" w:hAnsi="Arial"/>
          <w:sz w:val="16"/>
          <w:szCs w:val="16"/>
          <w:color w:val="auto"/>
        </w:rPr>
        <w:t>our estimated future reserves and the present value thereof, including whether or to what extent a full-cost ceiling impairment could be realized;</w:t>
      </w:r>
    </w:p>
    <w:p>
      <w:pPr>
        <w:spacing w:after="0" w:line="32" w:lineRule="exact"/>
        <w:rPr>
          <w:rFonts w:ascii="Arial" w:cs="Arial" w:eastAsia="Arial" w:hAnsi="Arial"/>
          <w:sz w:val="16"/>
          <w:szCs w:val="16"/>
          <w:color w:val="auto"/>
        </w:rPr>
      </w:pPr>
    </w:p>
    <w:p>
      <w:pPr>
        <w:ind w:left="640" w:hanging="322"/>
        <w:spacing w:after="0"/>
        <w:tabs>
          <w:tab w:leader="none" w:pos="6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cash flows and liquidity;</w:t>
      </w:r>
    </w:p>
    <w:p>
      <w:pPr>
        <w:spacing w:after="0" w:line="9" w:lineRule="exact"/>
        <w:rPr>
          <w:rFonts w:ascii="Arial" w:cs="Arial" w:eastAsia="Arial" w:hAnsi="Arial"/>
          <w:sz w:val="18"/>
          <w:szCs w:val="18"/>
          <w:color w:val="auto"/>
        </w:rPr>
      </w:pPr>
    </w:p>
    <w:p>
      <w:pPr>
        <w:ind w:left="640" w:hanging="322"/>
        <w:spacing w:after="0"/>
        <w:tabs>
          <w:tab w:leader="none" w:pos="6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financial strategy, budget, projections and operating results;</w:t>
      </w:r>
    </w:p>
    <w:p>
      <w:pPr>
        <w:spacing w:after="0" w:line="9" w:lineRule="exact"/>
        <w:rPr>
          <w:rFonts w:ascii="Arial" w:cs="Arial" w:eastAsia="Arial" w:hAnsi="Arial"/>
          <w:sz w:val="18"/>
          <w:szCs w:val="18"/>
          <w:color w:val="auto"/>
        </w:rPr>
      </w:pPr>
    </w:p>
    <w:p>
      <w:pPr>
        <w:ind w:left="640" w:hanging="322"/>
        <w:spacing w:after="0"/>
        <w:tabs>
          <w:tab w:leader="none" w:pos="6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supply and demand of oil, natural gas and natural gas liquids;</w:t>
      </w:r>
    </w:p>
    <w:p>
      <w:pPr>
        <w:spacing w:after="0" w:line="9" w:lineRule="exact"/>
        <w:rPr>
          <w:rFonts w:ascii="Arial" w:cs="Arial" w:eastAsia="Arial" w:hAnsi="Arial"/>
          <w:sz w:val="18"/>
          <w:szCs w:val="18"/>
          <w:color w:val="auto"/>
        </w:rPr>
      </w:pPr>
    </w:p>
    <w:p>
      <w:pPr>
        <w:ind w:left="640" w:hanging="322"/>
        <w:spacing w:after="0"/>
        <w:tabs>
          <w:tab w:leader="none" w:pos="6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oil, natural gas and natural gas liquids prices, including our realized prices thereof;</w:t>
      </w:r>
    </w:p>
    <w:p>
      <w:pPr>
        <w:spacing w:after="0" w:line="9" w:lineRule="exact"/>
        <w:rPr>
          <w:rFonts w:ascii="Arial" w:cs="Arial" w:eastAsia="Arial" w:hAnsi="Arial"/>
          <w:sz w:val="18"/>
          <w:szCs w:val="18"/>
          <w:color w:val="auto"/>
        </w:rPr>
      </w:pPr>
    </w:p>
    <w:p>
      <w:pPr>
        <w:ind w:left="640" w:hanging="322"/>
        <w:spacing w:after="0"/>
        <w:tabs>
          <w:tab w:leader="none" w:pos="6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timing and amount of future production of oil and natural gas;</w:t>
      </w:r>
    </w:p>
    <w:p>
      <w:pPr>
        <w:spacing w:after="0" w:line="9" w:lineRule="exact"/>
        <w:rPr>
          <w:rFonts w:ascii="Arial" w:cs="Arial" w:eastAsia="Arial" w:hAnsi="Arial"/>
          <w:sz w:val="18"/>
          <w:szCs w:val="18"/>
          <w:color w:val="auto"/>
        </w:rPr>
      </w:pPr>
    </w:p>
    <w:p>
      <w:pPr>
        <w:ind w:left="640" w:hanging="322"/>
        <w:spacing w:after="0"/>
        <w:tabs>
          <w:tab w:leader="none" w:pos="6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availability of drilling and production equipment;</w:t>
      </w:r>
    </w:p>
    <w:p>
      <w:pPr>
        <w:spacing w:after="0" w:line="9" w:lineRule="exact"/>
        <w:rPr>
          <w:rFonts w:ascii="Arial" w:cs="Arial" w:eastAsia="Arial" w:hAnsi="Arial"/>
          <w:sz w:val="18"/>
          <w:szCs w:val="18"/>
          <w:color w:val="auto"/>
        </w:rPr>
      </w:pPr>
    </w:p>
    <w:p>
      <w:pPr>
        <w:ind w:left="640" w:hanging="322"/>
        <w:spacing w:after="0"/>
        <w:tabs>
          <w:tab w:leader="none" w:pos="6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availability of oil storage capacity;</w:t>
      </w:r>
    </w:p>
    <w:p>
      <w:pPr>
        <w:spacing w:after="0" w:line="9" w:lineRule="exact"/>
        <w:rPr>
          <w:rFonts w:ascii="Arial" w:cs="Arial" w:eastAsia="Arial" w:hAnsi="Arial"/>
          <w:sz w:val="18"/>
          <w:szCs w:val="18"/>
          <w:color w:val="auto"/>
        </w:rPr>
      </w:pPr>
    </w:p>
    <w:p>
      <w:pPr>
        <w:ind w:left="640" w:hanging="322"/>
        <w:spacing w:after="0"/>
        <w:tabs>
          <w:tab w:leader="none" w:pos="6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availability of oil field labor;</w:t>
      </w:r>
    </w:p>
    <w:p>
      <w:pPr>
        <w:spacing w:after="0" w:line="9" w:lineRule="exact"/>
        <w:rPr>
          <w:rFonts w:ascii="Arial" w:cs="Arial" w:eastAsia="Arial" w:hAnsi="Arial"/>
          <w:sz w:val="18"/>
          <w:szCs w:val="18"/>
          <w:color w:val="auto"/>
        </w:rPr>
      </w:pPr>
    </w:p>
    <w:p>
      <w:pPr>
        <w:ind w:left="640" w:hanging="322"/>
        <w:spacing w:after="0"/>
        <w:tabs>
          <w:tab w:leader="none" w:pos="6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amount, nature and timing of capital expenditures, including future exploration and development costs;</w:t>
      </w:r>
    </w:p>
    <w:p>
      <w:pPr>
        <w:spacing w:after="0" w:line="9" w:lineRule="exact"/>
        <w:rPr>
          <w:rFonts w:ascii="Arial" w:cs="Arial" w:eastAsia="Arial" w:hAnsi="Arial"/>
          <w:sz w:val="18"/>
          <w:szCs w:val="18"/>
          <w:color w:val="auto"/>
        </w:rPr>
      </w:pPr>
    </w:p>
    <w:p>
      <w:pPr>
        <w:ind w:left="640" w:hanging="322"/>
        <w:spacing w:after="0"/>
        <w:tabs>
          <w:tab w:leader="none" w:pos="6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availability and terms of capital;</w:t>
      </w:r>
    </w:p>
    <w:p>
      <w:pPr>
        <w:spacing w:after="0" w:line="9" w:lineRule="exact"/>
        <w:rPr>
          <w:rFonts w:ascii="Arial" w:cs="Arial" w:eastAsia="Arial" w:hAnsi="Arial"/>
          <w:sz w:val="18"/>
          <w:szCs w:val="18"/>
          <w:color w:val="auto"/>
        </w:rPr>
      </w:pPr>
    </w:p>
    <w:p>
      <w:pPr>
        <w:ind w:left="640" w:hanging="322"/>
        <w:spacing w:after="0"/>
        <w:tabs>
          <w:tab w:leader="none" w:pos="6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drilling of wells;</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240"/>
          </w:cols>
          <w:pgMar w:left="320" w:top="125" w:right="33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640" w:hanging="322"/>
        <w:spacing w:after="0"/>
        <w:tabs>
          <w:tab w:leader="none" w:pos="6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ability to negotiate and consummate acquisition and divestiture opportunities;</w:t>
      </w:r>
    </w:p>
    <w:p>
      <w:pPr>
        <w:spacing w:after="0" w:line="23" w:lineRule="exact"/>
        <w:rPr>
          <w:rFonts w:ascii="Arial" w:cs="Arial" w:eastAsia="Arial" w:hAnsi="Arial"/>
          <w:sz w:val="18"/>
          <w:szCs w:val="18"/>
          <w:color w:val="auto"/>
        </w:rPr>
      </w:pPr>
    </w:p>
    <w:p>
      <w:pPr>
        <w:ind w:left="640" w:hanging="322"/>
        <w:spacing w:after="0"/>
        <w:tabs>
          <w:tab w:leader="none" w:pos="6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government regulation and taxation of the oil and natural gas industry;</w:t>
      </w:r>
    </w:p>
    <w:p>
      <w:pPr>
        <w:spacing w:after="0" w:line="9" w:lineRule="exact"/>
        <w:rPr>
          <w:rFonts w:ascii="Arial" w:cs="Arial" w:eastAsia="Arial" w:hAnsi="Arial"/>
          <w:sz w:val="18"/>
          <w:szCs w:val="18"/>
          <w:color w:val="auto"/>
        </w:rPr>
      </w:pPr>
    </w:p>
    <w:p>
      <w:pPr>
        <w:ind w:left="640" w:hanging="322"/>
        <w:spacing w:after="0"/>
        <w:tabs>
          <w:tab w:leader="none" w:pos="6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marketing of oil and natural gas;</w:t>
      </w:r>
    </w:p>
    <w:p>
      <w:pPr>
        <w:spacing w:after="0" w:line="9" w:lineRule="exact"/>
        <w:rPr>
          <w:rFonts w:ascii="Arial" w:cs="Arial" w:eastAsia="Arial" w:hAnsi="Arial"/>
          <w:sz w:val="18"/>
          <w:szCs w:val="18"/>
          <w:color w:val="auto"/>
        </w:rPr>
      </w:pPr>
    </w:p>
    <w:p>
      <w:pPr>
        <w:ind w:left="640" w:hanging="322"/>
        <w:spacing w:after="0"/>
        <w:tabs>
          <w:tab w:leader="none" w:pos="6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exploitation projects or property acquisitions;</w:t>
      </w:r>
    </w:p>
    <w:p>
      <w:pPr>
        <w:spacing w:after="0" w:line="9" w:lineRule="exact"/>
        <w:rPr>
          <w:rFonts w:ascii="Arial" w:cs="Arial" w:eastAsia="Arial" w:hAnsi="Arial"/>
          <w:sz w:val="18"/>
          <w:szCs w:val="18"/>
          <w:color w:val="auto"/>
        </w:rPr>
      </w:pPr>
    </w:p>
    <w:p>
      <w:pPr>
        <w:ind w:left="640" w:hanging="322"/>
        <w:spacing w:after="0"/>
        <w:tabs>
          <w:tab w:leader="none" w:pos="6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integration of acquisitions with our business;</w:t>
      </w:r>
    </w:p>
    <w:p>
      <w:pPr>
        <w:spacing w:after="0" w:line="9" w:lineRule="exact"/>
        <w:rPr>
          <w:rFonts w:ascii="Arial" w:cs="Arial" w:eastAsia="Arial" w:hAnsi="Arial"/>
          <w:sz w:val="18"/>
          <w:szCs w:val="18"/>
          <w:color w:val="auto"/>
        </w:rPr>
      </w:pPr>
    </w:p>
    <w:p>
      <w:pPr>
        <w:ind w:left="640" w:right="320" w:hanging="322"/>
        <w:spacing w:after="0" w:line="250" w:lineRule="auto"/>
        <w:tabs>
          <w:tab w:leader="none" w:pos="6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ability and the ability of San Mateo to construct and operate midstream facilities, including the operation and expansion of its Black River cryogenic natural gas processing plant and the drilling of additional salt water disposal wells;</w:t>
      </w:r>
    </w:p>
    <w:p>
      <w:pPr>
        <w:ind w:left="640" w:hanging="322"/>
        <w:spacing w:after="0"/>
        <w:tabs>
          <w:tab w:leader="none" w:pos="6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ability of San Mateo to attract third-party volumes;</w:t>
      </w:r>
    </w:p>
    <w:p>
      <w:pPr>
        <w:spacing w:after="0" w:line="9" w:lineRule="exact"/>
        <w:rPr>
          <w:rFonts w:ascii="Arial" w:cs="Arial" w:eastAsia="Arial" w:hAnsi="Arial"/>
          <w:sz w:val="18"/>
          <w:szCs w:val="18"/>
          <w:color w:val="auto"/>
        </w:rPr>
      </w:pPr>
    </w:p>
    <w:p>
      <w:pPr>
        <w:ind w:left="640" w:hanging="322"/>
        <w:spacing w:after="0"/>
        <w:tabs>
          <w:tab w:leader="none" w:pos="6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costs of exploiting and developing our properties and conducting other operations;</w:t>
      </w:r>
    </w:p>
    <w:p>
      <w:pPr>
        <w:spacing w:after="0" w:line="9" w:lineRule="exact"/>
        <w:rPr>
          <w:rFonts w:ascii="Arial" w:cs="Arial" w:eastAsia="Arial" w:hAnsi="Arial"/>
          <w:sz w:val="18"/>
          <w:szCs w:val="18"/>
          <w:color w:val="auto"/>
        </w:rPr>
      </w:pPr>
    </w:p>
    <w:p>
      <w:pPr>
        <w:ind w:left="640" w:hanging="322"/>
        <w:spacing w:after="0"/>
        <w:tabs>
          <w:tab w:leader="none" w:pos="6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general economic conditions;</w:t>
      </w:r>
    </w:p>
    <w:p>
      <w:pPr>
        <w:spacing w:after="0" w:line="9" w:lineRule="exact"/>
        <w:rPr>
          <w:rFonts w:ascii="Arial" w:cs="Arial" w:eastAsia="Arial" w:hAnsi="Arial"/>
          <w:sz w:val="18"/>
          <w:szCs w:val="18"/>
          <w:color w:val="auto"/>
        </w:rPr>
      </w:pPr>
    </w:p>
    <w:p>
      <w:pPr>
        <w:ind w:left="640" w:hanging="322"/>
        <w:spacing w:after="0"/>
        <w:tabs>
          <w:tab w:leader="none" w:pos="6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competition in the oil and natural gas industry, including in both the exploration and production and midstream segments;</w:t>
      </w:r>
    </w:p>
    <w:p>
      <w:pPr>
        <w:spacing w:after="0" w:line="9" w:lineRule="exact"/>
        <w:rPr>
          <w:rFonts w:ascii="Arial" w:cs="Arial" w:eastAsia="Arial" w:hAnsi="Arial"/>
          <w:sz w:val="18"/>
          <w:szCs w:val="18"/>
          <w:color w:val="auto"/>
        </w:rPr>
      </w:pPr>
    </w:p>
    <w:p>
      <w:pPr>
        <w:ind w:left="640" w:hanging="322"/>
        <w:spacing w:after="0"/>
        <w:tabs>
          <w:tab w:leader="none" w:pos="6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effectiveness of our risk management and hedging activities;</w:t>
      </w:r>
    </w:p>
    <w:p>
      <w:pPr>
        <w:spacing w:after="0" w:line="9" w:lineRule="exact"/>
        <w:rPr>
          <w:rFonts w:ascii="Arial" w:cs="Arial" w:eastAsia="Arial" w:hAnsi="Arial"/>
          <w:sz w:val="18"/>
          <w:szCs w:val="18"/>
          <w:color w:val="auto"/>
        </w:rPr>
      </w:pPr>
    </w:p>
    <w:p>
      <w:pPr>
        <w:ind w:left="640" w:hanging="322"/>
        <w:spacing w:after="0"/>
        <w:tabs>
          <w:tab w:leader="none" w:pos="6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technology;</w:t>
      </w:r>
    </w:p>
    <w:p>
      <w:pPr>
        <w:spacing w:after="0" w:line="9" w:lineRule="exact"/>
        <w:rPr>
          <w:rFonts w:ascii="Arial" w:cs="Arial" w:eastAsia="Arial" w:hAnsi="Arial"/>
          <w:sz w:val="18"/>
          <w:szCs w:val="18"/>
          <w:color w:val="auto"/>
        </w:rPr>
      </w:pPr>
    </w:p>
    <w:p>
      <w:pPr>
        <w:ind w:left="640" w:hanging="322"/>
        <w:spacing w:after="0"/>
        <w:tabs>
          <w:tab w:leader="none" w:pos="6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environmental liabilities;</w:t>
      </w:r>
    </w:p>
    <w:p>
      <w:pPr>
        <w:spacing w:after="0" w:line="9" w:lineRule="exact"/>
        <w:rPr>
          <w:rFonts w:ascii="Arial" w:cs="Arial" w:eastAsia="Arial" w:hAnsi="Arial"/>
          <w:sz w:val="18"/>
          <w:szCs w:val="18"/>
          <w:color w:val="auto"/>
        </w:rPr>
      </w:pPr>
    </w:p>
    <w:p>
      <w:pPr>
        <w:ind w:left="640" w:hanging="322"/>
        <w:spacing w:after="0"/>
        <w:tabs>
          <w:tab w:leader="none" w:pos="6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counterparty credit risk;</w:t>
      </w:r>
    </w:p>
    <w:p>
      <w:pPr>
        <w:spacing w:after="0" w:line="9" w:lineRule="exact"/>
        <w:rPr>
          <w:rFonts w:ascii="Arial" w:cs="Arial" w:eastAsia="Arial" w:hAnsi="Arial"/>
          <w:sz w:val="18"/>
          <w:szCs w:val="18"/>
          <w:color w:val="auto"/>
        </w:rPr>
      </w:pPr>
    </w:p>
    <w:p>
      <w:pPr>
        <w:ind w:left="640" w:hanging="322"/>
        <w:spacing w:after="0"/>
        <w:tabs>
          <w:tab w:leader="none" w:pos="6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developments in oil-producing and natural gas-producing countries;</w:t>
      </w:r>
    </w:p>
    <w:p>
      <w:pPr>
        <w:spacing w:after="0" w:line="9" w:lineRule="exact"/>
        <w:rPr>
          <w:rFonts w:ascii="Arial" w:cs="Arial" w:eastAsia="Arial" w:hAnsi="Arial"/>
          <w:sz w:val="18"/>
          <w:szCs w:val="18"/>
          <w:color w:val="auto"/>
        </w:rPr>
      </w:pPr>
    </w:p>
    <w:p>
      <w:pPr>
        <w:ind w:left="640" w:hanging="322"/>
        <w:spacing w:after="0"/>
        <w:tabs>
          <w:tab w:leader="none" w:pos="6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impact of the novel coronavirus on the oil and natural gas industry and our business;</w:t>
      </w:r>
    </w:p>
    <w:p>
      <w:pPr>
        <w:spacing w:after="0" w:line="9" w:lineRule="exact"/>
        <w:rPr>
          <w:rFonts w:ascii="Arial" w:cs="Arial" w:eastAsia="Arial" w:hAnsi="Arial"/>
          <w:sz w:val="18"/>
          <w:szCs w:val="18"/>
          <w:color w:val="auto"/>
        </w:rPr>
      </w:pPr>
    </w:p>
    <w:p>
      <w:pPr>
        <w:ind w:left="640" w:hanging="322"/>
        <w:spacing w:after="0"/>
        <w:tabs>
          <w:tab w:leader="none" w:pos="6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future operating results; and</w:t>
      </w:r>
    </w:p>
    <w:p>
      <w:pPr>
        <w:spacing w:after="0" w:line="9" w:lineRule="exact"/>
        <w:rPr>
          <w:rFonts w:ascii="Arial" w:cs="Arial" w:eastAsia="Arial" w:hAnsi="Arial"/>
          <w:sz w:val="18"/>
          <w:szCs w:val="18"/>
          <w:color w:val="auto"/>
        </w:rPr>
      </w:pPr>
    </w:p>
    <w:p>
      <w:pPr>
        <w:ind w:left="640" w:hanging="322"/>
        <w:spacing w:after="0"/>
        <w:tabs>
          <w:tab w:leader="none" w:pos="640" w:val="left"/>
        </w:tabs>
        <w:numPr>
          <w:ilvl w:val="0"/>
          <w:numId w:val="14"/>
        </w:numPr>
        <w:rPr>
          <w:rFonts w:ascii="Arial" w:cs="Arial" w:eastAsia="Arial" w:hAnsi="Arial"/>
          <w:sz w:val="16"/>
          <w:szCs w:val="16"/>
          <w:color w:val="auto"/>
        </w:rPr>
      </w:pPr>
      <w:r>
        <w:rPr>
          <w:rFonts w:ascii="Arial" w:cs="Arial" w:eastAsia="Arial" w:hAnsi="Arial"/>
          <w:sz w:val="16"/>
          <w:szCs w:val="16"/>
          <w:color w:val="auto"/>
        </w:rPr>
        <w:t>our plans, objectives, expectations and intentions contained in this Quarterly Report or in our other filings with the SEC that are not historical.</w:t>
      </w:r>
    </w:p>
    <w:p>
      <w:pPr>
        <w:spacing w:after="0" w:line="126" w:lineRule="exact"/>
        <w:rPr>
          <w:sz w:val="20"/>
          <w:szCs w:val="20"/>
          <w:color w:val="auto"/>
        </w:rPr>
      </w:pPr>
    </w:p>
    <w:p>
      <w:pPr>
        <w:ind w:right="80" w:firstLine="432"/>
        <w:spacing w:after="0" w:line="342" w:lineRule="auto"/>
        <w:rPr>
          <w:sz w:val="20"/>
          <w:szCs w:val="20"/>
          <w:color w:val="auto"/>
        </w:rPr>
      </w:pPr>
      <w:r>
        <w:rPr>
          <w:rFonts w:ascii="Arial" w:cs="Arial" w:eastAsia="Arial" w:hAnsi="Arial"/>
          <w:sz w:val="16"/>
          <w:szCs w:val="16"/>
          <w:color w:val="auto"/>
        </w:rPr>
        <w:t>Although we believe that the expectations conveyed by the forward-looking statements in this Quarterly Report are reasonable based on information available to us on the date hereof, no assurances can be given as to future results, levels of activity, achievements or financial condition.</w:t>
      </w:r>
    </w:p>
    <w:p>
      <w:pPr>
        <w:spacing w:after="0" w:line="16" w:lineRule="exact"/>
        <w:rPr>
          <w:sz w:val="20"/>
          <w:szCs w:val="20"/>
          <w:color w:val="auto"/>
        </w:rPr>
      </w:pPr>
    </w:p>
    <w:p>
      <w:pPr>
        <w:ind w:right="120" w:firstLine="432"/>
        <w:spacing w:after="0" w:line="291" w:lineRule="auto"/>
        <w:rPr>
          <w:sz w:val="20"/>
          <w:szCs w:val="20"/>
          <w:color w:val="auto"/>
        </w:rPr>
      </w:pPr>
      <w:r>
        <w:rPr>
          <w:rFonts w:ascii="Arial" w:cs="Arial" w:eastAsia="Arial" w:hAnsi="Arial"/>
          <w:sz w:val="16"/>
          <w:szCs w:val="16"/>
          <w:color w:val="auto"/>
        </w:rPr>
        <w:t>You should not place undue reliance on any forward-looking statement and should recognize that the statements are predictions of future results, which may not occur as anticipated. Actual results could differ materially from those anticipated in the forward-looking statements and from historical results, due to the risks and uncertainties described above, as well as others not now anticipated. The impact of any one factor on a particular forward-looking statement is not determinable with certainty as such factors are interdependent upon other factors. The foregoing statements are not exclusive and further information concerning us, including factors that potentially could materially affect our financial results, may emerge from time to time. We undertake no obligation to update forward-looking statements to reflect actual results or changes in factors or assumptions affecting such forward-looking statements, except as required by law, including the securities laws of the United States and the rules and regulations of the SEC.</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firstLine="432"/>
        <w:spacing w:after="0" w:line="293" w:lineRule="auto"/>
        <w:rPr>
          <w:sz w:val="20"/>
          <w:szCs w:val="20"/>
          <w:color w:val="auto"/>
        </w:rPr>
      </w:pPr>
      <w:r>
        <w:rPr>
          <w:rFonts w:ascii="Arial" w:cs="Arial" w:eastAsia="Arial" w:hAnsi="Arial"/>
          <w:sz w:val="16"/>
          <w:szCs w:val="16"/>
          <w:color w:val="auto"/>
        </w:rPr>
        <w:t>We are an independent energy company founded in July 2003 engaged in the exploration, development, production and acquisition of oil and natural gas resources in the United States, with an emphasis on oil and natural gas shale and other unconventional plays. Our current operations are focused primarily on the oil and liquids-rich portion of the Wolfcamp and Bone Spring plays in the Delaware Basin in Southeast New Mexico and West Texas. We also operate in the Eagle Ford shale play in South Texas and the Haynesville shale and Cotton Valley plays in Northwest Louisiana. Additionally, we conduct midstream operations, primarily through San Mateo, in support of our exploration, development and production operations and provide natural gas processing, oil transportation services, oil, natural gas and salt water gathering services and salt water disposal services to third parties.</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First Quarter Highlights</w:t>
      </w:r>
    </w:p>
    <w:p>
      <w:pPr>
        <w:spacing w:after="0" w:line="117" w:lineRule="exact"/>
        <w:rPr>
          <w:sz w:val="20"/>
          <w:szCs w:val="20"/>
          <w:color w:val="auto"/>
        </w:rPr>
      </w:pPr>
    </w:p>
    <w:p>
      <w:pPr>
        <w:ind w:firstLine="405"/>
        <w:spacing w:after="0" w:line="257" w:lineRule="auto"/>
        <w:rPr>
          <w:sz w:val="20"/>
          <w:szCs w:val="20"/>
          <w:color w:val="auto"/>
        </w:rPr>
      </w:pPr>
      <w:r>
        <w:rPr>
          <w:rFonts w:ascii="Arial" w:cs="Arial" w:eastAsia="Arial" w:hAnsi="Arial"/>
          <w:sz w:val="18"/>
          <w:szCs w:val="18"/>
          <w:color w:val="auto"/>
        </w:rPr>
        <w:t>For the three months ended March 31, 2020, our total oil equivalent production was 6.5 million BOE, and our average daily oil equivalent production was 71,200 BOE per day, of which 40,600 Bbl per day, or 57%, was oil and 183.2 MMcf per day, or 43%, was natural gas. Our oil production of 3.7 million Bbl for the three months ended March 31, 2020 increased 19% year-over-year from 3.1 million Bbl for the three months ended March 31, 2019. Our natural gas production of 16.7 Bcf for the three months ended March 31, 2020 increased 22% year-over-year from 13.7 Bcf for the three months ended March 31, 2019.</w:t>
      </w:r>
    </w:p>
    <w:p>
      <w:pPr>
        <w:spacing w:after="0" w:line="80" w:lineRule="exact"/>
        <w:rPr>
          <w:sz w:val="20"/>
          <w:szCs w:val="20"/>
          <w:color w:val="auto"/>
        </w:rPr>
      </w:pPr>
    </w:p>
    <w:p>
      <w:pPr>
        <w:ind w:right="300" w:firstLine="405"/>
        <w:spacing w:after="0" w:line="296" w:lineRule="auto"/>
        <w:rPr>
          <w:sz w:val="20"/>
          <w:szCs w:val="20"/>
          <w:color w:val="auto"/>
        </w:rPr>
      </w:pPr>
      <w:r>
        <w:rPr>
          <w:rFonts w:ascii="Arial" w:cs="Arial" w:eastAsia="Arial" w:hAnsi="Arial"/>
          <w:sz w:val="16"/>
          <w:szCs w:val="16"/>
          <w:color w:val="auto"/>
        </w:rPr>
        <w:t>For the first quarter of 2020, we reported net income attributable to Matador shareholders of approximately $125.7 million, or $1.08 per diluted common share, on a generally accepted accounting principles in the United States (“GAAP”) basis, as compared to a net loss attributable to Matador shareholders of $16.9 million, or $0.15 per diluted common share, for the first quarter of 2019. For the first quarter of 2020, our Adjusted EBITDA attributable to Matador shareholders (“Adjusted EBITDA”), a non-GAAP financial measure, was $140.6 million, as compared to Adjusted EBITDA of $124.8 million during the first quarter of 2019. For a definition of Adjusted EBITDA and a reconciliation of Adjusted EBITDA to our net income and</w:t>
      </w:r>
    </w:p>
    <w:p>
      <w:pPr>
        <w:spacing w:after="0" w:line="16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200"/>
          </w:cols>
          <w:pgMar w:left="320" w:top="125" w:right="37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net cash provided by operating activities, see “— Liquidity and Capital Resources — Non-GAAP Financial Measures.” For more information regarding our financial results for the first quarter of 2020, see “— Results of Operations” below.</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Operations Update</w:t>
      </w:r>
    </w:p>
    <w:p>
      <w:pPr>
        <w:spacing w:after="0" w:line="117" w:lineRule="exact"/>
        <w:rPr>
          <w:sz w:val="20"/>
          <w:szCs w:val="20"/>
          <w:color w:val="auto"/>
        </w:rPr>
      </w:pPr>
    </w:p>
    <w:p>
      <w:pPr>
        <w:ind w:right="60" w:firstLine="405"/>
        <w:spacing w:after="0" w:line="254" w:lineRule="auto"/>
        <w:rPr>
          <w:sz w:val="20"/>
          <w:szCs w:val="20"/>
          <w:color w:val="auto"/>
        </w:rPr>
      </w:pPr>
      <w:r>
        <w:rPr>
          <w:rFonts w:ascii="Arial" w:cs="Arial" w:eastAsia="Arial" w:hAnsi="Arial"/>
          <w:sz w:val="18"/>
          <w:szCs w:val="18"/>
          <w:color w:val="auto"/>
        </w:rPr>
        <w:t>During the first quarter of 2020, the oil and natural gas industry witnessed an abrupt and significant decline in oil prices from $63 per Bbl in early January to just above $20 per Bbl in late March. This sudden decline in oil prices was attributable to two primary factors: (1) the precipitous decline in global oil demand resulting from the worldwide spread of the novel coronavirus (“COVID-19”) and (2) a sudden, unexpected increase in global oil supply resulting from actions initiated by Saudi Arabia to increase its oil production to world markets following the failure of efforts by members of the Organization of Petroleum Exporting Countries and Russia (“OPEC+”) to agree on coordinated production cuts at their March 6, 2020 meetings in Vienna, Austria. Primarily as a result of these unexpected events and the resulting declines in oil prices, Matador has significantly modified its 2020 operational plan.</w:t>
      </w:r>
    </w:p>
    <w:p>
      <w:pPr>
        <w:spacing w:after="0" w:line="87" w:lineRule="exact"/>
        <w:rPr>
          <w:sz w:val="20"/>
          <w:szCs w:val="20"/>
          <w:color w:val="auto"/>
        </w:rPr>
      </w:pPr>
    </w:p>
    <w:p>
      <w:pPr>
        <w:ind w:right="20" w:firstLine="405"/>
        <w:spacing w:after="0" w:line="271" w:lineRule="auto"/>
        <w:rPr>
          <w:sz w:val="20"/>
          <w:szCs w:val="20"/>
          <w:color w:val="auto"/>
        </w:rPr>
      </w:pPr>
      <w:r>
        <w:rPr>
          <w:rFonts w:ascii="Arial" w:cs="Arial" w:eastAsia="Arial" w:hAnsi="Arial"/>
          <w:sz w:val="17"/>
          <w:szCs w:val="17"/>
          <w:color w:val="auto"/>
        </w:rPr>
        <w:t>We began 2020 operating six drilling rigs in the Delaware Basin, as we continued to focus on the exploration, delineation and development of our Delaware Basin acreage in Loving County, Texas and Lea and Eddy Counties, New Mexico. We had originally planned to operate these six drilling rigs in the Delaware Basin throughout 2020. As a result of the events noted above, however, we released one operated drilling rig from our Wolf asset area in Loving County, Texas late in the first quarter of 2020, and we released a second operated drilling rig from the Stebbins area and surrounding leaseholds in the southern portion of the Arrowhead asset area (the “Greater Stebbins Area”) in late April 2020. We anticipate releasing one additional drilling rig by the end of the second quarter of 2020. Thereafter, we expect to operate three drilling rigs in the Delaware Basin throughout the remainder of 2020. Two of these rigs are anticipated to operate in our Stateline asset area in Eddy County, New Mexico, and the third rig is expected to operate primarily in the Rustler Breaks and Antelope Ridge asset areas.</w:t>
      </w:r>
    </w:p>
    <w:p>
      <w:pPr>
        <w:spacing w:after="0" w:line="70" w:lineRule="exact"/>
        <w:rPr>
          <w:sz w:val="20"/>
          <w:szCs w:val="20"/>
          <w:color w:val="auto"/>
        </w:rPr>
      </w:pPr>
    </w:p>
    <w:p>
      <w:pPr>
        <w:ind w:right="140" w:firstLine="405"/>
        <w:spacing w:after="0" w:line="270" w:lineRule="auto"/>
        <w:rPr>
          <w:sz w:val="20"/>
          <w:szCs w:val="20"/>
          <w:color w:val="auto"/>
        </w:rPr>
      </w:pPr>
      <w:r>
        <w:rPr>
          <w:rFonts w:ascii="Arial" w:cs="Arial" w:eastAsia="Arial" w:hAnsi="Arial"/>
          <w:sz w:val="17"/>
          <w:szCs w:val="17"/>
          <w:color w:val="auto"/>
        </w:rPr>
        <w:t>We completed and turned to sales a total of 36 gross (15.9 net) wells in the Delaware Basin during the first quarter of 2020, including 17 gross (15.6 net) operated horizontal wells and 19 gross (0.3 net) non-operated horizontal wells. During the first quarter of 2020, we completed and turned to sales a total of 17 gross (10.5 net) wells in the Antelope Ridge asset area, including 11 gross (10.4 net) operated wells and six gross (0.1 net) non-operated wells. The 11 gross operated wells turned to sales in the Antelope Ridge asset area included two Avalon completions, one First Bone Spring completion, four Second Bone Spring completions, one Third Bone Spring completion, two Wolfcamp A completions and one Wolfcamp B completion. These wells also included the first six gross (6.0 net) “Rodney Robinson” wells completed in the western portion of the Antelope Ridge asset area. The 1,200 gross and net acre Rodney Robinson tract is one of the key tracts we acquired in the BLM New Mexico Oil and Gas Lease Sale in September 2018 (the “BLM Acquisition”). These six Rodney Robinson wells, all two-mile laterals, were also the first wells drilled and completed on the 8,400 gross and net acres we acquired in the BLM Acquisition.</w:t>
      </w:r>
    </w:p>
    <w:p>
      <w:pPr>
        <w:spacing w:after="0" w:line="73" w:lineRule="exact"/>
        <w:rPr>
          <w:sz w:val="20"/>
          <w:szCs w:val="20"/>
          <w:color w:val="auto"/>
        </w:rPr>
      </w:pPr>
    </w:p>
    <w:p>
      <w:pPr>
        <w:ind w:right="120" w:firstLine="405"/>
        <w:spacing w:after="0" w:line="301" w:lineRule="auto"/>
        <w:rPr>
          <w:sz w:val="20"/>
          <w:szCs w:val="20"/>
          <w:color w:val="auto"/>
        </w:rPr>
      </w:pPr>
      <w:r>
        <w:rPr>
          <w:rFonts w:ascii="Arial" w:cs="Arial" w:eastAsia="Arial" w:hAnsi="Arial"/>
          <w:sz w:val="16"/>
          <w:szCs w:val="16"/>
          <w:color w:val="auto"/>
        </w:rPr>
        <w:t>In the Rustler Breaks asset area, we began producing oil and natural gas from a total of 16 gross (2.8 net) wells, including three gross (2.6 net) operated wells and 13 gross (0.2 net) non-operated wells. Of the three gross operated wells completed and turned to sales in the Rustler Breaks asset area, two were Wolfcamp A completions and one was a Wolfcamp B completion. In the Wolf and Jackson Trust asset areas, we began producing oil and natural gas from three gross (2.6 net) operated wells during the first quarter of 2020, all of which were Wolfcamp A completions.</w:t>
      </w:r>
    </w:p>
    <w:p>
      <w:pPr>
        <w:spacing w:after="0" w:line="49" w:lineRule="exact"/>
        <w:rPr>
          <w:sz w:val="20"/>
          <w:szCs w:val="20"/>
          <w:color w:val="auto"/>
        </w:rPr>
      </w:pPr>
    </w:p>
    <w:p>
      <w:pPr>
        <w:ind w:firstLine="405"/>
        <w:spacing w:after="0" w:line="257" w:lineRule="auto"/>
        <w:rPr>
          <w:sz w:val="20"/>
          <w:szCs w:val="20"/>
          <w:color w:val="auto"/>
        </w:rPr>
      </w:pPr>
      <w:r>
        <w:rPr>
          <w:rFonts w:ascii="Arial" w:cs="Arial" w:eastAsia="Arial" w:hAnsi="Arial"/>
          <w:sz w:val="18"/>
          <w:szCs w:val="18"/>
          <w:color w:val="auto"/>
        </w:rPr>
        <w:t>Our total Delaware Basin production for the first quarter of 2020 was 60,300 BOE per day, consisting of 38,500 Bbl of oil per day and 130.9 MMcf of natural gas per day, a 15% increase from production of 52,600 BOE per day, consisting of 32,000 Bbl of oil per day and 123.9 MMcf of natural gas per day, in the first quarter of 2019. The Delaware Basin contributed approximately 95% of our daily oil production and approximately 71% of our daily natural gas production in the first quarter of 2020, as compared to approximately 93% of our daily oil production and approximately 81% of our daily natural gas production in the first quarter of 2019.</w:t>
      </w:r>
    </w:p>
    <w:p>
      <w:pPr>
        <w:spacing w:after="0" w:line="80" w:lineRule="exact"/>
        <w:rPr>
          <w:sz w:val="20"/>
          <w:szCs w:val="20"/>
          <w:color w:val="auto"/>
        </w:rPr>
      </w:pPr>
    </w:p>
    <w:p>
      <w:pPr>
        <w:ind w:right="140" w:firstLine="405"/>
        <w:spacing w:after="0" w:line="286" w:lineRule="auto"/>
        <w:rPr>
          <w:sz w:val="20"/>
          <w:szCs w:val="20"/>
          <w:color w:val="auto"/>
        </w:rPr>
      </w:pPr>
      <w:r>
        <w:rPr>
          <w:rFonts w:ascii="Arial" w:cs="Arial" w:eastAsia="Arial" w:hAnsi="Arial"/>
          <w:sz w:val="17"/>
          <w:szCs w:val="17"/>
          <w:color w:val="auto"/>
        </w:rPr>
        <w:t>During the first quarter of 2020, we did not conduct any operated drilling and completion activities on our leasehold properties in the Eagle Ford shale play in South Texas or in the Haynesville shale and Cotton Valley plays in Northwest Louisiana. We did participate in the drilling and completion of three gross (less than 0.1 net) non-operated Haynesville shale wells that were turned to sales in the first quarter of 2020.</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Borrowing Base Increased</w:t>
      </w:r>
    </w:p>
    <w:p>
      <w:pPr>
        <w:spacing w:after="0" w:line="117" w:lineRule="exact"/>
        <w:rPr>
          <w:sz w:val="20"/>
          <w:szCs w:val="20"/>
          <w:color w:val="auto"/>
        </w:rPr>
      </w:pPr>
    </w:p>
    <w:p>
      <w:pPr>
        <w:ind w:right="80" w:firstLine="391"/>
        <w:spacing w:after="0" w:line="255" w:lineRule="auto"/>
        <w:rPr>
          <w:sz w:val="20"/>
          <w:szCs w:val="20"/>
          <w:color w:val="auto"/>
        </w:rPr>
      </w:pPr>
      <w:r>
        <w:rPr>
          <w:rFonts w:ascii="Arial" w:cs="Arial" w:eastAsia="Arial" w:hAnsi="Arial"/>
          <w:sz w:val="18"/>
          <w:szCs w:val="18"/>
          <w:color w:val="auto"/>
        </w:rPr>
        <w:t>In February 2020, the lenders party to our reserves-based revolving credit facility (the “Credit Agreement”) completed their review of the Company’s proved oil and natural gas reserves at December 31, 2019, and, as a result, the borrowing base was affirmed at $900.0 million. The Company elected to increase the borrowing commitment from $500.0 million to $700.0 million, and the maximum facility amount remained $1.5 billion. We also added two new banks to our lending group as part of this redetermination process. This February 2020 redetermination constituted the regularly scheduled May 1 redetermination. Borrowings under the Credit Agreement are limited to the lowest of the borrowing base, the maximum facility amount and the elected commitment.</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240"/>
          </w:cols>
          <w:pgMar w:left="320" w:top="125" w:right="33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2020 Capital Expenditure Budget</w:t>
      </w:r>
    </w:p>
    <w:p>
      <w:pPr>
        <w:spacing w:after="0" w:line="117" w:lineRule="exact"/>
        <w:rPr>
          <w:sz w:val="20"/>
          <w:szCs w:val="20"/>
          <w:color w:val="auto"/>
        </w:rPr>
      </w:pPr>
    </w:p>
    <w:p>
      <w:pPr>
        <w:ind w:right="140" w:firstLine="391"/>
        <w:spacing w:after="0" w:line="259" w:lineRule="auto"/>
        <w:rPr>
          <w:sz w:val="20"/>
          <w:szCs w:val="20"/>
          <w:color w:val="auto"/>
        </w:rPr>
      </w:pPr>
      <w:r>
        <w:rPr>
          <w:rFonts w:ascii="Arial" w:cs="Arial" w:eastAsia="Arial" w:hAnsi="Arial"/>
          <w:sz w:val="18"/>
          <w:szCs w:val="18"/>
          <w:color w:val="auto"/>
        </w:rPr>
        <w:t>On April 29, 2020, we decreased the range of our anticipated full-year 2020 capital expenditures for drilling, completing and equipping wells from $690.0 to $750.0 million to $440.0 to $500.0 million, as we plan to reduce our operated drilling program from six rigs to three rigs by June 30, 2020, as noted above. At April 29, 2020, the range of our estimated 2020 midstream capital expenditures remained $85.0 to $105.0 million. See “— Liquidity and Capital Resources — 2020 Capital Expenditure Budget” for more information.</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Restructuring of Derivative Financial Instruments</w:t>
      </w:r>
    </w:p>
    <w:p>
      <w:pPr>
        <w:spacing w:after="0" w:line="117" w:lineRule="exact"/>
        <w:rPr>
          <w:sz w:val="20"/>
          <w:szCs w:val="20"/>
          <w:color w:val="auto"/>
        </w:rPr>
      </w:pPr>
    </w:p>
    <w:p>
      <w:pPr>
        <w:ind w:firstLine="391"/>
        <w:spacing w:after="0" w:line="271" w:lineRule="auto"/>
        <w:rPr>
          <w:sz w:val="20"/>
          <w:szCs w:val="20"/>
          <w:color w:val="auto"/>
        </w:rPr>
      </w:pPr>
      <w:r>
        <w:rPr>
          <w:rFonts w:ascii="Arial" w:cs="Arial" w:eastAsia="Arial" w:hAnsi="Arial"/>
          <w:sz w:val="17"/>
          <w:szCs w:val="17"/>
          <w:color w:val="auto"/>
        </w:rPr>
        <w:t>During April 2020, we restructured a portion of our then-existing 2020 West Texas Intermediate (“WTI”) oil derivative financial instruments, providing additional revenue protection should oil prices remain at currently depressed levels for the remainder of 2020 or should further market disruptions occur. As a result of these modifications, we almost doubled our oil volumes hedged for the period from April through December 2020. At April 29, 2020, we had approximately 10.3 million Bbl of oil hedged for the period from April through December 2020. These restructured derivative financial instruments include approximately 7.6 million Bbl of fixed-price oil swaps at a weighted average price of approximately $35 per Bbl and 2.3 million Bbl of oil collars with a weighted average floor price of approximately $48 per Bbl and a weighted average ceiling price of approximately $66 per Bbl. We also have approximately 0.4 million Bbl in oil put options, which represent options to sell at a specified exercise price, at a weighted average price of approximately $48 per Bbl for the period from April through June 2020.</w:t>
      </w:r>
    </w:p>
    <w:p>
      <w:pPr>
        <w:spacing w:after="0" w:line="70" w:lineRule="exact"/>
        <w:rPr>
          <w:sz w:val="20"/>
          <w:szCs w:val="20"/>
          <w:color w:val="auto"/>
        </w:rPr>
      </w:pPr>
    </w:p>
    <w:p>
      <w:pPr>
        <w:ind w:right="160" w:firstLine="391"/>
        <w:spacing w:after="0" w:line="259" w:lineRule="auto"/>
        <w:rPr>
          <w:sz w:val="20"/>
          <w:szCs w:val="20"/>
          <w:color w:val="auto"/>
        </w:rPr>
      </w:pPr>
      <w:r>
        <w:rPr>
          <w:rFonts w:ascii="Arial" w:cs="Arial" w:eastAsia="Arial" w:hAnsi="Arial"/>
          <w:sz w:val="18"/>
          <w:szCs w:val="18"/>
          <w:color w:val="auto"/>
        </w:rPr>
        <w:t>In addition, during April 2020, we added approximately 5.5 million Bbl of oil swaps at a weighted average price of approximately $35 per Bbl for 2021. We also added natural gas collars for November and December 2020 for approximately 3.2 million MMBtu and for the first quarter of 2021 for approximately 4.8 million MMBtu, each with a weighted average floor price of approximately $2.52 per MMBtu and a weighted average ceiling price of approximately $3.71 per MMBtu.</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12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There have been no changes to our critical accounting policies and estimates from those set forth in the Annual Report.</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There are no recent accounting pronouncements that are expected to have a material impact on our financial statements.</w:t>
      </w:r>
    </w:p>
    <w:p>
      <w:pPr>
        <w:spacing w:after="0" w:line="200" w:lineRule="exact"/>
        <w:rPr>
          <w:sz w:val="20"/>
          <w:szCs w:val="20"/>
          <w:color w:val="auto"/>
        </w:rPr>
      </w:pPr>
    </w:p>
    <w:p>
      <w:pPr>
        <w:spacing w:after="0" w:line="34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180"/>
          </w:cols>
          <w:pgMar w:left="320" w:top="125" w:right="39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Revenues</w:t>
      </w:r>
    </w:p>
    <w:p>
      <w:pPr>
        <w:spacing w:after="0" w:line="12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summarizes our unaudited revenues and production data for the periods indicated:</w:t>
      </w:r>
    </w:p>
    <w:p>
      <w:pPr>
        <w:spacing w:after="0" w:line="271" w:lineRule="exact"/>
        <w:rPr>
          <w:sz w:val="20"/>
          <w:szCs w:val="20"/>
          <w:color w:val="auto"/>
        </w:rPr>
      </w:pPr>
    </w:p>
    <w:p>
      <w:pPr>
        <w:ind w:left="9400"/>
        <w:spacing w:after="0"/>
        <w:rPr>
          <w:sz w:val="20"/>
          <w:szCs w:val="20"/>
          <w:color w:val="auto"/>
        </w:rPr>
      </w:pPr>
      <w:r>
        <w:rPr>
          <w:rFonts w:ascii="Arial" w:cs="Arial" w:eastAsia="Arial" w:hAnsi="Arial"/>
          <w:sz w:val="14"/>
          <w:szCs w:val="14"/>
          <w:b w:val="1"/>
          <w:bCs w:val="1"/>
          <w:color w:val="auto"/>
        </w:rPr>
        <w:t>Three Months Ended</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89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March 31,</w:t>
            </w:r>
          </w:p>
        </w:tc>
        <w:tc>
          <w:tcPr>
            <w:tcW w:w="760" w:type="dxa"/>
            <w:vAlign w:val="bottom"/>
            <w:tcBorders>
              <w:bottom w:val="single" w:sz="8" w:color="auto"/>
            </w:tcBorders>
          </w:tcPr>
          <w:p>
            <w:pPr>
              <w:spacing w:after="0"/>
              <w:rPr>
                <w:sz w:val="15"/>
                <w:szCs w:val="15"/>
                <w:color w:val="auto"/>
              </w:rPr>
            </w:pPr>
          </w:p>
        </w:tc>
      </w:tr>
      <w:tr>
        <w:trPr>
          <w:trHeight w:val="257"/>
        </w:trPr>
        <w:tc>
          <w:tcPr>
            <w:tcW w:w="890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2019</w:t>
            </w:r>
          </w:p>
        </w:tc>
      </w:tr>
      <w:tr>
        <w:trPr>
          <w:trHeight w:val="229"/>
        </w:trPr>
        <w:tc>
          <w:tcPr>
            <w:tcW w:w="8900" w:type="dxa"/>
            <w:vAlign w:val="bottom"/>
          </w:tcPr>
          <w:p>
            <w:pPr>
              <w:ind w:left="40"/>
              <w:spacing w:after="0"/>
              <w:rPr>
                <w:sz w:val="20"/>
                <w:szCs w:val="20"/>
                <w:color w:val="auto"/>
              </w:rPr>
            </w:pPr>
            <w:r>
              <w:rPr>
                <w:rFonts w:ascii="Arial" w:cs="Arial" w:eastAsia="Arial" w:hAnsi="Arial"/>
                <w:sz w:val="18"/>
                <w:szCs w:val="18"/>
                <w:b w:val="1"/>
                <w:bCs w:val="1"/>
                <w:color w:val="auto"/>
              </w:rPr>
              <w:t>Operating Data:</w:t>
            </w: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60" w:type="dxa"/>
            <w:vAlign w:val="bottom"/>
          </w:tcPr>
          <w:p>
            <w:pPr>
              <w:spacing w:after="0"/>
              <w:rPr>
                <w:sz w:val="19"/>
                <w:szCs w:val="19"/>
                <w:color w:val="auto"/>
              </w:rPr>
            </w:pPr>
          </w:p>
        </w:tc>
      </w:tr>
      <w:tr>
        <w:trPr>
          <w:trHeight w:val="41"/>
        </w:trPr>
        <w:tc>
          <w:tcPr>
            <w:tcW w:w="8900" w:type="dxa"/>
            <w:vAlign w:val="bottom"/>
          </w:tcPr>
          <w:p>
            <w:pPr>
              <w:spacing w:after="0"/>
              <w:rPr>
                <w:sz w:val="3"/>
                <w:szCs w:val="3"/>
                <w:color w:val="auto"/>
              </w:rPr>
            </w:pPr>
          </w:p>
        </w:tc>
        <w:tc>
          <w:tcPr>
            <w:tcW w:w="260" w:type="dxa"/>
            <w:vAlign w:val="bottom"/>
          </w:tcPr>
          <w:p>
            <w:pPr>
              <w:spacing w:after="0"/>
              <w:rPr>
                <w:sz w:val="3"/>
                <w:szCs w:val="3"/>
                <w:color w:val="auto"/>
              </w:rPr>
            </w:pPr>
          </w:p>
        </w:tc>
        <w:tc>
          <w:tcPr>
            <w:tcW w:w="860" w:type="dxa"/>
            <w:vAlign w:val="bottom"/>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Pr>
          <w:p>
            <w:pPr>
              <w:spacing w:after="0"/>
              <w:rPr>
                <w:sz w:val="3"/>
                <w:szCs w:val="3"/>
                <w:color w:val="auto"/>
              </w:rPr>
            </w:pPr>
          </w:p>
        </w:tc>
        <w:tc>
          <w:tcPr>
            <w:tcW w:w="760" w:type="dxa"/>
            <w:vAlign w:val="bottom"/>
          </w:tcPr>
          <w:p>
            <w:pPr>
              <w:spacing w:after="0"/>
              <w:rPr>
                <w:sz w:val="3"/>
                <w:szCs w:val="3"/>
                <w:color w:val="auto"/>
              </w:rPr>
            </w:pPr>
          </w:p>
        </w:tc>
      </w:tr>
      <w:tr>
        <w:trPr>
          <w:trHeight w:val="270"/>
        </w:trPr>
        <w:tc>
          <w:tcPr>
            <w:tcW w:w="890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b w:val="1"/>
                <w:bCs w:val="1"/>
                <w:color w:val="auto"/>
              </w:rPr>
              <w:t>Revenues (in thousands):</w:t>
            </w:r>
            <w:r>
              <w:rPr>
                <w:rFonts w:ascii="Arial" w:cs="Arial" w:eastAsia="Arial" w:hAnsi="Arial"/>
                <w:sz w:val="25"/>
                <w:szCs w:val="25"/>
                <w:b w:val="1"/>
                <w:bCs w:val="1"/>
                <w:color w:val="auto"/>
                <w:vertAlign w:val="superscript"/>
              </w:rPr>
              <w:t>(1)</w:t>
            </w:r>
          </w:p>
        </w:tc>
        <w:tc>
          <w:tcPr>
            <w:tcW w:w="26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r>
      <w:tr>
        <w:trPr>
          <w:trHeight w:val="243"/>
        </w:trPr>
        <w:tc>
          <w:tcPr>
            <w:tcW w:w="8900" w:type="dxa"/>
            <w:vAlign w:val="bottom"/>
          </w:tcPr>
          <w:p>
            <w:pPr>
              <w:ind w:left="380"/>
              <w:spacing w:after="0"/>
              <w:rPr>
                <w:sz w:val="20"/>
                <w:szCs w:val="20"/>
                <w:color w:val="auto"/>
              </w:rPr>
            </w:pPr>
            <w:r>
              <w:rPr>
                <w:rFonts w:ascii="Arial" w:cs="Arial" w:eastAsia="Arial" w:hAnsi="Arial"/>
                <w:sz w:val="18"/>
                <w:szCs w:val="18"/>
                <w:color w:val="auto"/>
              </w:rPr>
              <w:t>Oil</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169,585</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ind w:right="11"/>
              <w:spacing w:after="0"/>
              <w:rPr>
                <w:sz w:val="20"/>
                <w:szCs w:val="20"/>
                <w:color w:val="auto"/>
              </w:rPr>
            </w:pPr>
            <w:r>
              <w:rPr>
                <w:rFonts w:ascii="Arial" w:cs="Arial" w:eastAsia="Arial" w:hAnsi="Arial"/>
                <w:sz w:val="18"/>
                <w:szCs w:val="18"/>
                <w:color w:val="auto"/>
                <w:w w:val="98"/>
              </w:rPr>
              <w:t>154,204</w:t>
            </w:r>
          </w:p>
        </w:tc>
      </w:tr>
      <w:tr>
        <w:trPr>
          <w:trHeight w:val="27"/>
        </w:trPr>
        <w:tc>
          <w:tcPr>
            <w:tcW w:w="8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70"/>
        </w:trPr>
        <w:tc>
          <w:tcPr>
            <w:tcW w:w="8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Natural gas</w:t>
            </w:r>
          </w:p>
        </w:tc>
        <w:tc>
          <w:tcPr>
            <w:tcW w:w="2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28,329</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39,065</w:t>
            </w:r>
          </w:p>
        </w:tc>
      </w:tr>
      <w:tr>
        <w:trPr>
          <w:trHeight w:val="237"/>
        </w:trPr>
        <w:tc>
          <w:tcPr>
            <w:tcW w:w="8900" w:type="dxa"/>
            <w:vAlign w:val="bottom"/>
          </w:tcPr>
          <w:p>
            <w:pPr>
              <w:ind w:left="720"/>
              <w:spacing w:after="0"/>
              <w:rPr>
                <w:sz w:val="20"/>
                <w:szCs w:val="20"/>
                <w:color w:val="auto"/>
              </w:rPr>
            </w:pPr>
            <w:r>
              <w:rPr>
                <w:rFonts w:ascii="Arial" w:cs="Arial" w:eastAsia="Arial" w:hAnsi="Arial"/>
                <w:sz w:val="18"/>
                <w:szCs w:val="18"/>
                <w:color w:val="auto"/>
              </w:rPr>
              <w:t>Total oil and natural gas revenues</w:t>
            </w:r>
          </w:p>
        </w:tc>
        <w:tc>
          <w:tcPr>
            <w:tcW w:w="26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197,914</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w w:val="98"/>
              </w:rPr>
              <w:t>193,269</w:t>
            </w:r>
          </w:p>
        </w:tc>
      </w:tr>
      <w:tr>
        <w:trPr>
          <w:trHeight w:val="27"/>
        </w:trPr>
        <w:tc>
          <w:tcPr>
            <w:tcW w:w="8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8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Third-party midstream services revenues</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15,830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11,838</w:t>
            </w:r>
          </w:p>
        </w:tc>
      </w:tr>
      <w:tr>
        <w:trPr>
          <w:trHeight w:val="243"/>
        </w:trPr>
        <w:tc>
          <w:tcPr>
            <w:tcW w:w="8900" w:type="dxa"/>
            <w:vAlign w:val="bottom"/>
          </w:tcPr>
          <w:p>
            <w:pPr>
              <w:ind w:left="380"/>
              <w:spacing w:after="0"/>
              <w:rPr>
                <w:sz w:val="20"/>
                <w:szCs w:val="20"/>
                <w:color w:val="auto"/>
              </w:rPr>
            </w:pPr>
            <w:r>
              <w:rPr>
                <w:rFonts w:ascii="Arial" w:cs="Arial" w:eastAsia="Arial" w:hAnsi="Arial"/>
                <w:sz w:val="18"/>
                <w:szCs w:val="18"/>
                <w:color w:val="auto"/>
              </w:rPr>
              <w:t>Sales of purchased natural gas</w:t>
            </w:r>
          </w:p>
        </w:tc>
        <w:tc>
          <w:tcPr>
            <w:tcW w:w="26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10,544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60" w:type="dxa"/>
            <w:vAlign w:val="bottom"/>
          </w:tcPr>
          <w:p>
            <w:pPr>
              <w:jc w:val="right"/>
              <w:ind w:right="11"/>
              <w:spacing w:after="0"/>
              <w:rPr>
                <w:sz w:val="20"/>
                <w:szCs w:val="20"/>
                <w:color w:val="auto"/>
              </w:rPr>
            </w:pPr>
            <w:r>
              <w:rPr>
                <w:rFonts w:ascii="Arial" w:cs="Arial" w:eastAsia="Arial" w:hAnsi="Arial"/>
                <w:sz w:val="18"/>
                <w:szCs w:val="18"/>
                <w:color w:val="auto"/>
              </w:rPr>
              <w:t>11,231</w:t>
            </w:r>
          </w:p>
        </w:tc>
      </w:tr>
      <w:tr>
        <w:trPr>
          <w:trHeight w:val="27"/>
        </w:trPr>
        <w:tc>
          <w:tcPr>
            <w:tcW w:w="8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8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Realized gain on derivatives</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10,867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3,270</w:t>
            </w:r>
          </w:p>
        </w:tc>
      </w:tr>
      <w:tr>
        <w:trPr>
          <w:trHeight w:val="243"/>
        </w:trPr>
        <w:tc>
          <w:tcPr>
            <w:tcW w:w="8900" w:type="dxa"/>
            <w:vAlign w:val="bottom"/>
          </w:tcPr>
          <w:p>
            <w:pPr>
              <w:ind w:left="380"/>
              <w:spacing w:after="0"/>
              <w:rPr>
                <w:sz w:val="20"/>
                <w:szCs w:val="20"/>
                <w:color w:val="auto"/>
              </w:rPr>
            </w:pPr>
            <w:r>
              <w:rPr>
                <w:rFonts w:ascii="Arial" w:cs="Arial" w:eastAsia="Arial" w:hAnsi="Arial"/>
                <w:sz w:val="18"/>
                <w:szCs w:val="18"/>
                <w:color w:val="auto"/>
              </w:rPr>
              <w:t>Unrealized gain (loss) on derivatives</w:t>
            </w:r>
          </w:p>
        </w:tc>
        <w:tc>
          <w:tcPr>
            <w:tcW w:w="26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136,430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(45,719)</w:t>
            </w:r>
          </w:p>
        </w:tc>
      </w:tr>
      <w:tr>
        <w:trPr>
          <w:trHeight w:val="27"/>
        </w:trPr>
        <w:tc>
          <w:tcPr>
            <w:tcW w:w="89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43"/>
        </w:trPr>
        <w:tc>
          <w:tcPr>
            <w:tcW w:w="890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8"/>
                <w:szCs w:val="18"/>
                <w:color w:val="auto"/>
              </w:rPr>
              <w:t>Total revenues</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371,585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w w:val="98"/>
              </w:rPr>
              <w:t>173,889</w:t>
            </w:r>
          </w:p>
        </w:tc>
      </w:tr>
      <w:tr>
        <w:trPr>
          <w:trHeight w:val="270"/>
        </w:trPr>
        <w:tc>
          <w:tcPr>
            <w:tcW w:w="8900" w:type="dxa"/>
            <w:vAlign w:val="bottom"/>
          </w:tcPr>
          <w:p>
            <w:pPr>
              <w:ind w:left="40"/>
              <w:spacing w:after="0" w:line="270" w:lineRule="exact"/>
              <w:rPr>
                <w:sz w:val="20"/>
                <w:szCs w:val="20"/>
                <w:color w:val="auto"/>
              </w:rPr>
            </w:pPr>
            <w:r>
              <w:rPr>
                <w:rFonts w:ascii="Arial" w:cs="Arial" w:eastAsia="Arial" w:hAnsi="Arial"/>
                <w:sz w:val="18"/>
                <w:szCs w:val="18"/>
                <w:b w:val="1"/>
                <w:bCs w:val="1"/>
                <w:color w:val="auto"/>
              </w:rPr>
              <w:t>Net Production Volumes:</w:t>
            </w:r>
            <w:r>
              <w:rPr>
                <w:rFonts w:ascii="Arial" w:cs="Arial" w:eastAsia="Arial" w:hAnsi="Arial"/>
                <w:sz w:val="25"/>
                <w:szCs w:val="25"/>
                <w:b w:val="1"/>
                <w:bCs w:val="1"/>
                <w:color w:val="auto"/>
                <w:vertAlign w:val="superscript"/>
              </w:rPr>
              <w:t>(1)</w:t>
            </w:r>
          </w:p>
        </w:tc>
        <w:tc>
          <w:tcPr>
            <w:tcW w:w="26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760" w:type="dxa"/>
            <w:vAlign w:val="bottom"/>
          </w:tcPr>
          <w:p>
            <w:pPr>
              <w:spacing w:after="0"/>
              <w:rPr>
                <w:sz w:val="23"/>
                <w:szCs w:val="23"/>
                <w:color w:val="auto"/>
              </w:rPr>
            </w:pPr>
          </w:p>
        </w:tc>
      </w:tr>
      <w:tr>
        <w:trPr>
          <w:trHeight w:val="270"/>
        </w:trPr>
        <w:tc>
          <w:tcPr>
            <w:tcW w:w="8900" w:type="dxa"/>
            <w:vAlign w:val="bottom"/>
            <w:shd w:val="clear" w:color="auto" w:fill="CCEEFF"/>
          </w:tcPr>
          <w:p>
            <w:pPr>
              <w:ind w:left="380"/>
              <w:spacing w:after="0" w:line="270" w:lineRule="exact"/>
              <w:rPr>
                <w:sz w:val="20"/>
                <w:szCs w:val="20"/>
                <w:color w:val="auto"/>
              </w:rPr>
            </w:pPr>
            <w:r>
              <w:rPr>
                <w:rFonts w:ascii="Arial" w:cs="Arial" w:eastAsia="Arial" w:hAnsi="Arial"/>
                <w:sz w:val="18"/>
                <w:szCs w:val="18"/>
                <w:color w:val="auto"/>
              </w:rPr>
              <w:t>Oil (MBbl)</w:t>
            </w:r>
            <w:r>
              <w:rPr>
                <w:rFonts w:ascii="Arial" w:cs="Arial" w:eastAsia="Arial" w:hAnsi="Arial"/>
                <w:sz w:val="25"/>
                <w:szCs w:val="25"/>
                <w:color w:val="auto"/>
                <w:vertAlign w:val="superscript"/>
              </w:rPr>
              <w:t>(2)</w:t>
            </w:r>
          </w:p>
        </w:tc>
        <w:tc>
          <w:tcPr>
            <w:tcW w:w="26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3,697</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7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3,107</w:t>
            </w:r>
          </w:p>
        </w:tc>
      </w:tr>
      <w:tr>
        <w:trPr>
          <w:trHeight w:val="270"/>
        </w:trPr>
        <w:tc>
          <w:tcPr>
            <w:tcW w:w="8900" w:type="dxa"/>
            <w:vAlign w:val="bottom"/>
          </w:tcPr>
          <w:p>
            <w:pPr>
              <w:ind w:left="380"/>
              <w:spacing w:after="0" w:line="270" w:lineRule="exact"/>
              <w:rPr>
                <w:sz w:val="20"/>
                <w:szCs w:val="20"/>
                <w:color w:val="auto"/>
              </w:rPr>
            </w:pPr>
            <w:r>
              <w:rPr>
                <w:rFonts w:ascii="Arial" w:cs="Arial" w:eastAsia="Arial" w:hAnsi="Arial"/>
                <w:sz w:val="18"/>
                <w:szCs w:val="18"/>
                <w:color w:val="auto"/>
              </w:rPr>
              <w:t>Natural gas (Bcf)</w:t>
            </w:r>
            <w:r>
              <w:rPr>
                <w:rFonts w:ascii="Arial" w:cs="Arial" w:eastAsia="Arial" w:hAnsi="Arial"/>
                <w:sz w:val="25"/>
                <w:szCs w:val="25"/>
                <w:color w:val="auto"/>
                <w:vertAlign w:val="superscript"/>
              </w:rPr>
              <w:t>(3)</w:t>
            </w:r>
          </w:p>
        </w:tc>
        <w:tc>
          <w:tcPr>
            <w:tcW w:w="260" w:type="dxa"/>
            <w:vAlign w:val="bottom"/>
          </w:tcPr>
          <w:p>
            <w:pPr>
              <w:spacing w:after="0"/>
              <w:rPr>
                <w:sz w:val="23"/>
                <w:szCs w:val="23"/>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16.7</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760" w:type="dxa"/>
            <w:vAlign w:val="bottom"/>
          </w:tcPr>
          <w:p>
            <w:pPr>
              <w:jc w:val="right"/>
              <w:ind w:right="11"/>
              <w:spacing w:after="0"/>
              <w:rPr>
                <w:sz w:val="20"/>
                <w:szCs w:val="20"/>
                <w:color w:val="auto"/>
              </w:rPr>
            </w:pPr>
            <w:r>
              <w:rPr>
                <w:rFonts w:ascii="Arial" w:cs="Arial" w:eastAsia="Arial" w:hAnsi="Arial"/>
                <w:sz w:val="18"/>
                <w:szCs w:val="18"/>
                <w:color w:val="auto"/>
              </w:rPr>
              <w:t>13.7</w:t>
            </w:r>
          </w:p>
        </w:tc>
      </w:tr>
      <w:tr>
        <w:trPr>
          <w:trHeight w:val="270"/>
        </w:trPr>
        <w:tc>
          <w:tcPr>
            <w:tcW w:w="8900" w:type="dxa"/>
            <w:vAlign w:val="bottom"/>
            <w:shd w:val="clear" w:color="auto" w:fill="CCEEFF"/>
          </w:tcPr>
          <w:p>
            <w:pPr>
              <w:ind w:left="760"/>
              <w:spacing w:after="0" w:line="270" w:lineRule="exact"/>
              <w:rPr>
                <w:sz w:val="20"/>
                <w:szCs w:val="20"/>
                <w:color w:val="auto"/>
              </w:rPr>
            </w:pPr>
            <w:r>
              <w:rPr>
                <w:rFonts w:ascii="Arial" w:cs="Arial" w:eastAsia="Arial" w:hAnsi="Arial"/>
                <w:sz w:val="18"/>
                <w:szCs w:val="18"/>
                <w:color w:val="auto"/>
              </w:rPr>
              <w:t>Total oil equivalent (MBOE)</w:t>
            </w:r>
            <w:r>
              <w:rPr>
                <w:rFonts w:ascii="Arial" w:cs="Arial" w:eastAsia="Arial" w:hAnsi="Arial"/>
                <w:sz w:val="25"/>
                <w:szCs w:val="25"/>
                <w:color w:val="auto"/>
                <w:vertAlign w:val="superscript"/>
              </w:rPr>
              <w:t>(4)</w:t>
            </w:r>
          </w:p>
        </w:tc>
        <w:tc>
          <w:tcPr>
            <w:tcW w:w="26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6,476</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7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5,395</w:t>
            </w:r>
          </w:p>
        </w:tc>
      </w:tr>
      <w:tr>
        <w:trPr>
          <w:trHeight w:val="270"/>
        </w:trPr>
        <w:tc>
          <w:tcPr>
            <w:tcW w:w="8900" w:type="dxa"/>
            <w:vAlign w:val="bottom"/>
          </w:tcPr>
          <w:p>
            <w:pPr>
              <w:ind w:left="760"/>
              <w:spacing w:after="0" w:line="270" w:lineRule="exact"/>
              <w:rPr>
                <w:sz w:val="20"/>
                <w:szCs w:val="20"/>
                <w:color w:val="auto"/>
              </w:rPr>
            </w:pPr>
            <w:r>
              <w:rPr>
                <w:rFonts w:ascii="Arial" w:cs="Arial" w:eastAsia="Arial" w:hAnsi="Arial"/>
                <w:sz w:val="18"/>
                <w:szCs w:val="18"/>
                <w:color w:val="auto"/>
              </w:rPr>
              <w:t>Average daily production (BOE/d)</w:t>
            </w:r>
            <w:r>
              <w:rPr>
                <w:rFonts w:ascii="Arial" w:cs="Arial" w:eastAsia="Arial" w:hAnsi="Arial"/>
                <w:sz w:val="25"/>
                <w:szCs w:val="25"/>
                <w:color w:val="auto"/>
                <w:vertAlign w:val="superscript"/>
              </w:rPr>
              <w:t>(5)</w:t>
            </w:r>
          </w:p>
        </w:tc>
        <w:tc>
          <w:tcPr>
            <w:tcW w:w="260" w:type="dxa"/>
            <w:vAlign w:val="bottom"/>
          </w:tcPr>
          <w:p>
            <w:pPr>
              <w:spacing w:after="0"/>
              <w:rPr>
                <w:sz w:val="23"/>
                <w:szCs w:val="23"/>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71,161</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760" w:type="dxa"/>
            <w:vAlign w:val="bottom"/>
          </w:tcPr>
          <w:p>
            <w:pPr>
              <w:jc w:val="right"/>
              <w:ind w:right="11"/>
              <w:spacing w:after="0"/>
              <w:rPr>
                <w:sz w:val="20"/>
                <w:szCs w:val="20"/>
                <w:color w:val="auto"/>
              </w:rPr>
            </w:pPr>
            <w:r>
              <w:rPr>
                <w:rFonts w:ascii="Arial" w:cs="Arial" w:eastAsia="Arial" w:hAnsi="Arial"/>
                <w:sz w:val="18"/>
                <w:szCs w:val="18"/>
                <w:color w:val="auto"/>
              </w:rPr>
              <w:t>59,941</w:t>
            </w:r>
          </w:p>
        </w:tc>
      </w:tr>
      <w:tr>
        <w:trPr>
          <w:trHeight w:val="250"/>
        </w:trPr>
        <w:tc>
          <w:tcPr>
            <w:tcW w:w="8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Average Sales Prices:</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r>
      <w:tr>
        <w:trPr>
          <w:trHeight w:val="243"/>
        </w:trPr>
        <w:tc>
          <w:tcPr>
            <w:tcW w:w="8900" w:type="dxa"/>
            <w:vAlign w:val="bottom"/>
          </w:tcPr>
          <w:p>
            <w:pPr>
              <w:ind w:left="380"/>
              <w:spacing w:after="0"/>
              <w:rPr>
                <w:sz w:val="20"/>
                <w:szCs w:val="20"/>
                <w:color w:val="auto"/>
              </w:rPr>
            </w:pPr>
            <w:r>
              <w:rPr>
                <w:rFonts w:ascii="Arial" w:cs="Arial" w:eastAsia="Arial" w:hAnsi="Arial"/>
                <w:sz w:val="18"/>
                <w:szCs w:val="18"/>
                <w:color w:val="auto"/>
              </w:rPr>
              <w:t>Oil, without realized derivatives (per Bbl)</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45.87</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ind w:right="11"/>
              <w:spacing w:after="0"/>
              <w:rPr>
                <w:sz w:val="20"/>
                <w:szCs w:val="20"/>
                <w:color w:val="auto"/>
              </w:rPr>
            </w:pPr>
            <w:r>
              <w:rPr>
                <w:rFonts w:ascii="Arial" w:cs="Arial" w:eastAsia="Arial" w:hAnsi="Arial"/>
                <w:sz w:val="18"/>
                <w:szCs w:val="18"/>
                <w:color w:val="auto"/>
              </w:rPr>
              <w:t>49.64</w:t>
            </w:r>
          </w:p>
        </w:tc>
      </w:tr>
      <w:tr>
        <w:trPr>
          <w:trHeight w:val="27"/>
        </w:trPr>
        <w:tc>
          <w:tcPr>
            <w:tcW w:w="8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8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Oil, with realized derivatives (per Bbl)</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48.81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50.72</w:t>
            </w:r>
          </w:p>
        </w:tc>
      </w:tr>
      <w:tr>
        <w:trPr>
          <w:trHeight w:val="243"/>
        </w:trPr>
        <w:tc>
          <w:tcPr>
            <w:tcW w:w="8900" w:type="dxa"/>
            <w:vAlign w:val="bottom"/>
          </w:tcPr>
          <w:p>
            <w:pPr>
              <w:ind w:left="380"/>
              <w:spacing w:after="0"/>
              <w:rPr>
                <w:sz w:val="20"/>
                <w:szCs w:val="20"/>
                <w:color w:val="auto"/>
              </w:rPr>
            </w:pPr>
            <w:r>
              <w:rPr>
                <w:rFonts w:ascii="Arial" w:cs="Arial" w:eastAsia="Arial" w:hAnsi="Arial"/>
                <w:sz w:val="18"/>
                <w:szCs w:val="18"/>
                <w:color w:val="auto"/>
              </w:rPr>
              <w:t>Natural gas, without realized derivatives (per Mcf)</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1.70</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ind w:right="11"/>
              <w:spacing w:after="0"/>
              <w:rPr>
                <w:sz w:val="20"/>
                <w:szCs w:val="20"/>
                <w:color w:val="auto"/>
              </w:rPr>
            </w:pPr>
            <w:r>
              <w:rPr>
                <w:rFonts w:ascii="Arial" w:cs="Arial" w:eastAsia="Arial" w:hAnsi="Arial"/>
                <w:sz w:val="18"/>
                <w:szCs w:val="18"/>
                <w:color w:val="auto"/>
              </w:rPr>
              <w:t>2.85</w:t>
            </w:r>
          </w:p>
        </w:tc>
      </w:tr>
      <w:tr>
        <w:trPr>
          <w:trHeight w:val="27"/>
        </w:trPr>
        <w:tc>
          <w:tcPr>
            <w:tcW w:w="8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8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Natural gas, with realized derivatives (per Mcf)</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1.70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2.84</w:t>
            </w:r>
          </w:p>
        </w:tc>
      </w:tr>
      <w:tr>
        <w:trPr>
          <w:trHeight w:val="230"/>
        </w:trPr>
        <w:tc>
          <w:tcPr>
            <w:tcW w:w="8900" w:type="dxa"/>
            <w:vAlign w:val="bottom"/>
          </w:tcPr>
          <w:p>
            <w:pPr>
              <w:spacing w:after="0"/>
              <w:rPr>
                <w:sz w:val="20"/>
                <w:szCs w:val="20"/>
                <w:color w:val="auto"/>
              </w:rPr>
            </w:pPr>
            <w:r>
              <w:rPr>
                <w:rFonts w:ascii="Arial" w:cs="Arial" w:eastAsia="Arial" w:hAnsi="Arial"/>
                <w:sz w:val="18"/>
                <w:szCs w:val="18"/>
                <w:color w:val="auto"/>
              </w:rPr>
              <w:t>_________________</w:t>
            </w: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60" w:type="dxa"/>
            <w:vAlign w:val="bottom"/>
          </w:tcPr>
          <w:p>
            <w:pPr>
              <w:spacing w:after="0"/>
              <w:rPr>
                <w:sz w:val="20"/>
                <w:szCs w:val="20"/>
                <w:color w:val="auto"/>
              </w:rPr>
            </w:pPr>
          </w:p>
        </w:tc>
      </w:tr>
    </w:tbl>
    <w:p>
      <w:pPr>
        <w:spacing w:after="0" w:line="75" w:lineRule="exact"/>
        <w:rPr>
          <w:sz w:val="20"/>
          <w:szCs w:val="20"/>
          <w:color w:val="auto"/>
        </w:rPr>
      </w:pPr>
    </w:p>
    <w:p>
      <w:pPr>
        <w:ind w:left="340" w:right="280" w:hanging="332"/>
        <w:spacing w:after="0" w:line="273" w:lineRule="auto"/>
        <w:tabs>
          <w:tab w:leader="none" w:pos="340" w:val="left"/>
        </w:tabs>
        <w:numPr>
          <w:ilvl w:val="0"/>
          <w:numId w:val="15"/>
        </w:numPr>
        <w:rPr>
          <w:rFonts w:ascii="Arial" w:cs="Arial" w:eastAsia="Arial" w:hAnsi="Arial"/>
          <w:sz w:val="14"/>
          <w:szCs w:val="14"/>
          <w:color w:val="auto"/>
        </w:rPr>
      </w:pPr>
      <w:r>
        <w:rPr>
          <w:rFonts w:ascii="Arial" w:cs="Arial" w:eastAsia="Arial" w:hAnsi="Arial"/>
          <w:sz w:val="14"/>
          <w:szCs w:val="14"/>
          <w:color w:val="auto"/>
        </w:rPr>
        <w:t>We report our production volumes in two streams: oil and natural gas, including both dry and liquids-rich natural gas. Revenues associated with natural gas liquids are included with our natural gas revenues.</w:t>
      </w:r>
    </w:p>
    <w:p>
      <w:pPr>
        <w:spacing w:after="0" w:line="65" w:lineRule="exact"/>
        <w:rPr>
          <w:rFonts w:ascii="Arial" w:cs="Arial" w:eastAsia="Arial" w:hAnsi="Arial"/>
          <w:sz w:val="14"/>
          <w:szCs w:val="14"/>
          <w:color w:val="auto"/>
        </w:rPr>
      </w:pPr>
    </w:p>
    <w:p>
      <w:pPr>
        <w:ind w:left="340" w:hanging="332"/>
        <w:spacing w:after="0"/>
        <w:tabs>
          <w:tab w:leader="none" w:pos="340" w:val="left"/>
        </w:tabs>
        <w:numPr>
          <w:ilvl w:val="0"/>
          <w:numId w:val="15"/>
        </w:numPr>
        <w:rPr>
          <w:rFonts w:ascii="Arial" w:cs="Arial" w:eastAsia="Arial" w:hAnsi="Arial"/>
          <w:sz w:val="14"/>
          <w:szCs w:val="14"/>
          <w:color w:val="auto"/>
        </w:rPr>
      </w:pPr>
      <w:r>
        <w:rPr>
          <w:rFonts w:ascii="Arial" w:cs="Arial" w:eastAsia="Arial" w:hAnsi="Arial"/>
          <w:sz w:val="14"/>
          <w:szCs w:val="14"/>
          <w:color w:val="auto"/>
        </w:rPr>
        <w:t>One thousand Bbl of oil.</w:t>
      </w:r>
    </w:p>
    <w:p>
      <w:pPr>
        <w:spacing w:after="0" w:line="109" w:lineRule="exact"/>
        <w:rPr>
          <w:rFonts w:ascii="Arial" w:cs="Arial" w:eastAsia="Arial" w:hAnsi="Arial"/>
          <w:sz w:val="14"/>
          <w:szCs w:val="14"/>
          <w:color w:val="auto"/>
        </w:rPr>
      </w:pPr>
    </w:p>
    <w:p>
      <w:pPr>
        <w:ind w:left="340" w:hanging="332"/>
        <w:spacing w:after="0"/>
        <w:tabs>
          <w:tab w:leader="none" w:pos="340" w:val="left"/>
        </w:tabs>
        <w:numPr>
          <w:ilvl w:val="0"/>
          <w:numId w:val="15"/>
        </w:numPr>
        <w:rPr>
          <w:rFonts w:ascii="Arial" w:cs="Arial" w:eastAsia="Arial" w:hAnsi="Arial"/>
          <w:sz w:val="14"/>
          <w:szCs w:val="14"/>
          <w:color w:val="auto"/>
        </w:rPr>
      </w:pPr>
      <w:r>
        <w:rPr>
          <w:rFonts w:ascii="Arial" w:cs="Arial" w:eastAsia="Arial" w:hAnsi="Arial"/>
          <w:sz w:val="14"/>
          <w:szCs w:val="14"/>
          <w:color w:val="auto"/>
        </w:rPr>
        <w:t>One billion cubic feet of natural gas.</w:t>
      </w:r>
    </w:p>
    <w:p>
      <w:pPr>
        <w:spacing w:after="0" w:line="109" w:lineRule="exact"/>
        <w:rPr>
          <w:rFonts w:ascii="Arial" w:cs="Arial" w:eastAsia="Arial" w:hAnsi="Arial"/>
          <w:sz w:val="14"/>
          <w:szCs w:val="14"/>
          <w:color w:val="auto"/>
        </w:rPr>
      </w:pPr>
    </w:p>
    <w:p>
      <w:pPr>
        <w:ind w:left="340" w:hanging="332"/>
        <w:spacing w:after="0"/>
        <w:tabs>
          <w:tab w:leader="none" w:pos="340" w:val="left"/>
        </w:tabs>
        <w:numPr>
          <w:ilvl w:val="0"/>
          <w:numId w:val="15"/>
        </w:numPr>
        <w:rPr>
          <w:rFonts w:ascii="Arial" w:cs="Arial" w:eastAsia="Arial" w:hAnsi="Arial"/>
          <w:sz w:val="14"/>
          <w:szCs w:val="14"/>
          <w:color w:val="auto"/>
        </w:rPr>
      </w:pPr>
      <w:r>
        <w:rPr>
          <w:rFonts w:ascii="Arial" w:cs="Arial" w:eastAsia="Arial" w:hAnsi="Arial"/>
          <w:sz w:val="14"/>
          <w:szCs w:val="14"/>
          <w:color w:val="auto"/>
        </w:rPr>
        <w:t>One thousand Bbl of oil equivalent, estimated using a conversion ratio of one Bbl of oil per six Mcf of natural gas.</w:t>
      </w:r>
    </w:p>
    <w:p>
      <w:pPr>
        <w:spacing w:after="0" w:line="109" w:lineRule="exact"/>
        <w:rPr>
          <w:rFonts w:ascii="Arial" w:cs="Arial" w:eastAsia="Arial" w:hAnsi="Arial"/>
          <w:sz w:val="14"/>
          <w:szCs w:val="14"/>
          <w:color w:val="auto"/>
        </w:rPr>
      </w:pPr>
    </w:p>
    <w:p>
      <w:pPr>
        <w:ind w:left="340" w:hanging="332"/>
        <w:spacing w:after="0"/>
        <w:tabs>
          <w:tab w:leader="none" w:pos="340" w:val="left"/>
        </w:tabs>
        <w:numPr>
          <w:ilvl w:val="0"/>
          <w:numId w:val="15"/>
        </w:numPr>
        <w:rPr>
          <w:rFonts w:ascii="Arial" w:cs="Arial" w:eastAsia="Arial" w:hAnsi="Arial"/>
          <w:sz w:val="14"/>
          <w:szCs w:val="14"/>
          <w:color w:val="auto"/>
        </w:rPr>
      </w:pPr>
      <w:r>
        <w:rPr>
          <w:rFonts w:ascii="Arial" w:cs="Arial" w:eastAsia="Arial" w:hAnsi="Arial"/>
          <w:sz w:val="14"/>
          <w:szCs w:val="14"/>
          <w:color w:val="auto"/>
        </w:rPr>
        <w:t>Barrels of oil equivalent per day, estimated using a conversion ratio of one Bbl of oil per six Mcf of natural gas.</w:t>
      </w:r>
    </w:p>
    <w:p>
      <w:pPr>
        <w:spacing w:after="0" w:line="113"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Three Months Ended March 31, 2020 as Compared to Three Months Ended March 31, 2019</w:t>
      </w:r>
    </w:p>
    <w:p>
      <w:pPr>
        <w:spacing w:after="0" w:line="117" w:lineRule="exact"/>
        <w:rPr>
          <w:sz w:val="20"/>
          <w:szCs w:val="20"/>
          <w:color w:val="auto"/>
        </w:rPr>
      </w:pPr>
    </w:p>
    <w:p>
      <w:pPr>
        <w:ind w:right="40" w:firstLine="405"/>
        <w:spacing w:after="0" w:line="268" w:lineRule="auto"/>
        <w:rPr>
          <w:sz w:val="20"/>
          <w:szCs w:val="20"/>
          <w:color w:val="auto"/>
        </w:rPr>
      </w:pPr>
      <w:r>
        <w:rPr>
          <w:rFonts w:ascii="Arial" w:cs="Arial" w:eastAsia="Arial" w:hAnsi="Arial"/>
          <w:sz w:val="17"/>
          <w:szCs w:val="17"/>
          <w:i w:val="1"/>
          <w:iCs w:val="1"/>
          <w:color w:val="auto"/>
        </w:rPr>
        <w:t xml:space="preserve">Oil and natural gas revenues. </w:t>
      </w:r>
      <w:r>
        <w:rPr>
          <w:rFonts w:ascii="Arial" w:cs="Arial" w:eastAsia="Arial" w:hAnsi="Arial"/>
          <w:sz w:val="17"/>
          <w:szCs w:val="17"/>
          <w:color w:val="auto"/>
        </w:rPr>
        <w:t>Our oil and natural gas revenues increased $4.6 million, or 2%, to $197.9 million for the three months ended March 31,</w:t>
      </w:r>
      <w:r>
        <w:rPr>
          <w:rFonts w:ascii="Arial" w:cs="Arial" w:eastAsia="Arial" w:hAnsi="Arial"/>
          <w:sz w:val="17"/>
          <w:szCs w:val="17"/>
          <w:i w:val="1"/>
          <w:iCs w:val="1"/>
          <w:color w:val="auto"/>
        </w:rPr>
        <w:t xml:space="preserve"> </w:t>
      </w:r>
      <w:r>
        <w:rPr>
          <w:rFonts w:ascii="Arial" w:cs="Arial" w:eastAsia="Arial" w:hAnsi="Arial"/>
          <w:sz w:val="17"/>
          <w:szCs w:val="17"/>
          <w:color w:val="auto"/>
        </w:rPr>
        <w:t>2020, as compared to $193.3 million for the three months ended March 31, 2019. Our oil revenues increased $15.4 million, or 10%, to $169.6 million for the three months ended March 31, 2020, as compared to $154.2 million for the three months ended March 31, 2019. The increase in oil revenues resulted from the 19% increase in our oil production to 3.7 million Bbl of oil for the three months ended March 31, 2020, as compared to 3.1 million Bbl of oil for the three months ended March 31, 2019. The increase in oil production was primarily attributable to our ongoing delineation and development drilling activities in the Delaware Basin. This increase was partially offset by a lower weighted average oil price realized for the three months ended March 31, 2020 of $45.87 per Bbl, a decrease of 8% as compared to $49.64 per Bbl realized for the three months ended March 31, 2019. Our natural gas revenues decreased by $10.7 million, or 27%, to $28.3 million for the three months ended March 31, 2020, as compared to $39.1 million for the three months ended March 31, 2019. The decrease in natural gas revenues resulted from a 40% decrease in realized natural gas prices to $1.70 per Mcf for the three months ended March 31, 2020, as compared to $2.85 per Mcf realized for the three months ended March 31, 2019. This decrease was partially offset by the 22% increase in our natural gas production to 16.7 Bcf for the three months ended March 31, 2020, as compared to 13.7 Bcf for the three months ended March 31, 2019. The increase in natural gas production was primarily attributable to our ongoing delineation and development drilling activities in the Delaware Basin as well as from significant volumes of natural gas production associated with two non-operated Haynesville shale wells completed and placed on production during the third quarter of 2019.</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240"/>
          </w:cols>
          <w:pgMar w:left="320" w:top="125" w:right="33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ind w:right="100" w:firstLine="405"/>
        <w:spacing w:after="0" w:line="254" w:lineRule="auto"/>
        <w:rPr>
          <w:sz w:val="20"/>
          <w:szCs w:val="20"/>
          <w:color w:val="auto"/>
        </w:rPr>
      </w:pPr>
      <w:r>
        <w:rPr>
          <w:rFonts w:ascii="Arial" w:cs="Arial" w:eastAsia="Arial" w:hAnsi="Arial"/>
          <w:sz w:val="18"/>
          <w:szCs w:val="18"/>
          <w:i w:val="1"/>
          <w:iCs w:val="1"/>
          <w:color w:val="auto"/>
        </w:rPr>
        <w:t xml:space="preserve">Third-party midstream services revenues. </w:t>
      </w:r>
      <w:r>
        <w:rPr>
          <w:rFonts w:ascii="Arial" w:cs="Arial" w:eastAsia="Arial" w:hAnsi="Arial"/>
          <w:sz w:val="18"/>
          <w:szCs w:val="18"/>
          <w:color w:val="auto"/>
        </w:rPr>
        <w:t>Our third-party midstream services revenues increased $4.0 million, or 34%, to $15.8 million for the three</w:t>
      </w:r>
      <w:r>
        <w:rPr>
          <w:rFonts w:ascii="Arial" w:cs="Arial" w:eastAsia="Arial" w:hAnsi="Arial"/>
          <w:sz w:val="18"/>
          <w:szCs w:val="18"/>
          <w:i w:val="1"/>
          <w:iCs w:val="1"/>
          <w:color w:val="auto"/>
        </w:rPr>
        <w:t xml:space="preserve"> </w:t>
      </w:r>
      <w:r>
        <w:rPr>
          <w:rFonts w:ascii="Arial" w:cs="Arial" w:eastAsia="Arial" w:hAnsi="Arial"/>
          <w:sz w:val="18"/>
          <w:szCs w:val="18"/>
          <w:color w:val="auto"/>
        </w:rPr>
        <w:t>months ended March 31, 2020, as compared to $11.8 million for the three months ended March 31, 2019. Third-party midstream services revenues are those revenues from midstream operations related to third parties, including working interest owners in our operated wells. This increase was primarily attributable to (i) an increase in our third-party natural gas gathering, transportation and processing revenues to approximately $7.1 million for the three months ended March 31, 2020, as compared to $4.5 million for the three months ended March 31, 2019, and (ii) an increase in our third-party salt water gathering and disposal revenues to approximately $6.7 million for the three months ended March 31, 2020, as compared to approximately $5.7 million for the three months ended March 31, 2019.</w:t>
      </w:r>
    </w:p>
    <w:p>
      <w:pPr>
        <w:spacing w:after="0" w:line="87" w:lineRule="exact"/>
        <w:rPr>
          <w:sz w:val="20"/>
          <w:szCs w:val="20"/>
          <w:color w:val="auto"/>
        </w:rPr>
      </w:pPr>
    </w:p>
    <w:p>
      <w:pPr>
        <w:ind w:right="60" w:firstLine="432"/>
        <w:spacing w:after="0" w:line="291" w:lineRule="auto"/>
        <w:rPr>
          <w:sz w:val="20"/>
          <w:szCs w:val="20"/>
          <w:color w:val="auto"/>
        </w:rPr>
      </w:pPr>
      <w:r>
        <w:rPr>
          <w:rFonts w:ascii="Arial" w:cs="Arial" w:eastAsia="Arial" w:hAnsi="Arial"/>
          <w:sz w:val="16"/>
          <w:szCs w:val="16"/>
          <w:i w:val="1"/>
          <w:iCs w:val="1"/>
          <w:color w:val="auto"/>
        </w:rPr>
        <w:t xml:space="preserve">Sales of purchased natural gas. </w:t>
      </w:r>
      <w:r>
        <w:rPr>
          <w:rFonts w:ascii="Arial" w:cs="Arial" w:eastAsia="Arial" w:hAnsi="Arial"/>
          <w:sz w:val="16"/>
          <w:szCs w:val="16"/>
          <w:color w:val="auto"/>
        </w:rPr>
        <w:t>Our sales of purchased natural gas decreased $0.7 million, or 6%, to $10.5 million for the three months ended March</w:t>
      </w:r>
      <w:r>
        <w:rPr>
          <w:rFonts w:ascii="Arial" w:cs="Arial" w:eastAsia="Arial" w:hAnsi="Arial"/>
          <w:sz w:val="16"/>
          <w:szCs w:val="16"/>
          <w:i w:val="1"/>
          <w:iCs w:val="1"/>
          <w:color w:val="auto"/>
        </w:rPr>
        <w:t xml:space="preserve"> </w:t>
      </w:r>
      <w:r>
        <w:rPr>
          <w:rFonts w:ascii="Arial" w:cs="Arial" w:eastAsia="Arial" w:hAnsi="Arial"/>
          <w:sz w:val="16"/>
          <w:szCs w:val="16"/>
          <w:color w:val="auto"/>
        </w:rPr>
        <w:t>31, 2020, as compared to $11.2 million for the three months ended March 31, 2019. The decrease was the result of a decrease in both the volume sold and the weighted average natural gas price realized for the three months ended March 31, 2020. Sales of purchased natural gas primarily reflect those natural gas purchase transactions that we periodically enter into with third parties whereby we purchase natural gas, process the natural gas at San Mateo’s Black River cryogenic natural gas processing plant in Eddy County, New Mexico (the “Black River Processing Plant”) and subsequently sell the residue gas and natural gas liquids (“NGL”) to other purchasers. These revenues, and the expenses related to these transactions included in “Purchased natural gas,” are presented on a gross basis in our interim unaudited condensed consolidated statement of operations.</w:t>
      </w:r>
    </w:p>
    <w:p>
      <w:pPr>
        <w:spacing w:after="0" w:line="58" w:lineRule="exact"/>
        <w:rPr>
          <w:sz w:val="20"/>
          <w:szCs w:val="20"/>
          <w:color w:val="auto"/>
        </w:rPr>
      </w:pPr>
    </w:p>
    <w:p>
      <w:pPr>
        <w:ind w:firstLine="432"/>
        <w:spacing w:after="0" w:line="271" w:lineRule="auto"/>
        <w:rPr>
          <w:sz w:val="20"/>
          <w:szCs w:val="20"/>
          <w:color w:val="auto"/>
        </w:rPr>
      </w:pPr>
      <w:r>
        <w:rPr>
          <w:rFonts w:ascii="Arial" w:cs="Arial" w:eastAsia="Arial" w:hAnsi="Arial"/>
          <w:sz w:val="17"/>
          <w:szCs w:val="17"/>
          <w:i w:val="1"/>
          <w:iCs w:val="1"/>
          <w:color w:val="auto"/>
        </w:rPr>
        <w:t xml:space="preserve">Realized gain on derivatives. </w:t>
      </w:r>
      <w:r>
        <w:rPr>
          <w:rFonts w:ascii="Arial" w:cs="Arial" w:eastAsia="Arial" w:hAnsi="Arial"/>
          <w:sz w:val="17"/>
          <w:szCs w:val="17"/>
          <w:color w:val="auto"/>
        </w:rPr>
        <w:t>Our realized net gain on derivatives was $10.9 million for the three months ended March 31, 2020, as compared to a</w:t>
      </w:r>
      <w:r>
        <w:rPr>
          <w:rFonts w:ascii="Arial" w:cs="Arial" w:eastAsia="Arial" w:hAnsi="Arial"/>
          <w:sz w:val="17"/>
          <w:szCs w:val="17"/>
          <w:i w:val="1"/>
          <w:iCs w:val="1"/>
          <w:color w:val="auto"/>
        </w:rPr>
        <w:t xml:space="preserve"> </w:t>
      </w:r>
      <w:r>
        <w:rPr>
          <w:rFonts w:ascii="Arial" w:cs="Arial" w:eastAsia="Arial" w:hAnsi="Arial"/>
          <w:sz w:val="17"/>
          <w:szCs w:val="17"/>
          <w:color w:val="auto"/>
        </w:rPr>
        <w:t>realized net gain of $3.3 million for the three months ended March 31, 2019. We realized a net gain of $11.5 million related to our oil costless collar contracts for the three months ended March 31, 2020, resulting from oil prices that were below the floor prices of certain of our oil costless collar contracts. We realized a net loss of $0.6 million related to our oil basis swap contracts for the three months ended March 31, 2020, resulting from oil basis prices that were above the fixed prices of certain of our oil basis swap contracts. We realized an average gain on our oil derivatives contracts of approximately $2.94 per Bbl produced during the three months ended March 31, 2020, as compared to an average gain of approximately $1.08 per Bbl produced during the three months ended March 31, 2019. Our total oil volumes hedged for the three months ended March 31, 2020 represented 54% of our total oil production, as compared to 44% of our total oil production for the three months ended March 31, 2019.</w:t>
      </w:r>
    </w:p>
    <w:p>
      <w:pPr>
        <w:spacing w:after="0" w:line="70" w:lineRule="exact"/>
        <w:rPr>
          <w:sz w:val="20"/>
          <w:szCs w:val="20"/>
          <w:color w:val="auto"/>
        </w:rPr>
      </w:pPr>
    </w:p>
    <w:p>
      <w:pPr>
        <w:ind w:right="100" w:firstLine="432"/>
        <w:spacing w:after="0" w:line="293" w:lineRule="auto"/>
        <w:rPr>
          <w:sz w:val="20"/>
          <w:szCs w:val="20"/>
          <w:color w:val="auto"/>
        </w:rPr>
      </w:pPr>
      <w:r>
        <w:rPr>
          <w:rFonts w:ascii="Arial" w:cs="Arial" w:eastAsia="Arial" w:hAnsi="Arial"/>
          <w:sz w:val="16"/>
          <w:szCs w:val="16"/>
          <w:i w:val="1"/>
          <w:iCs w:val="1"/>
          <w:color w:val="auto"/>
        </w:rPr>
        <w:t xml:space="preserve">Unrealized gain (loss) on derivatives. </w:t>
      </w:r>
      <w:r>
        <w:rPr>
          <w:rFonts w:ascii="Arial" w:cs="Arial" w:eastAsia="Arial" w:hAnsi="Arial"/>
          <w:sz w:val="16"/>
          <w:szCs w:val="16"/>
          <w:color w:val="auto"/>
        </w:rPr>
        <w:t>Our unrealized net gain on derivatives was $136.4 million for the three months ended March 31, 2020, as</w:t>
      </w:r>
      <w:r>
        <w:rPr>
          <w:rFonts w:ascii="Arial" w:cs="Arial" w:eastAsia="Arial" w:hAnsi="Arial"/>
          <w:sz w:val="16"/>
          <w:szCs w:val="16"/>
          <w:i w:val="1"/>
          <w:iCs w:val="1"/>
          <w:color w:val="auto"/>
        </w:rPr>
        <w:t xml:space="preserve"> </w:t>
      </w:r>
      <w:r>
        <w:rPr>
          <w:rFonts w:ascii="Arial" w:cs="Arial" w:eastAsia="Arial" w:hAnsi="Arial"/>
          <w:sz w:val="16"/>
          <w:szCs w:val="16"/>
          <w:color w:val="auto"/>
        </w:rPr>
        <w:t>compared to an unrealized net loss of $45.7 million for the three months ended March 31, 2019. During the three months ended March 31, 2020, the net fair value of our open oil and natural gas derivative contracts increased to a net asset of $132.6 million from a net liability of $3.9 million at December 31, 2019, resulting in an unrealized gain on derivatives of $136.4 million for the three months ended March 31, 2020. During the three months ended March 31, 2019, the net fair value of our open oil and natural gas derivative contracts decreased to a net asset of $4.1 million from a net asset of $49.8 million at December 31, 2018, resulting in an unrealized loss on derivatives of $45.7 million for the three months ended March 31, 2019.</w:t>
      </w:r>
    </w:p>
    <w:p>
      <w:pPr>
        <w:spacing w:after="0" w:line="16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220"/>
          </w:cols>
          <w:pgMar w:left="320" w:top="125" w:right="35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Expenses</w:t>
      </w:r>
    </w:p>
    <w:p>
      <w:pPr>
        <w:spacing w:after="0" w:line="12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summarizes our unaudited operating expenses and other income (expense) for the periods indicated:</w:t>
      </w:r>
    </w:p>
    <w:p>
      <w:pPr>
        <w:spacing w:after="0" w:line="271" w:lineRule="exact"/>
        <w:rPr>
          <w:sz w:val="20"/>
          <w:szCs w:val="20"/>
          <w:color w:val="auto"/>
        </w:rPr>
      </w:pPr>
    </w:p>
    <w:p>
      <w:pPr>
        <w:ind w:left="9400"/>
        <w:spacing w:after="0"/>
        <w:rPr>
          <w:sz w:val="20"/>
          <w:szCs w:val="20"/>
          <w:color w:val="auto"/>
        </w:rPr>
      </w:pPr>
      <w:r>
        <w:rPr>
          <w:rFonts w:ascii="Arial" w:cs="Arial" w:eastAsia="Arial" w:hAnsi="Arial"/>
          <w:sz w:val="14"/>
          <w:szCs w:val="14"/>
          <w:b w:val="1"/>
          <w:bCs w:val="1"/>
          <w:color w:val="auto"/>
        </w:rPr>
        <w:t>Three Months Ended</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888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March 31,</w:t>
            </w:r>
          </w:p>
        </w:tc>
        <w:tc>
          <w:tcPr>
            <w:tcW w:w="7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57"/>
        </w:trPr>
        <w:tc>
          <w:tcPr>
            <w:tcW w:w="8880" w:type="dxa"/>
            <w:vAlign w:val="bottom"/>
          </w:tcPr>
          <w:p>
            <w:pPr>
              <w:ind w:left="40"/>
              <w:spacing w:after="0"/>
              <w:rPr>
                <w:sz w:val="20"/>
                <w:szCs w:val="20"/>
                <w:color w:val="auto"/>
              </w:rPr>
            </w:pPr>
            <w:r>
              <w:rPr>
                <w:rFonts w:ascii="Arial" w:cs="Arial" w:eastAsia="Arial" w:hAnsi="Arial"/>
                <w:sz w:val="14"/>
                <w:szCs w:val="14"/>
                <w:b w:val="1"/>
                <w:bCs w:val="1"/>
                <w:color w:val="auto"/>
              </w:rPr>
              <w:t>(In thousands, except expenses per BOE)</w:t>
            </w:r>
          </w:p>
        </w:tc>
        <w:tc>
          <w:tcPr>
            <w:tcW w:w="2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311"/>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30"/>
        </w:trPr>
        <w:tc>
          <w:tcPr>
            <w:tcW w:w="8880" w:type="dxa"/>
            <w:vAlign w:val="bottom"/>
          </w:tcPr>
          <w:p>
            <w:pPr>
              <w:ind w:left="40"/>
              <w:spacing w:after="0"/>
              <w:rPr>
                <w:sz w:val="20"/>
                <w:szCs w:val="20"/>
                <w:color w:val="auto"/>
              </w:rPr>
            </w:pPr>
            <w:r>
              <w:rPr>
                <w:rFonts w:ascii="Arial" w:cs="Arial" w:eastAsia="Arial" w:hAnsi="Arial"/>
                <w:sz w:val="18"/>
                <w:szCs w:val="18"/>
                <w:b w:val="1"/>
                <w:bCs w:val="1"/>
                <w:color w:val="auto"/>
              </w:rPr>
              <w:t>Expenses:</w:t>
            </w: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
        </w:trPr>
        <w:tc>
          <w:tcPr>
            <w:tcW w:w="8880" w:type="dxa"/>
            <w:vAlign w:val="bottom"/>
          </w:tcPr>
          <w:p>
            <w:pPr>
              <w:spacing w:after="0"/>
              <w:rPr>
                <w:sz w:val="3"/>
                <w:szCs w:val="3"/>
                <w:color w:val="auto"/>
              </w:rPr>
            </w:pPr>
          </w:p>
        </w:tc>
        <w:tc>
          <w:tcPr>
            <w:tcW w:w="260" w:type="dxa"/>
            <w:vAlign w:val="bottom"/>
          </w:tcPr>
          <w:p>
            <w:pPr>
              <w:spacing w:after="0"/>
              <w:rPr>
                <w:sz w:val="3"/>
                <w:szCs w:val="3"/>
                <w:color w:val="auto"/>
              </w:rPr>
            </w:pPr>
          </w:p>
        </w:tc>
        <w:tc>
          <w:tcPr>
            <w:tcW w:w="860" w:type="dxa"/>
            <w:vAlign w:val="bottom"/>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88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Production taxes, transportation and processing</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21,716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19,665</w:t>
            </w:r>
          </w:p>
        </w:tc>
        <w:tc>
          <w:tcPr>
            <w:tcW w:w="0" w:type="dxa"/>
            <w:vAlign w:val="bottom"/>
          </w:tcPr>
          <w:p>
            <w:pPr>
              <w:spacing w:after="0"/>
              <w:rPr>
                <w:sz w:val="1"/>
                <w:szCs w:val="1"/>
                <w:color w:val="auto"/>
              </w:rPr>
            </w:pPr>
          </w:p>
        </w:tc>
      </w:tr>
      <w:tr>
        <w:trPr>
          <w:trHeight w:val="243"/>
        </w:trPr>
        <w:tc>
          <w:tcPr>
            <w:tcW w:w="8880" w:type="dxa"/>
            <w:vAlign w:val="bottom"/>
          </w:tcPr>
          <w:p>
            <w:pPr>
              <w:ind w:left="720"/>
              <w:spacing w:after="0"/>
              <w:rPr>
                <w:sz w:val="20"/>
                <w:szCs w:val="20"/>
                <w:color w:val="auto"/>
              </w:rPr>
            </w:pPr>
            <w:r>
              <w:rPr>
                <w:rFonts w:ascii="Arial" w:cs="Arial" w:eastAsia="Arial" w:hAnsi="Arial"/>
                <w:sz w:val="18"/>
                <w:szCs w:val="18"/>
                <w:color w:val="auto"/>
              </w:rPr>
              <w:t>Lease operating</w:t>
            </w:r>
          </w:p>
        </w:tc>
        <w:tc>
          <w:tcPr>
            <w:tcW w:w="260" w:type="dxa"/>
            <w:vAlign w:val="bottom"/>
          </w:tcPr>
          <w:p>
            <w:pPr>
              <w:spacing w:after="0"/>
              <w:rPr>
                <w:sz w:val="21"/>
                <w:szCs w:val="21"/>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30,910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60" w:type="dxa"/>
            <w:vAlign w:val="bottom"/>
          </w:tcPr>
          <w:p>
            <w:pPr>
              <w:jc w:val="right"/>
              <w:ind w:right="11"/>
              <w:spacing w:after="0"/>
              <w:rPr>
                <w:sz w:val="20"/>
                <w:szCs w:val="20"/>
                <w:color w:val="auto"/>
              </w:rPr>
            </w:pPr>
            <w:r>
              <w:rPr>
                <w:rFonts w:ascii="Arial" w:cs="Arial" w:eastAsia="Arial" w:hAnsi="Arial"/>
                <w:sz w:val="18"/>
                <w:szCs w:val="18"/>
                <w:color w:val="auto"/>
              </w:rPr>
              <w:t>31,163</w:t>
            </w:r>
          </w:p>
        </w:tc>
        <w:tc>
          <w:tcPr>
            <w:tcW w:w="0" w:type="dxa"/>
            <w:vAlign w:val="bottom"/>
          </w:tcPr>
          <w:p>
            <w:pPr>
              <w:spacing w:after="0"/>
              <w:rPr>
                <w:sz w:val="1"/>
                <w:szCs w:val="1"/>
                <w:color w:val="auto"/>
              </w:rPr>
            </w:pPr>
          </w:p>
        </w:tc>
      </w:tr>
      <w:tr>
        <w:trPr>
          <w:trHeight w:val="27"/>
        </w:trPr>
        <w:tc>
          <w:tcPr>
            <w:tcW w:w="88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Plant and other midstream services operating</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9,964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9,316</w:t>
            </w:r>
          </w:p>
        </w:tc>
        <w:tc>
          <w:tcPr>
            <w:tcW w:w="0" w:type="dxa"/>
            <w:vAlign w:val="bottom"/>
          </w:tcPr>
          <w:p>
            <w:pPr>
              <w:spacing w:after="0"/>
              <w:rPr>
                <w:sz w:val="1"/>
                <w:szCs w:val="1"/>
                <w:color w:val="auto"/>
              </w:rPr>
            </w:pPr>
          </w:p>
        </w:tc>
      </w:tr>
      <w:tr>
        <w:trPr>
          <w:trHeight w:val="243"/>
        </w:trPr>
        <w:tc>
          <w:tcPr>
            <w:tcW w:w="8880" w:type="dxa"/>
            <w:vAlign w:val="bottom"/>
          </w:tcPr>
          <w:p>
            <w:pPr>
              <w:ind w:left="720"/>
              <w:spacing w:after="0"/>
              <w:rPr>
                <w:sz w:val="20"/>
                <w:szCs w:val="20"/>
                <w:color w:val="auto"/>
              </w:rPr>
            </w:pPr>
            <w:r>
              <w:rPr>
                <w:rFonts w:ascii="Arial" w:cs="Arial" w:eastAsia="Arial" w:hAnsi="Arial"/>
                <w:sz w:val="18"/>
                <w:szCs w:val="18"/>
                <w:color w:val="auto"/>
              </w:rPr>
              <w:t>Purchased natural gas</w:t>
            </w:r>
          </w:p>
        </w:tc>
        <w:tc>
          <w:tcPr>
            <w:tcW w:w="260" w:type="dxa"/>
            <w:vAlign w:val="bottom"/>
          </w:tcPr>
          <w:p>
            <w:pPr>
              <w:spacing w:after="0"/>
              <w:rPr>
                <w:sz w:val="21"/>
                <w:szCs w:val="21"/>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8,058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60" w:type="dxa"/>
            <w:vAlign w:val="bottom"/>
          </w:tcPr>
          <w:p>
            <w:pPr>
              <w:jc w:val="right"/>
              <w:ind w:right="11"/>
              <w:spacing w:after="0"/>
              <w:rPr>
                <w:sz w:val="20"/>
                <w:szCs w:val="20"/>
                <w:color w:val="auto"/>
              </w:rPr>
            </w:pPr>
            <w:r>
              <w:rPr>
                <w:rFonts w:ascii="Arial" w:cs="Arial" w:eastAsia="Arial" w:hAnsi="Arial"/>
                <w:sz w:val="18"/>
                <w:szCs w:val="18"/>
                <w:color w:val="auto"/>
              </w:rPr>
              <w:t>10,634</w:t>
            </w:r>
          </w:p>
        </w:tc>
        <w:tc>
          <w:tcPr>
            <w:tcW w:w="0" w:type="dxa"/>
            <w:vAlign w:val="bottom"/>
          </w:tcPr>
          <w:p>
            <w:pPr>
              <w:spacing w:after="0"/>
              <w:rPr>
                <w:sz w:val="1"/>
                <w:szCs w:val="1"/>
                <w:color w:val="auto"/>
              </w:rPr>
            </w:pPr>
          </w:p>
        </w:tc>
      </w:tr>
      <w:tr>
        <w:trPr>
          <w:trHeight w:val="27"/>
        </w:trPr>
        <w:tc>
          <w:tcPr>
            <w:tcW w:w="88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Depletion, depreciation and amortization</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90,707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76,866</w:t>
            </w:r>
          </w:p>
        </w:tc>
        <w:tc>
          <w:tcPr>
            <w:tcW w:w="0" w:type="dxa"/>
            <w:vAlign w:val="bottom"/>
          </w:tcPr>
          <w:p>
            <w:pPr>
              <w:spacing w:after="0"/>
              <w:rPr>
                <w:sz w:val="1"/>
                <w:szCs w:val="1"/>
                <w:color w:val="auto"/>
              </w:rPr>
            </w:pPr>
          </w:p>
        </w:tc>
      </w:tr>
      <w:tr>
        <w:trPr>
          <w:trHeight w:val="243"/>
        </w:trPr>
        <w:tc>
          <w:tcPr>
            <w:tcW w:w="8880" w:type="dxa"/>
            <w:vAlign w:val="bottom"/>
          </w:tcPr>
          <w:p>
            <w:pPr>
              <w:ind w:left="720"/>
              <w:spacing w:after="0"/>
              <w:rPr>
                <w:sz w:val="20"/>
                <w:szCs w:val="20"/>
                <w:color w:val="auto"/>
              </w:rPr>
            </w:pPr>
            <w:r>
              <w:rPr>
                <w:rFonts w:ascii="Arial" w:cs="Arial" w:eastAsia="Arial" w:hAnsi="Arial"/>
                <w:sz w:val="18"/>
                <w:szCs w:val="18"/>
                <w:color w:val="auto"/>
              </w:rPr>
              <w:t>Accretion of asset retirement obligations</w:t>
            </w:r>
          </w:p>
        </w:tc>
        <w:tc>
          <w:tcPr>
            <w:tcW w:w="260" w:type="dxa"/>
            <w:vAlign w:val="bottom"/>
          </w:tcPr>
          <w:p>
            <w:pPr>
              <w:spacing w:after="0"/>
              <w:rPr>
                <w:sz w:val="21"/>
                <w:szCs w:val="21"/>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476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60" w:type="dxa"/>
            <w:vAlign w:val="bottom"/>
          </w:tcPr>
          <w:p>
            <w:pPr>
              <w:jc w:val="right"/>
              <w:ind w:right="11"/>
              <w:spacing w:after="0"/>
              <w:rPr>
                <w:sz w:val="20"/>
                <w:szCs w:val="20"/>
                <w:color w:val="auto"/>
              </w:rPr>
            </w:pPr>
            <w:r>
              <w:rPr>
                <w:rFonts w:ascii="Arial" w:cs="Arial" w:eastAsia="Arial" w:hAnsi="Arial"/>
                <w:sz w:val="18"/>
                <w:szCs w:val="18"/>
                <w:color w:val="auto"/>
              </w:rPr>
              <w:t>414</w:t>
            </w:r>
          </w:p>
        </w:tc>
        <w:tc>
          <w:tcPr>
            <w:tcW w:w="0" w:type="dxa"/>
            <w:vAlign w:val="bottom"/>
          </w:tcPr>
          <w:p>
            <w:pPr>
              <w:spacing w:after="0"/>
              <w:rPr>
                <w:sz w:val="1"/>
                <w:szCs w:val="1"/>
                <w:color w:val="auto"/>
              </w:rPr>
            </w:pPr>
          </w:p>
        </w:tc>
      </w:tr>
      <w:tr>
        <w:trPr>
          <w:trHeight w:val="27"/>
        </w:trPr>
        <w:tc>
          <w:tcPr>
            <w:tcW w:w="88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8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General and administrative</w:t>
            </w:r>
          </w:p>
        </w:tc>
        <w:tc>
          <w:tcPr>
            <w:tcW w:w="2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16,222</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18,290</w:t>
            </w:r>
          </w:p>
        </w:tc>
        <w:tc>
          <w:tcPr>
            <w:tcW w:w="0" w:type="dxa"/>
            <w:vAlign w:val="bottom"/>
          </w:tcPr>
          <w:p>
            <w:pPr>
              <w:spacing w:after="0"/>
              <w:rPr>
                <w:sz w:val="1"/>
                <w:szCs w:val="1"/>
                <w:color w:val="auto"/>
              </w:rPr>
            </w:pPr>
          </w:p>
        </w:tc>
      </w:tr>
      <w:tr>
        <w:trPr>
          <w:trHeight w:val="237"/>
        </w:trPr>
        <w:tc>
          <w:tcPr>
            <w:tcW w:w="8880" w:type="dxa"/>
            <w:vAlign w:val="bottom"/>
          </w:tcPr>
          <w:p>
            <w:pPr>
              <w:ind w:left="1140"/>
              <w:spacing w:after="0"/>
              <w:rPr>
                <w:sz w:val="20"/>
                <w:szCs w:val="20"/>
                <w:color w:val="auto"/>
              </w:rPr>
            </w:pPr>
            <w:r>
              <w:rPr>
                <w:rFonts w:ascii="Arial" w:cs="Arial" w:eastAsia="Arial" w:hAnsi="Arial"/>
                <w:sz w:val="18"/>
                <w:szCs w:val="18"/>
                <w:color w:val="auto"/>
              </w:rPr>
              <w:t>Total expenses</w:t>
            </w:r>
          </w:p>
        </w:tc>
        <w:tc>
          <w:tcPr>
            <w:tcW w:w="26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178,053</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w w:val="98"/>
              </w:rPr>
              <w:t>166,348</w:t>
            </w:r>
          </w:p>
        </w:tc>
        <w:tc>
          <w:tcPr>
            <w:tcW w:w="0" w:type="dxa"/>
            <w:vAlign w:val="bottom"/>
          </w:tcPr>
          <w:p>
            <w:pPr>
              <w:spacing w:after="0"/>
              <w:rPr>
                <w:sz w:val="1"/>
                <w:szCs w:val="1"/>
                <w:color w:val="auto"/>
              </w:rPr>
            </w:pPr>
          </w:p>
        </w:tc>
      </w:tr>
      <w:tr>
        <w:trPr>
          <w:trHeight w:val="27"/>
        </w:trPr>
        <w:tc>
          <w:tcPr>
            <w:tcW w:w="88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193,532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7,541</w:t>
            </w:r>
          </w:p>
        </w:tc>
        <w:tc>
          <w:tcPr>
            <w:tcW w:w="0" w:type="dxa"/>
            <w:vAlign w:val="bottom"/>
          </w:tcPr>
          <w:p>
            <w:pPr>
              <w:spacing w:after="0"/>
              <w:rPr>
                <w:sz w:val="1"/>
                <w:szCs w:val="1"/>
                <w:color w:val="auto"/>
              </w:rPr>
            </w:pPr>
          </w:p>
        </w:tc>
      </w:tr>
      <w:tr>
        <w:trPr>
          <w:trHeight w:val="243"/>
        </w:trPr>
        <w:tc>
          <w:tcPr>
            <w:tcW w:w="8880" w:type="dxa"/>
            <w:vAlign w:val="bottom"/>
          </w:tcPr>
          <w:p>
            <w:pPr>
              <w:ind w:left="40"/>
              <w:spacing w:after="0"/>
              <w:rPr>
                <w:sz w:val="20"/>
                <w:szCs w:val="20"/>
                <w:color w:val="auto"/>
              </w:rPr>
            </w:pPr>
            <w:r>
              <w:rPr>
                <w:rFonts w:ascii="Arial" w:cs="Arial" w:eastAsia="Arial" w:hAnsi="Arial"/>
                <w:sz w:val="18"/>
                <w:szCs w:val="18"/>
                <w:b w:val="1"/>
                <w:bCs w:val="1"/>
                <w:color w:val="auto"/>
              </w:rPr>
              <w:t>Other income (expense):</w:t>
            </w:r>
          </w:p>
        </w:tc>
        <w:tc>
          <w:tcPr>
            <w:tcW w:w="2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8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Interest expense</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(19,812)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(17,929)</w:t>
            </w:r>
          </w:p>
        </w:tc>
        <w:tc>
          <w:tcPr>
            <w:tcW w:w="0" w:type="dxa"/>
            <w:vAlign w:val="bottom"/>
          </w:tcPr>
          <w:p>
            <w:pPr>
              <w:spacing w:after="0"/>
              <w:rPr>
                <w:sz w:val="1"/>
                <w:szCs w:val="1"/>
                <w:color w:val="auto"/>
              </w:rPr>
            </w:pPr>
          </w:p>
        </w:tc>
      </w:tr>
      <w:tr>
        <w:trPr>
          <w:trHeight w:val="243"/>
        </w:trPr>
        <w:tc>
          <w:tcPr>
            <w:tcW w:w="8880" w:type="dxa"/>
            <w:vAlign w:val="bottom"/>
          </w:tcPr>
          <w:p>
            <w:pPr>
              <w:ind w:left="720"/>
              <w:spacing w:after="0"/>
              <w:rPr>
                <w:sz w:val="20"/>
                <w:szCs w:val="20"/>
                <w:color w:val="auto"/>
              </w:rPr>
            </w:pPr>
            <w:r>
              <w:rPr>
                <w:rFonts w:ascii="Arial" w:cs="Arial" w:eastAsia="Arial" w:hAnsi="Arial"/>
                <w:sz w:val="18"/>
                <w:szCs w:val="18"/>
                <w:color w:val="auto"/>
              </w:rPr>
              <w:t>Other income (expense)</w:t>
            </w:r>
          </w:p>
        </w:tc>
        <w:tc>
          <w:tcPr>
            <w:tcW w:w="260" w:type="dxa"/>
            <w:vAlign w:val="bottom"/>
          </w:tcPr>
          <w:p>
            <w:pPr>
              <w:spacing w:after="0"/>
              <w:rPr>
                <w:sz w:val="21"/>
                <w:szCs w:val="21"/>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1,320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7"/>
        </w:trPr>
        <w:tc>
          <w:tcPr>
            <w:tcW w:w="88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888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8"/>
                <w:szCs w:val="18"/>
                <w:color w:val="auto"/>
              </w:rPr>
              <w:t>Total other expense</w:t>
            </w:r>
          </w:p>
        </w:tc>
        <w:tc>
          <w:tcPr>
            <w:tcW w:w="26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(18,492)</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(18,039)</w:t>
            </w:r>
          </w:p>
        </w:tc>
        <w:tc>
          <w:tcPr>
            <w:tcW w:w="0" w:type="dxa"/>
            <w:vAlign w:val="bottom"/>
          </w:tcPr>
          <w:p>
            <w:pPr>
              <w:spacing w:after="0"/>
              <w:rPr>
                <w:sz w:val="1"/>
                <w:szCs w:val="1"/>
                <w:color w:val="auto"/>
              </w:rPr>
            </w:pPr>
          </w:p>
        </w:tc>
      </w:tr>
      <w:tr>
        <w:trPr>
          <w:trHeight w:val="237"/>
        </w:trPr>
        <w:tc>
          <w:tcPr>
            <w:tcW w:w="8880" w:type="dxa"/>
            <w:vAlign w:val="bottom"/>
          </w:tcPr>
          <w:p>
            <w:pPr>
              <w:ind w:left="40"/>
              <w:spacing w:after="0"/>
              <w:rPr>
                <w:sz w:val="20"/>
                <w:szCs w:val="20"/>
                <w:color w:val="auto"/>
              </w:rPr>
            </w:pPr>
            <w:r>
              <w:rPr>
                <w:rFonts w:ascii="Arial" w:cs="Arial" w:eastAsia="Arial" w:hAnsi="Arial"/>
                <w:sz w:val="18"/>
                <w:szCs w:val="18"/>
                <w:color w:val="auto"/>
              </w:rPr>
              <w:t>Income (loss) before income taxes</w:t>
            </w:r>
          </w:p>
        </w:tc>
        <w:tc>
          <w:tcPr>
            <w:tcW w:w="26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175,040</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(10,498)</w:t>
            </w:r>
          </w:p>
        </w:tc>
        <w:tc>
          <w:tcPr>
            <w:tcW w:w="0" w:type="dxa"/>
            <w:vAlign w:val="bottom"/>
          </w:tcPr>
          <w:p>
            <w:pPr>
              <w:spacing w:after="0"/>
              <w:rPr>
                <w:sz w:val="1"/>
                <w:szCs w:val="1"/>
                <w:color w:val="auto"/>
              </w:rPr>
            </w:pPr>
          </w:p>
        </w:tc>
      </w:tr>
      <w:tr>
        <w:trPr>
          <w:trHeight w:val="27"/>
        </w:trPr>
        <w:tc>
          <w:tcPr>
            <w:tcW w:w="88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income tax provision (benefit)</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39,957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(1,013)</w:t>
            </w:r>
          </w:p>
        </w:tc>
        <w:tc>
          <w:tcPr>
            <w:tcW w:w="0" w:type="dxa"/>
            <w:vAlign w:val="bottom"/>
          </w:tcPr>
          <w:p>
            <w:pPr>
              <w:spacing w:after="0"/>
              <w:rPr>
                <w:sz w:val="1"/>
                <w:szCs w:val="1"/>
                <w:color w:val="auto"/>
              </w:rPr>
            </w:pPr>
          </w:p>
        </w:tc>
      </w:tr>
      <w:tr>
        <w:trPr>
          <w:trHeight w:val="243"/>
        </w:trPr>
        <w:tc>
          <w:tcPr>
            <w:tcW w:w="8880" w:type="dxa"/>
            <w:vAlign w:val="bottom"/>
          </w:tcPr>
          <w:p>
            <w:pPr>
              <w:ind w:left="40"/>
              <w:spacing w:after="0"/>
              <w:rPr>
                <w:sz w:val="20"/>
                <w:szCs w:val="20"/>
                <w:color w:val="auto"/>
              </w:rPr>
            </w:pPr>
            <w:r>
              <w:rPr>
                <w:rFonts w:ascii="Arial" w:cs="Arial" w:eastAsia="Arial" w:hAnsi="Arial"/>
                <w:sz w:val="18"/>
                <w:szCs w:val="18"/>
                <w:color w:val="auto"/>
              </w:rPr>
              <w:t>Net income attributable to non-controlling interest in subsidiaries</w:t>
            </w: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(9,354)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(7,462)</w:t>
            </w:r>
          </w:p>
        </w:tc>
        <w:tc>
          <w:tcPr>
            <w:tcW w:w="0" w:type="dxa"/>
            <w:vAlign w:val="bottom"/>
          </w:tcPr>
          <w:p>
            <w:pPr>
              <w:spacing w:after="0"/>
              <w:rPr>
                <w:sz w:val="1"/>
                <w:szCs w:val="1"/>
                <w:color w:val="auto"/>
              </w:rPr>
            </w:pPr>
          </w:p>
        </w:tc>
      </w:tr>
      <w:tr>
        <w:trPr>
          <w:trHeight w:val="27"/>
        </w:trPr>
        <w:tc>
          <w:tcPr>
            <w:tcW w:w="88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 attributable to Matador Resources Company shareholders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125,729</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(16,947)</w:t>
            </w:r>
          </w:p>
        </w:tc>
        <w:tc>
          <w:tcPr>
            <w:tcW w:w="0" w:type="dxa"/>
            <w:vAlign w:val="bottom"/>
          </w:tcPr>
          <w:p>
            <w:pPr>
              <w:spacing w:after="0"/>
              <w:rPr>
                <w:sz w:val="1"/>
                <w:szCs w:val="1"/>
                <w:color w:val="auto"/>
              </w:rPr>
            </w:pPr>
          </w:p>
        </w:tc>
      </w:tr>
      <w:tr>
        <w:trPr>
          <w:trHeight w:val="20"/>
        </w:trPr>
        <w:tc>
          <w:tcPr>
            <w:tcW w:w="888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b w:val="1"/>
                <w:bCs w:val="1"/>
                <w:color w:val="auto"/>
              </w:rPr>
              <w:t>Expenses per BOE:</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88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8880" w:type="dxa"/>
            <w:vAlign w:val="bottom"/>
          </w:tcPr>
          <w:p>
            <w:pPr>
              <w:spacing w:after="0"/>
              <w:rPr>
                <w:sz w:val="4"/>
                <w:szCs w:val="4"/>
                <w:color w:val="auto"/>
              </w:rPr>
            </w:pPr>
          </w:p>
        </w:tc>
        <w:tc>
          <w:tcPr>
            <w:tcW w:w="260" w:type="dxa"/>
            <w:vAlign w:val="bottom"/>
          </w:tcPr>
          <w:p>
            <w:pPr>
              <w:spacing w:after="0"/>
              <w:rPr>
                <w:sz w:val="4"/>
                <w:szCs w:val="4"/>
                <w:color w:val="auto"/>
              </w:rPr>
            </w:pPr>
          </w:p>
        </w:tc>
        <w:tc>
          <w:tcPr>
            <w:tcW w:w="860" w:type="dxa"/>
            <w:vAlign w:val="bottom"/>
          </w:tcPr>
          <w:p>
            <w:pPr>
              <w:spacing w:after="0"/>
              <w:rPr>
                <w:sz w:val="4"/>
                <w:szCs w:val="4"/>
                <w:color w:val="auto"/>
              </w:rPr>
            </w:pPr>
          </w:p>
        </w:tc>
        <w:tc>
          <w:tcPr>
            <w:tcW w:w="100" w:type="dxa"/>
            <w:vAlign w:val="bottom"/>
          </w:tcPr>
          <w:p>
            <w:pPr>
              <w:spacing w:after="0"/>
              <w:rPr>
                <w:sz w:val="4"/>
                <w:szCs w:val="4"/>
                <w:color w:val="auto"/>
              </w:rPr>
            </w:pPr>
          </w:p>
        </w:tc>
        <w:tc>
          <w:tcPr>
            <w:tcW w:w="360" w:type="dxa"/>
            <w:vAlign w:val="bottom"/>
          </w:tcPr>
          <w:p>
            <w:pPr>
              <w:spacing w:after="0"/>
              <w:rPr>
                <w:sz w:val="4"/>
                <w:szCs w:val="4"/>
                <w:color w:val="auto"/>
              </w:rPr>
            </w:pPr>
          </w:p>
        </w:tc>
        <w:tc>
          <w:tcPr>
            <w:tcW w:w="7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88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Production taxes, transportation and processing</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3.35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3.65</w:t>
            </w:r>
          </w:p>
        </w:tc>
        <w:tc>
          <w:tcPr>
            <w:tcW w:w="0" w:type="dxa"/>
            <w:vAlign w:val="bottom"/>
          </w:tcPr>
          <w:p>
            <w:pPr>
              <w:spacing w:after="0"/>
              <w:rPr>
                <w:sz w:val="1"/>
                <w:szCs w:val="1"/>
                <w:color w:val="auto"/>
              </w:rPr>
            </w:pPr>
          </w:p>
        </w:tc>
      </w:tr>
      <w:tr>
        <w:trPr>
          <w:trHeight w:val="243"/>
        </w:trPr>
        <w:tc>
          <w:tcPr>
            <w:tcW w:w="8880" w:type="dxa"/>
            <w:vAlign w:val="bottom"/>
          </w:tcPr>
          <w:p>
            <w:pPr>
              <w:ind w:left="720"/>
              <w:spacing w:after="0"/>
              <w:rPr>
                <w:sz w:val="20"/>
                <w:szCs w:val="20"/>
                <w:color w:val="auto"/>
              </w:rPr>
            </w:pPr>
            <w:r>
              <w:rPr>
                <w:rFonts w:ascii="Arial" w:cs="Arial" w:eastAsia="Arial" w:hAnsi="Arial"/>
                <w:sz w:val="18"/>
                <w:szCs w:val="18"/>
                <w:color w:val="auto"/>
              </w:rPr>
              <w:t>Lease operating</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4.77</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ind w:right="11"/>
              <w:spacing w:after="0"/>
              <w:rPr>
                <w:sz w:val="20"/>
                <w:szCs w:val="20"/>
                <w:color w:val="auto"/>
              </w:rPr>
            </w:pPr>
            <w:r>
              <w:rPr>
                <w:rFonts w:ascii="Arial" w:cs="Arial" w:eastAsia="Arial" w:hAnsi="Arial"/>
                <w:sz w:val="18"/>
                <w:szCs w:val="18"/>
                <w:color w:val="auto"/>
              </w:rPr>
              <w:t>5.78</w:t>
            </w:r>
          </w:p>
        </w:tc>
        <w:tc>
          <w:tcPr>
            <w:tcW w:w="0" w:type="dxa"/>
            <w:vAlign w:val="bottom"/>
          </w:tcPr>
          <w:p>
            <w:pPr>
              <w:spacing w:after="0"/>
              <w:rPr>
                <w:sz w:val="1"/>
                <w:szCs w:val="1"/>
                <w:color w:val="auto"/>
              </w:rPr>
            </w:pPr>
          </w:p>
        </w:tc>
      </w:tr>
      <w:tr>
        <w:trPr>
          <w:trHeight w:val="27"/>
        </w:trPr>
        <w:tc>
          <w:tcPr>
            <w:tcW w:w="88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Plant and other midstream services operating</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1.73</w:t>
            </w:r>
          </w:p>
        </w:tc>
        <w:tc>
          <w:tcPr>
            <w:tcW w:w="0" w:type="dxa"/>
            <w:vAlign w:val="bottom"/>
          </w:tcPr>
          <w:p>
            <w:pPr>
              <w:spacing w:after="0"/>
              <w:rPr>
                <w:sz w:val="1"/>
                <w:szCs w:val="1"/>
                <w:color w:val="auto"/>
              </w:rPr>
            </w:pPr>
          </w:p>
        </w:tc>
      </w:tr>
      <w:tr>
        <w:trPr>
          <w:trHeight w:val="243"/>
        </w:trPr>
        <w:tc>
          <w:tcPr>
            <w:tcW w:w="8880" w:type="dxa"/>
            <w:vAlign w:val="bottom"/>
          </w:tcPr>
          <w:p>
            <w:pPr>
              <w:ind w:left="720"/>
              <w:spacing w:after="0"/>
              <w:rPr>
                <w:sz w:val="20"/>
                <w:szCs w:val="20"/>
                <w:color w:val="auto"/>
              </w:rPr>
            </w:pPr>
            <w:r>
              <w:rPr>
                <w:rFonts w:ascii="Arial" w:cs="Arial" w:eastAsia="Arial" w:hAnsi="Arial"/>
                <w:sz w:val="18"/>
                <w:szCs w:val="18"/>
                <w:color w:val="auto"/>
              </w:rPr>
              <w:t>Depletion, depreciation and amortization</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14.01</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ind w:right="11"/>
              <w:spacing w:after="0"/>
              <w:rPr>
                <w:sz w:val="20"/>
                <w:szCs w:val="20"/>
                <w:color w:val="auto"/>
              </w:rPr>
            </w:pPr>
            <w:r>
              <w:rPr>
                <w:rFonts w:ascii="Arial" w:cs="Arial" w:eastAsia="Arial" w:hAnsi="Arial"/>
                <w:sz w:val="18"/>
                <w:szCs w:val="18"/>
                <w:color w:val="auto"/>
              </w:rPr>
              <w:t>14.25</w:t>
            </w:r>
          </w:p>
        </w:tc>
        <w:tc>
          <w:tcPr>
            <w:tcW w:w="0" w:type="dxa"/>
            <w:vAlign w:val="bottom"/>
          </w:tcPr>
          <w:p>
            <w:pPr>
              <w:spacing w:after="0"/>
              <w:rPr>
                <w:sz w:val="1"/>
                <w:szCs w:val="1"/>
                <w:color w:val="auto"/>
              </w:rPr>
            </w:pPr>
          </w:p>
        </w:tc>
      </w:tr>
      <w:tr>
        <w:trPr>
          <w:trHeight w:val="27"/>
        </w:trPr>
        <w:tc>
          <w:tcPr>
            <w:tcW w:w="88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88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General and administrative</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2.51</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3.39</w:t>
            </w:r>
          </w:p>
        </w:tc>
        <w:tc>
          <w:tcPr>
            <w:tcW w:w="0" w:type="dxa"/>
            <w:vAlign w:val="bottom"/>
          </w:tcPr>
          <w:p>
            <w:pPr>
              <w:spacing w:after="0"/>
              <w:rPr>
                <w:sz w:val="1"/>
                <w:szCs w:val="1"/>
                <w:color w:val="auto"/>
              </w:rPr>
            </w:pPr>
          </w:p>
        </w:tc>
      </w:tr>
      <w:tr>
        <w:trPr>
          <w:trHeight w:val="27"/>
        </w:trPr>
        <w:tc>
          <w:tcPr>
            <w:tcW w:w="888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Three Months Ended March 31, 2020 as Compared to Three Months Ended March 31, 2019</w:t>
      </w:r>
    </w:p>
    <w:p>
      <w:pPr>
        <w:spacing w:after="0" w:line="117" w:lineRule="exact"/>
        <w:rPr>
          <w:sz w:val="20"/>
          <w:szCs w:val="20"/>
          <w:color w:val="auto"/>
        </w:rPr>
      </w:pPr>
    </w:p>
    <w:p>
      <w:pPr>
        <w:ind w:right="40" w:firstLine="432"/>
        <w:spacing w:after="0" w:line="269" w:lineRule="auto"/>
        <w:rPr>
          <w:sz w:val="20"/>
          <w:szCs w:val="20"/>
          <w:color w:val="auto"/>
        </w:rPr>
      </w:pPr>
      <w:r>
        <w:rPr>
          <w:rFonts w:ascii="Arial" w:cs="Arial" w:eastAsia="Arial" w:hAnsi="Arial"/>
          <w:sz w:val="17"/>
          <w:szCs w:val="17"/>
          <w:i w:val="1"/>
          <w:iCs w:val="1"/>
          <w:color w:val="auto"/>
        </w:rPr>
        <w:t xml:space="preserve">Production taxes, transportation and processing. </w:t>
      </w:r>
      <w:r>
        <w:rPr>
          <w:rFonts w:ascii="Arial" w:cs="Arial" w:eastAsia="Arial" w:hAnsi="Arial"/>
          <w:sz w:val="17"/>
          <w:szCs w:val="17"/>
          <w:color w:val="auto"/>
        </w:rPr>
        <w:t>Our production taxes and transportation and processing expenses increased $2.1 million, or 10%, to</w:t>
      </w:r>
      <w:r>
        <w:rPr>
          <w:rFonts w:ascii="Arial" w:cs="Arial" w:eastAsia="Arial" w:hAnsi="Arial"/>
          <w:sz w:val="17"/>
          <w:szCs w:val="17"/>
          <w:i w:val="1"/>
          <w:iCs w:val="1"/>
          <w:color w:val="auto"/>
        </w:rPr>
        <w:t xml:space="preserve"> </w:t>
      </w:r>
      <w:r>
        <w:rPr>
          <w:rFonts w:ascii="Arial" w:cs="Arial" w:eastAsia="Arial" w:hAnsi="Arial"/>
          <w:sz w:val="17"/>
          <w:szCs w:val="17"/>
          <w:color w:val="auto"/>
        </w:rPr>
        <w:t>$21.7 million for the three months ended March 31, 2020, as compared to $19.7 million for the three months ended March 31, 2019. This increase was primarily attributable to the $1.5 million increase in transportation and processing fees to $7.6 million for the three months ended March 31, 2020, as compared to $6.1 million for the three months ended March 31, 2019, principally due to the 22% increase in our natural gas production to 16.7 Bcf of natural gas for the three months ended March 31, 2020, as compared to 13.7 Bcf of natural gas for the three months ended March 31, 2019. On a unit-of-production basis, our production taxes and transportation and processing expenses decreased 8% to $3.35 per BOE for the three months ended March 31, 2020, as compared to $3.65 per BOE for the three months ended March 31, 2019. This decrease was primarily attributable to the 20% increase in our total oil equivalent production to 6.5 million BOE for the three months ended March 31, 2020, as compared to 5.4 million BOE for the three months ended March 31, 2019, and lower production taxes on a per unit basis as a result of the decrease in the weighted average oil and natural gas prices realized between the two periods.</w:t>
      </w:r>
    </w:p>
    <w:p>
      <w:pPr>
        <w:spacing w:after="0" w:line="77" w:lineRule="exact"/>
        <w:rPr>
          <w:sz w:val="20"/>
          <w:szCs w:val="20"/>
          <w:color w:val="auto"/>
        </w:rPr>
      </w:pPr>
    </w:p>
    <w:p>
      <w:pPr>
        <w:ind w:right="60" w:firstLine="432"/>
        <w:spacing w:after="0" w:line="291" w:lineRule="auto"/>
        <w:rPr>
          <w:sz w:val="20"/>
          <w:szCs w:val="20"/>
          <w:color w:val="auto"/>
        </w:rPr>
      </w:pPr>
      <w:r>
        <w:rPr>
          <w:rFonts w:ascii="Arial" w:cs="Arial" w:eastAsia="Arial" w:hAnsi="Arial"/>
          <w:sz w:val="16"/>
          <w:szCs w:val="16"/>
          <w:i w:val="1"/>
          <w:iCs w:val="1"/>
          <w:color w:val="auto"/>
        </w:rPr>
        <w:t xml:space="preserve">Lease operating. </w:t>
      </w:r>
      <w:r>
        <w:rPr>
          <w:rFonts w:ascii="Arial" w:cs="Arial" w:eastAsia="Arial" w:hAnsi="Arial"/>
          <w:sz w:val="16"/>
          <w:szCs w:val="16"/>
          <w:color w:val="auto"/>
        </w:rPr>
        <w:t>Our lease operating expenses decreased $0.3 million, or 1%, to $30.9 million for the three months ended March 31, 2020, as</w:t>
      </w:r>
      <w:r>
        <w:rPr>
          <w:rFonts w:ascii="Arial" w:cs="Arial" w:eastAsia="Arial" w:hAnsi="Arial"/>
          <w:sz w:val="16"/>
          <w:szCs w:val="16"/>
          <w:i w:val="1"/>
          <w:iCs w:val="1"/>
          <w:color w:val="auto"/>
        </w:rPr>
        <w:t xml:space="preserve"> </w:t>
      </w:r>
      <w:r>
        <w:rPr>
          <w:rFonts w:ascii="Arial" w:cs="Arial" w:eastAsia="Arial" w:hAnsi="Arial"/>
          <w:sz w:val="16"/>
          <w:szCs w:val="16"/>
          <w:color w:val="auto"/>
        </w:rPr>
        <w:t>compared to $31.2 million for the three months ended March 31, 2019. This decrease was largely attributable to decreases in equipment rental and workover expenses of $1.7 million, as well as a decrease in saltwater disposal expenses of $4.3 million associated with connecting more wells to salt water disposal pipelines. These decreases were largely offset by increases in compression, repairs and other expenses of $5.7 million. On a unit-of-production basis, our lease operating expenses decreased 17% to $4.77 per BOE for the three months ended March 31, 2020, as compared to $5.78 per BOE for the three months ended March 31, 2019. This decrease was attributable to the 20% increase in our total oil equivalent production to 6.5 million BOE for the three months ended March 31, 2020, as compared to 5.4 million BOE for the three months ended March 31, 2019.</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220"/>
          </w:cols>
          <w:pgMar w:left="320" w:top="125" w:right="35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ind w:right="180" w:firstLine="432"/>
        <w:spacing w:after="0" w:line="259" w:lineRule="auto"/>
        <w:rPr>
          <w:sz w:val="20"/>
          <w:szCs w:val="20"/>
          <w:color w:val="auto"/>
        </w:rPr>
      </w:pPr>
      <w:r>
        <w:rPr>
          <w:rFonts w:ascii="Arial" w:cs="Arial" w:eastAsia="Arial" w:hAnsi="Arial"/>
          <w:sz w:val="18"/>
          <w:szCs w:val="18"/>
          <w:i w:val="1"/>
          <w:iCs w:val="1"/>
          <w:color w:val="auto"/>
        </w:rPr>
        <w:t xml:space="preserve">Plant and other midstream services operating. </w:t>
      </w:r>
      <w:r>
        <w:rPr>
          <w:rFonts w:ascii="Arial" w:cs="Arial" w:eastAsia="Arial" w:hAnsi="Arial"/>
          <w:sz w:val="18"/>
          <w:szCs w:val="18"/>
          <w:color w:val="auto"/>
        </w:rPr>
        <w:t>Our plant and other midstream services operating expenses increased $0.6 million, or 7%, to $10.0</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for the three months ended March 31, 2020, as compared to $9.3 million for the three months ended March 31, 2019. This increase was primarily attributable to increased expenses associated with our expanded commercial salt water disposal operations of $5.1 million for the three months ended March 31, 2020, as compared to $4.3 million for the three months ended March 31, 2019.</w:t>
      </w:r>
    </w:p>
    <w:p>
      <w:pPr>
        <w:spacing w:after="0" w:line="79" w:lineRule="exact"/>
        <w:rPr>
          <w:sz w:val="20"/>
          <w:szCs w:val="20"/>
          <w:color w:val="auto"/>
        </w:rPr>
      </w:pPr>
    </w:p>
    <w:p>
      <w:pPr>
        <w:ind w:firstLine="432"/>
        <w:spacing w:after="0" w:line="269" w:lineRule="auto"/>
        <w:rPr>
          <w:sz w:val="20"/>
          <w:szCs w:val="20"/>
          <w:color w:val="auto"/>
        </w:rPr>
      </w:pPr>
      <w:r>
        <w:rPr>
          <w:rFonts w:ascii="Arial" w:cs="Arial" w:eastAsia="Arial" w:hAnsi="Arial"/>
          <w:sz w:val="17"/>
          <w:szCs w:val="17"/>
          <w:i w:val="1"/>
          <w:iCs w:val="1"/>
          <w:color w:val="auto"/>
        </w:rPr>
        <w:t xml:space="preserve">Depletion, depreciation and amortization. </w:t>
      </w:r>
      <w:r>
        <w:rPr>
          <w:rFonts w:ascii="Arial" w:cs="Arial" w:eastAsia="Arial" w:hAnsi="Arial"/>
          <w:sz w:val="17"/>
          <w:szCs w:val="17"/>
          <w:color w:val="auto"/>
        </w:rPr>
        <w:t>Our depletion, depreciation and amortization expenses increased $13.8 million, or 18%, to $90.7 million</w:t>
      </w:r>
      <w:r>
        <w:rPr>
          <w:rFonts w:ascii="Arial" w:cs="Arial" w:eastAsia="Arial" w:hAnsi="Arial"/>
          <w:sz w:val="17"/>
          <w:szCs w:val="17"/>
          <w:i w:val="1"/>
          <w:iCs w:val="1"/>
          <w:color w:val="auto"/>
        </w:rPr>
        <w:t xml:space="preserve"> </w:t>
      </w:r>
      <w:r>
        <w:rPr>
          <w:rFonts w:ascii="Arial" w:cs="Arial" w:eastAsia="Arial" w:hAnsi="Arial"/>
          <w:sz w:val="17"/>
          <w:szCs w:val="17"/>
          <w:color w:val="auto"/>
        </w:rPr>
        <w:t>for the three months ended March 31, 2020, as compared to $76.9 million for the three months ended March 31, 2019. This increase was primarily attributable to (i) the 20% increase in our total oil equivalent production to 6.5 million BOE for the three months ended March 31, 2020, as compared to 5.4 million BOE for the three months ended March 31, 2019, and (ii) increased depreciation expenses attributable to our midstream segment of $4.8 million for the three months ended March 31, 2020, as compared to $3.7 million for the three months ended March 31, 2019. On a unit-of-production basis, our depletion, depreciation and amortization expenses decreased 2% to $14.01 per BOE for the three months ended March 31, 2020, as compared to $14.25 per BOE for the three months ended March 31, 2019. On a unit-of-production basis, the impact of the higher total proved oil and natural gas reserves at March 31, 2020, as compared to March 31, 2019, primarily attributable to our ongoing delineation and development activities in the Delaware Basin, was largely offset by the increase in total oil equivalent production for the three months ended March 31, 2020, as compared to the three months ended March 31, 2019.</w:t>
      </w:r>
    </w:p>
    <w:p>
      <w:pPr>
        <w:spacing w:after="0" w:line="185" w:lineRule="exact"/>
        <w:rPr>
          <w:sz w:val="20"/>
          <w:szCs w:val="20"/>
          <w:color w:val="auto"/>
        </w:rPr>
      </w:pPr>
    </w:p>
    <w:p>
      <w:pPr>
        <w:ind w:right="120" w:firstLine="405"/>
        <w:spacing w:after="0" w:line="296" w:lineRule="auto"/>
        <w:rPr>
          <w:sz w:val="20"/>
          <w:szCs w:val="20"/>
          <w:color w:val="auto"/>
        </w:rPr>
      </w:pPr>
      <w:r>
        <w:rPr>
          <w:rFonts w:ascii="Arial" w:cs="Arial" w:eastAsia="Arial" w:hAnsi="Arial"/>
          <w:sz w:val="16"/>
          <w:szCs w:val="16"/>
          <w:i w:val="1"/>
          <w:iCs w:val="1"/>
          <w:color w:val="auto"/>
        </w:rPr>
        <w:t xml:space="preserve">Full-cost ceiling impairment. </w:t>
      </w:r>
      <w:r>
        <w:rPr>
          <w:rFonts w:ascii="Arial" w:cs="Arial" w:eastAsia="Arial" w:hAnsi="Arial"/>
          <w:sz w:val="16"/>
          <w:szCs w:val="16"/>
          <w:color w:val="auto"/>
        </w:rPr>
        <w:t>We use the full-cost method of accounting for our investments in oil and natural gas properties. Under this method, we</w:t>
      </w:r>
      <w:r>
        <w:rPr>
          <w:rFonts w:ascii="Arial" w:cs="Arial" w:eastAsia="Arial" w:hAnsi="Arial"/>
          <w:sz w:val="16"/>
          <w:szCs w:val="16"/>
          <w:i w:val="1"/>
          <w:iCs w:val="1"/>
          <w:color w:val="auto"/>
        </w:rPr>
        <w:t xml:space="preserve"> </w:t>
      </w:r>
      <w:r>
        <w:rPr>
          <w:rFonts w:ascii="Arial" w:cs="Arial" w:eastAsia="Arial" w:hAnsi="Arial"/>
          <w:sz w:val="16"/>
          <w:szCs w:val="16"/>
          <w:color w:val="auto"/>
        </w:rPr>
        <w:t>are required to perform a ceiling test each quarter that determines a limit, or ceiling, on the capitalized costs of oil and natural gas properties based primarily on the after-tax estimated future net cash flows from oil and natural gas properties using a 10% discount rate and the arithmetic average of first-day-of-the-month oil and natural gas prices for the prior 12-month period. For the three months ended March 31, 2020 and 2019, the full-cost ceiling was higher than the capitalized costs of oil and natural gas properties, and, as a result, no impairment charge was necessary.</w:t>
      </w:r>
    </w:p>
    <w:p>
      <w:pPr>
        <w:spacing w:after="0" w:line="161" w:lineRule="exact"/>
        <w:rPr>
          <w:sz w:val="20"/>
          <w:szCs w:val="20"/>
          <w:color w:val="auto"/>
        </w:rPr>
      </w:pPr>
    </w:p>
    <w:p>
      <w:pPr>
        <w:ind w:right="20" w:firstLine="405"/>
        <w:spacing w:after="0" w:line="267" w:lineRule="auto"/>
        <w:rPr>
          <w:sz w:val="20"/>
          <w:szCs w:val="20"/>
          <w:color w:val="auto"/>
        </w:rPr>
      </w:pPr>
      <w:r>
        <w:rPr>
          <w:rFonts w:ascii="Arial" w:cs="Arial" w:eastAsia="Arial" w:hAnsi="Arial"/>
          <w:sz w:val="17"/>
          <w:szCs w:val="17"/>
          <w:color w:val="auto"/>
        </w:rPr>
        <w:t>The unweighted arithmetic average of oil and natural gas prices as of the first day of each month for the trailing 12-month period ended March 31, 2020 were $52.23 per Bbl and $2.30 per MMBtu, respectively. If the unweighted arithmetic average of oil and natural gas prices as of the first day of each month for the trailing 12-month period ended March 31, 2020 had been $42.42 per Bbl and $2.05 per MMBtu, respectively, while all other factors remained constant, our full-cost ceiling would have been impaired by approximately $550.0 million on a pro forma basis. The aforementioned pro forma prices, as estimated for the twelve month period July 2019 through June 2020, were calculated using a 12-month unweighted arithmetic average of oil and natural gas prices, which included the oil and natural gas prices on the first day of the month for the 10 months ended April 2020, with the price for April 2020 being held constant for May and June 2020. This pro forma excess of our net capitalized costs above the full-cost ceiling is attributable to a pro forma reduction of approximately $840.0 million in the estimated value, discounted at 10%, of our total proved oil and natural gas reserves, including a pro forma decrease in our estimated total proved reserves of approximately 8% from our estimated proved reserves at March 31, 2020, primarily attributable to certain proved undeveloped locations that would no longer be classified as proved undeveloped reserves using the pro forma prices. This calculation of the impact of lower commodity prices on our estimated total proved oil and natural gas reserves and our full-cost ceiling was prepared based on the presumption that all other inputs and assumptions are held constant with the exception of oil and natural gas prices. Therefore, this calculation strictly isolates the impact of commodity prices on our full-cost ceiling and proved reserves. The impact of prices is only one of several variables in the estimation of our proved reserves and full-cost ceiling and other factors could have a significant impact on our future proved reserves and the present value of future cash flows. The other factors that impact future estimates of proved reserves include, but are not limited to, extensions and discoveries, acquisitions of proved reserves, changes in drilling and completion and operating costs, drilling results, revisions due to well performance and other factors, changes in development plans and production, among others. There are numerous uncertainties inherent in the estimation of proved oil and natural gas reserves and accounting for oil and natural gas properties in subsequent periods, and this pro forma estimate should not be construed as indicative of our development plans or future results.</w:t>
      </w:r>
    </w:p>
    <w:p>
      <w:pPr>
        <w:spacing w:after="0" w:line="80" w:lineRule="exact"/>
        <w:rPr>
          <w:sz w:val="20"/>
          <w:szCs w:val="20"/>
          <w:color w:val="auto"/>
        </w:rPr>
      </w:pPr>
    </w:p>
    <w:p>
      <w:pPr>
        <w:ind w:right="40" w:firstLine="432"/>
        <w:spacing w:after="0" w:line="293" w:lineRule="auto"/>
        <w:rPr>
          <w:sz w:val="20"/>
          <w:szCs w:val="20"/>
          <w:color w:val="auto"/>
        </w:rPr>
      </w:pPr>
      <w:r>
        <w:rPr>
          <w:rFonts w:ascii="Arial" w:cs="Arial" w:eastAsia="Arial" w:hAnsi="Arial"/>
          <w:sz w:val="16"/>
          <w:szCs w:val="16"/>
          <w:i w:val="1"/>
          <w:iCs w:val="1"/>
          <w:color w:val="auto"/>
        </w:rPr>
        <w:t xml:space="preserve">General and administrative. </w:t>
      </w:r>
      <w:r>
        <w:rPr>
          <w:rFonts w:ascii="Arial" w:cs="Arial" w:eastAsia="Arial" w:hAnsi="Arial"/>
          <w:sz w:val="16"/>
          <w:szCs w:val="16"/>
          <w:color w:val="auto"/>
        </w:rPr>
        <w:t>Our general and administrative expenses decreased $2.1 million, or 11%, to $16.2 million for the three months ended</w:t>
      </w:r>
      <w:r>
        <w:rPr>
          <w:rFonts w:ascii="Arial" w:cs="Arial" w:eastAsia="Arial" w:hAnsi="Arial"/>
          <w:sz w:val="16"/>
          <w:szCs w:val="16"/>
          <w:i w:val="1"/>
          <w:iCs w:val="1"/>
          <w:color w:val="auto"/>
        </w:rPr>
        <w:t xml:space="preserve"> </w:t>
      </w:r>
      <w:r>
        <w:rPr>
          <w:rFonts w:ascii="Arial" w:cs="Arial" w:eastAsia="Arial" w:hAnsi="Arial"/>
          <w:sz w:val="16"/>
          <w:szCs w:val="16"/>
          <w:color w:val="auto"/>
        </w:rPr>
        <w:t>March 31, 2020, as compared to $18.3 million for the three months ended March 31, 2019. The decrease in general and administrative expenses was primarily attributable to a decrease of $2.6 million in stock-based compensation expense related to our liability-based awards as a result of the decrease in the price of our common stock at March 31, 2020, as compared to December 31, 2019. This decrease was partially offset by decreased capitalized general and administrative expenses on certain qualifying projects between the two periods. Our general and administrative expenses decreased 26% on a unit-of-production basis to $2.51 per BOE for the three months ended March 31, 2020, as compared to $3.39 per BOE for the three months ended March 31, 2019.</w:t>
      </w:r>
    </w:p>
    <w:p>
      <w:pPr>
        <w:spacing w:after="0" w:line="56" w:lineRule="exact"/>
        <w:rPr>
          <w:sz w:val="20"/>
          <w:szCs w:val="20"/>
          <w:color w:val="auto"/>
        </w:rPr>
      </w:pPr>
    </w:p>
    <w:p>
      <w:pPr>
        <w:jc w:val="both"/>
        <w:ind w:right="80" w:firstLine="432"/>
        <w:spacing w:after="0" w:line="263" w:lineRule="auto"/>
        <w:rPr>
          <w:sz w:val="20"/>
          <w:szCs w:val="20"/>
          <w:color w:val="auto"/>
        </w:rPr>
      </w:pPr>
      <w:r>
        <w:rPr>
          <w:rFonts w:ascii="Arial" w:cs="Arial" w:eastAsia="Arial" w:hAnsi="Arial"/>
          <w:sz w:val="18"/>
          <w:szCs w:val="18"/>
          <w:i w:val="1"/>
          <w:iCs w:val="1"/>
          <w:color w:val="auto"/>
        </w:rPr>
        <w:t xml:space="preserve">Interest expense. </w:t>
      </w:r>
      <w:r>
        <w:rPr>
          <w:rFonts w:ascii="Arial" w:cs="Arial" w:eastAsia="Arial" w:hAnsi="Arial"/>
          <w:sz w:val="18"/>
          <w:szCs w:val="18"/>
          <w:color w:val="auto"/>
        </w:rPr>
        <w:t>For the three months ended March 31, 2020, we incurred total interest expense of $21.3 million. We capitalized $1.4 million of our</w:t>
      </w:r>
      <w:r>
        <w:rPr>
          <w:rFonts w:ascii="Arial" w:cs="Arial" w:eastAsia="Arial" w:hAnsi="Arial"/>
          <w:sz w:val="18"/>
          <w:szCs w:val="18"/>
          <w:i w:val="1"/>
          <w:iCs w:val="1"/>
          <w:color w:val="auto"/>
        </w:rPr>
        <w:t xml:space="preserve"> </w:t>
      </w:r>
      <w:r>
        <w:rPr>
          <w:rFonts w:ascii="Arial" w:cs="Arial" w:eastAsia="Arial" w:hAnsi="Arial"/>
          <w:sz w:val="18"/>
          <w:szCs w:val="18"/>
          <w:color w:val="auto"/>
        </w:rPr>
        <w:t>interest expense on certain qualifying projects for the three months ended March 31, 2020 and expensed the remaining $19.8 million to operations. For the three months ended March 31, 2019, we incurred total interest expense</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220"/>
          </w:cols>
          <w:pgMar w:left="320" w:top="125" w:right="35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of $19.6 million. We capitalized $1.6 million of our interest expense on certain qualifying projects for the three months ended March 31, 2019 and expensed the remaining $17.9 million to operations.</w:t>
      </w:r>
    </w:p>
    <w:p>
      <w:pPr>
        <w:spacing w:after="0" w:line="62" w:lineRule="exact"/>
        <w:rPr>
          <w:sz w:val="20"/>
          <w:szCs w:val="20"/>
          <w:color w:val="auto"/>
        </w:rPr>
      </w:pPr>
    </w:p>
    <w:p>
      <w:pPr>
        <w:ind w:firstLine="432"/>
        <w:spacing w:after="0" w:line="296" w:lineRule="auto"/>
        <w:rPr>
          <w:sz w:val="20"/>
          <w:szCs w:val="20"/>
          <w:color w:val="auto"/>
        </w:rPr>
      </w:pPr>
      <w:r>
        <w:rPr>
          <w:rFonts w:ascii="Arial" w:cs="Arial" w:eastAsia="Arial" w:hAnsi="Arial"/>
          <w:sz w:val="16"/>
          <w:szCs w:val="16"/>
          <w:i w:val="1"/>
          <w:iCs w:val="1"/>
          <w:color w:val="auto"/>
        </w:rPr>
        <w:t xml:space="preserve">Total income tax provision. </w:t>
      </w:r>
      <w:r>
        <w:rPr>
          <w:rFonts w:ascii="Arial" w:cs="Arial" w:eastAsia="Arial" w:hAnsi="Arial"/>
          <w:sz w:val="16"/>
          <w:szCs w:val="16"/>
          <w:color w:val="auto"/>
        </w:rPr>
        <w:t>We recorded a total income tax expense of $40.0 million for the three months ended March 31, 2020, which differed from</w:t>
      </w:r>
      <w:r>
        <w:rPr>
          <w:rFonts w:ascii="Arial" w:cs="Arial" w:eastAsia="Arial" w:hAnsi="Arial"/>
          <w:sz w:val="16"/>
          <w:szCs w:val="16"/>
          <w:i w:val="1"/>
          <w:iCs w:val="1"/>
          <w:color w:val="auto"/>
        </w:rPr>
        <w:t xml:space="preserve"> </w:t>
      </w:r>
      <w:r>
        <w:rPr>
          <w:rFonts w:ascii="Arial" w:cs="Arial" w:eastAsia="Arial" w:hAnsi="Arial"/>
          <w:sz w:val="16"/>
          <w:szCs w:val="16"/>
          <w:color w:val="auto"/>
        </w:rPr>
        <w:t>amounts computed by applying the U.S. federal statutory tax rates to pre-tax income due primarily to the impact of permanent differences between book and taxable income and state taxes, primarily in New Mexico. The effective tax rate for the three months ended March 31, 2020 was 24%. We recorded a total income tax benefit of $1.0 million for the three months ended March 31, 2019, and the effective tax rate was 33%, which differed from amounts computed by applying the U.S. federal statutory rate to the pre-tax loss due primarily to the impact of permanent differences between book and tax loss.</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right="60" w:firstLine="432"/>
        <w:spacing w:after="0" w:line="288" w:lineRule="auto"/>
        <w:rPr>
          <w:sz w:val="20"/>
          <w:szCs w:val="20"/>
          <w:color w:val="auto"/>
        </w:rPr>
      </w:pPr>
      <w:r>
        <w:rPr>
          <w:rFonts w:ascii="Arial" w:cs="Arial" w:eastAsia="Arial" w:hAnsi="Arial"/>
          <w:sz w:val="16"/>
          <w:szCs w:val="16"/>
          <w:color w:val="auto"/>
        </w:rPr>
        <w:t>Our primary use of capital has been, and we expect will continue to be during the remainder of 2020 and for the foreseeable future, for the acquisition, exploration and development of oil and natural gas properties and for midstream investments. Excluding any possible significant acquisitions, we expect to fund the remainder of our 2020 capital expenditures primarily through a combination of cash on hand, operating cash flows, performance incentives in connection with San Mateo, borrowings under the Credit Agreement (assuming availability under our borrowing base of $900.0 million) and borrowings under San Mateo I’s revolving credit facility (the “San Mateo Credit Facility”) (assuming availability under the accordion feature of such facility to up to $400.0 million). In addition, in 2020, we expect to receive the remaining portion of the $50.0 million capital carry Five Point agreed to provide to us in conjunction with the formation of San Mateo II. We continually evaluate other capital sources, including borrowings under additional credit arrangements, the sale or joint venture of midstream assets, oil and natural gas producing assets, leasehold interests or mineral interests and potential issuances of equity, debt or convertible securities, none of which may be available on satisfactory terms or at all. Our future success in growing proved reserves and production will be highly dependent on our ability to access outside sources of capital and to generate operating cash flows.</w:t>
      </w:r>
    </w:p>
    <w:p>
      <w:pPr>
        <w:spacing w:after="0" w:line="60" w:lineRule="exact"/>
        <w:rPr>
          <w:sz w:val="20"/>
          <w:szCs w:val="20"/>
          <w:color w:val="auto"/>
        </w:rPr>
      </w:pPr>
    </w:p>
    <w:p>
      <w:pPr>
        <w:ind w:right="100" w:firstLine="432"/>
        <w:spacing w:after="0" w:line="271" w:lineRule="auto"/>
        <w:rPr>
          <w:sz w:val="20"/>
          <w:szCs w:val="20"/>
          <w:color w:val="auto"/>
        </w:rPr>
      </w:pPr>
      <w:r>
        <w:rPr>
          <w:rFonts w:ascii="Arial" w:cs="Arial" w:eastAsia="Arial" w:hAnsi="Arial"/>
          <w:sz w:val="17"/>
          <w:szCs w:val="17"/>
          <w:color w:val="auto"/>
        </w:rPr>
        <w:t>In February 2020, the lenders under the Credit Agreement completed their review of our proved oil and natural gas reserves at December 31, 2019, and, as a result, the borrowing base was affirmed at $900.0 million. We elected to increase the borrowing commitment from $500.0 million to $700.0 million, and the maximum facility amount remained $1.5 billion. We also added two new banks to our lending group as part of this redetermination process. This February 2020 redetermination constituted the regularly scheduled May 1 redetermination. Borrowings under the Credit Agreement are limited to the lowest of the borrowing base, the maximum facility amount and the elected commitment. The Credit Agreement matures in October 2023. The Credit Agreement requires the Company to maintain a debt to EBITDA ratio, which is defined as debt outstanding (net of up to $50.0 million of cash or cash equivalents) divided by a rolling four quarter EBITDA calculation, of 4.00 or less. The Company believes that it was in compliance with the terms of the Credit Agreement at March 31, 2020.</w:t>
      </w:r>
    </w:p>
    <w:p>
      <w:pPr>
        <w:spacing w:after="0" w:line="70" w:lineRule="exact"/>
        <w:rPr>
          <w:sz w:val="20"/>
          <w:szCs w:val="20"/>
          <w:color w:val="auto"/>
        </w:rPr>
      </w:pPr>
    </w:p>
    <w:p>
      <w:pPr>
        <w:ind w:right="40" w:firstLine="432"/>
        <w:spacing w:after="0" w:line="286" w:lineRule="auto"/>
        <w:rPr>
          <w:sz w:val="20"/>
          <w:szCs w:val="20"/>
          <w:color w:val="auto"/>
        </w:rPr>
      </w:pPr>
      <w:r>
        <w:rPr>
          <w:rFonts w:ascii="Arial" w:cs="Arial" w:eastAsia="Arial" w:hAnsi="Arial"/>
          <w:sz w:val="17"/>
          <w:szCs w:val="17"/>
          <w:color w:val="auto"/>
        </w:rPr>
        <w:t>At March 31, 2020, we had cash totaling approximately $27.1 million and restricted cash totaling approximately $29.7 million, which was associated with San Mateo. By contractual agreement, the cash in the accounts held by our less-than-wholly-owned subsidiaries is not to be commingled with our other cash and is to be used only to fund the capital expenditures and operations of these less-than-wholly-owned subsidiaries.</w:t>
      </w:r>
    </w:p>
    <w:p>
      <w:pPr>
        <w:spacing w:after="0" w:line="57" w:lineRule="exact"/>
        <w:rPr>
          <w:sz w:val="20"/>
          <w:szCs w:val="20"/>
          <w:color w:val="auto"/>
        </w:rPr>
      </w:pPr>
    </w:p>
    <w:p>
      <w:pPr>
        <w:ind w:right="60" w:firstLine="405"/>
        <w:spacing w:after="0" w:line="263" w:lineRule="auto"/>
        <w:rPr>
          <w:sz w:val="20"/>
          <w:szCs w:val="20"/>
          <w:color w:val="auto"/>
        </w:rPr>
      </w:pPr>
      <w:r>
        <w:rPr>
          <w:rFonts w:ascii="Arial" w:cs="Arial" w:eastAsia="Arial" w:hAnsi="Arial"/>
          <w:sz w:val="18"/>
          <w:szCs w:val="18"/>
          <w:color w:val="auto"/>
        </w:rPr>
        <w:t>At March 31, 2020, we had (i) $1.05 billion of outstanding 5.875% senior notes due September 2026 (the “Notes”), (ii) $315.0 million in borrowings outstanding under the Credit Agreement and (iii) approximately $46.0 million in outstanding letters of credit issued pursuant to the Credit Agreement. Between March 31 and April 29, 2020, we borrowed an additional $30.0 million under the Credit Agreement.</w:t>
      </w:r>
    </w:p>
    <w:p>
      <w:pPr>
        <w:spacing w:after="0" w:line="76" w:lineRule="exact"/>
        <w:rPr>
          <w:sz w:val="20"/>
          <w:szCs w:val="20"/>
          <w:color w:val="auto"/>
        </w:rPr>
      </w:pPr>
    </w:p>
    <w:p>
      <w:pPr>
        <w:ind w:right="60" w:firstLine="405"/>
        <w:spacing w:after="0" w:line="269" w:lineRule="auto"/>
        <w:rPr>
          <w:sz w:val="20"/>
          <w:szCs w:val="20"/>
          <w:color w:val="auto"/>
        </w:rPr>
      </w:pPr>
      <w:r>
        <w:rPr>
          <w:rFonts w:ascii="Arial" w:cs="Arial" w:eastAsia="Arial" w:hAnsi="Arial"/>
          <w:sz w:val="17"/>
          <w:szCs w:val="17"/>
          <w:color w:val="auto"/>
        </w:rPr>
        <w:t>At March 31, 2020, San Mateo had $307.5 million in borrowings outstanding under the San Mateo Credit Facility and approximately $9.0 million in outstanding letters of credit issued pursuant to the San Mateo Credit Facility. The San Mateo Credit Facility includes an accordion feature, which provides for potential increases to up to $400.0 million, and matures in December 2023. At March 31, 2020, the lender commitments under the San Mateo Credit Facility were $375.0 million. The San Mateo Credit Facility is guaranteed by San Mateo I’s subsidiaries, secured by substantially all of San Mateo I’s assets, including real property, and is non-recourse with respect to Matador and its wholly-owned subsidiaries, as well as San Mateo II and its subsidiaries. The San Mateo Credit Facility requires San Mateo I to maintain a debt to EBITDA ratio, which is defined as total consolidated funded indebtedness outstanding (as defined in the San Mateo Credit Facility) divided by a rolling four quarter EBITDA calculation, of 5.00 or less, subject to certain exceptions. The San Mateo Credit Facility also requires San Mateo I to maintain an interest coverage ratio, which is defined as a rolling four quarter EBITDA calculation divided by San Mateo I’s consolidated interest expense for such period, of 2.50 or more. The Company believes that San Mateo I was in compliance with the terms of the San Mateo Credit Facility at March 31, 2020.</w:t>
      </w:r>
    </w:p>
    <w:p>
      <w:pPr>
        <w:spacing w:after="0" w:line="18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220"/>
          </w:cols>
          <w:pgMar w:left="320" w:top="125" w:right="35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2020 Capital Expenditure Budget</w:t>
      </w:r>
    </w:p>
    <w:p>
      <w:pPr>
        <w:spacing w:after="0" w:line="117" w:lineRule="exact"/>
        <w:rPr>
          <w:sz w:val="20"/>
          <w:szCs w:val="20"/>
          <w:color w:val="auto"/>
        </w:rPr>
      </w:pPr>
    </w:p>
    <w:p>
      <w:pPr>
        <w:ind w:right="60" w:firstLine="405"/>
        <w:spacing w:after="0" w:line="255" w:lineRule="auto"/>
        <w:rPr>
          <w:sz w:val="20"/>
          <w:szCs w:val="20"/>
          <w:color w:val="auto"/>
        </w:rPr>
      </w:pPr>
      <w:r>
        <w:rPr>
          <w:rFonts w:ascii="Arial" w:cs="Arial" w:eastAsia="Arial" w:hAnsi="Arial"/>
          <w:sz w:val="18"/>
          <w:szCs w:val="18"/>
          <w:color w:val="auto"/>
        </w:rPr>
        <w:t>During the first quarter of 2020, the oil and natural gas industry witnessed an abrupt and significant decline in oil prices from $63 per Bbl in early January to just above $20 per Bbl in late March. This sudden decline in oil prices was attributable to two primary factors: (1) the precipitous decline in global oil demand resulting from the worldwide spread of COVID-19 and (2) a sudden, unexpected increase in global oil supply resulting from actions initiated by Saudi Arabia to increase its oil production to world markets following the failure of efforts by members of OPEC+ to agree on coordinated production cuts at their March 6, 2020 meetings in Vienna, Austria. Primarily as a result of these unexpected events and the resulting declines in oil prices, Matador has significantly modified its 2020 operational plan.</w:t>
      </w:r>
    </w:p>
    <w:p>
      <w:pPr>
        <w:spacing w:after="0" w:line="84" w:lineRule="exact"/>
        <w:rPr>
          <w:sz w:val="20"/>
          <w:szCs w:val="20"/>
          <w:color w:val="auto"/>
        </w:rPr>
      </w:pPr>
    </w:p>
    <w:p>
      <w:pPr>
        <w:ind w:right="40" w:firstLine="405"/>
        <w:spacing w:after="0" w:line="272" w:lineRule="auto"/>
        <w:rPr>
          <w:sz w:val="20"/>
          <w:szCs w:val="20"/>
          <w:color w:val="auto"/>
        </w:rPr>
      </w:pPr>
      <w:r>
        <w:rPr>
          <w:rFonts w:ascii="Arial" w:cs="Arial" w:eastAsia="Arial" w:hAnsi="Arial"/>
          <w:sz w:val="17"/>
          <w:szCs w:val="17"/>
          <w:color w:val="auto"/>
        </w:rPr>
        <w:t>We began 2020 operating six drilling rigs in the Delaware Basin, as we continued to focus on the exploration, delineation and development of our Delaware Basin acreage in Loving County, Texas and Lea and Eddy Counties, New Mexico. We had originally planned to operate these six drilling rigs in the Delaware Basin throughout 2020. As a result of the events noted above, however, we released one operated drilling rig from our Wolf asset area in Loving County, Texas late in the first quarter of 2020, and we released a second operated drilling rig from the Greater Stebbins Area in late April 2020. We anticipate releasing one additional drilling rig by the end of the second quarter of 2020. Thereafter, we expect to operate three drilling rigs in the Delaware Basin throughout the remainder of 2020. Two of these rigs are anticipated to operate in our Stateline asset area in Eddy County, New Mexico, and the third rig is expected to operate primarily in the Rustler Breaks and Antelope Ridge asset areas.</w:t>
      </w:r>
    </w:p>
    <w:p>
      <w:pPr>
        <w:spacing w:after="0" w:line="69" w:lineRule="exact"/>
        <w:rPr>
          <w:sz w:val="20"/>
          <w:szCs w:val="20"/>
          <w:color w:val="auto"/>
        </w:rPr>
      </w:pPr>
    </w:p>
    <w:p>
      <w:pPr>
        <w:ind w:right="20" w:firstLine="405"/>
        <w:spacing w:after="0" w:line="270" w:lineRule="auto"/>
        <w:rPr>
          <w:sz w:val="20"/>
          <w:szCs w:val="20"/>
          <w:color w:val="auto"/>
        </w:rPr>
      </w:pPr>
      <w:r>
        <w:rPr>
          <w:rFonts w:ascii="Arial" w:cs="Arial" w:eastAsia="Arial" w:hAnsi="Arial"/>
          <w:sz w:val="17"/>
          <w:szCs w:val="17"/>
          <w:color w:val="auto"/>
        </w:rPr>
        <w:t>As a result of our plans to reduce our operated drilling program from six to three rigs by the end of the second quarter of 2020, on April 29, 2020, we decreased the range of our anticipated full-year 2020 capital expenditures for drilling, completing and equipping wells from $690.0 to $750.0 million to $440.0 to $500.0 million. The range of our anticipated full-year 2020 capital expenditures for midstream capital expenditures remained $85.0 to $105.0 million, which reflects our proportionate share of San Mateo’s estimated capital expenditures of $190.0 million to $235.0 million and also accounts for the remaining portions of the $50.0 million capital carry that Five Point agreed to provide us in conjunction with the formation of San Mateo II. Substantially all of these 2020 estimated capital expenditures will be allocated to (i) the further delineation and development of our leasehold position, (ii) the continued construction of midstream assets and (iii) our participation in certain non-operated well opportunities in the Delaware Basin, with the exception of amounts allocated to limited operations in our South Texas and Haynesville shale positions to maintain and extend leases and to participate in certain non-operated well opportunities.</w:t>
      </w:r>
    </w:p>
    <w:p>
      <w:pPr>
        <w:spacing w:after="0" w:line="73" w:lineRule="exact"/>
        <w:rPr>
          <w:sz w:val="20"/>
          <w:szCs w:val="20"/>
          <w:color w:val="auto"/>
        </w:rPr>
      </w:pPr>
    </w:p>
    <w:p>
      <w:pPr>
        <w:ind w:right="20" w:firstLine="432"/>
        <w:spacing w:after="0" w:line="254" w:lineRule="auto"/>
        <w:rPr>
          <w:sz w:val="20"/>
          <w:szCs w:val="20"/>
          <w:color w:val="auto"/>
        </w:rPr>
      </w:pPr>
      <w:r>
        <w:rPr>
          <w:rFonts w:ascii="Arial" w:cs="Arial" w:eastAsia="Arial" w:hAnsi="Arial"/>
          <w:sz w:val="18"/>
          <w:szCs w:val="18"/>
          <w:color w:val="auto"/>
        </w:rPr>
        <w:t>To narrow any potential difference between our 2020 capital expenditures and operating cash flows, we may divest portions of our non-core assets, particularly in the Haynesville shale and in parts of our South Texas positions (as we did in 2019, converting $21.9 million of non-core assets to cash), as well as consider monetizing other assets, such as certain mineral, royalty and midstream interests, as value-creating opportunities arise. In addition, we intend to continue evaluating the opportunistic acquisition of acreage and mineral interests, principally in the Delaware Basin, during 2020. These monetizations, divestitures and expenditures are opportunity-specific, and purchase price multiples and per-acre prices can vary significantly based on the asset or prospect. As a result, it is difficult to estimate these 2020 monetizations, divestitures and capital expenditures with any degree of certainty; therefore, we have not provided estimated proceeds related to monetizations or divestitures or estimated capital expenditures related to acreage and mineral acquisitions for 2020.</w:t>
      </w:r>
    </w:p>
    <w:p>
      <w:pPr>
        <w:spacing w:after="0" w:line="84" w:lineRule="exact"/>
        <w:rPr>
          <w:sz w:val="20"/>
          <w:szCs w:val="20"/>
          <w:color w:val="auto"/>
        </w:rPr>
      </w:pPr>
    </w:p>
    <w:p>
      <w:pPr>
        <w:ind w:right="40" w:firstLine="432"/>
        <w:spacing w:after="0" w:line="289" w:lineRule="auto"/>
        <w:rPr>
          <w:sz w:val="20"/>
          <w:szCs w:val="20"/>
          <w:color w:val="auto"/>
        </w:rPr>
      </w:pPr>
      <w:r>
        <w:rPr>
          <w:rFonts w:ascii="Arial" w:cs="Arial" w:eastAsia="Arial" w:hAnsi="Arial"/>
          <w:sz w:val="16"/>
          <w:szCs w:val="16"/>
          <w:color w:val="auto"/>
        </w:rPr>
        <w:t>Our 2020 capital expenditures may be adjusted as business conditions warrant and the amount, timing and allocation of such expenditures are largely discretionary and within our control. The aggregate amount of capital we will expend may fluctuate materially based on market conditions, the actual costs to drill, complete and place on production operated or non-operated wells, our drilling results, the actual costs and scope of our midstream activities, the ability of our joint venture partners to meet their capital obligations, other opportunities that may become available to us and our ability to obtain capital. When oil or natural gas prices decline, or costs increase significantly, we have the flexibility to defer a significant portion of our capital expenditures until later periods to conserve cash or to focus on projects that we believe have the highest expected returns and potential to generate near-term cash flows. We routinely monitor and adjust our capital expenditures in response to changes in prices, availability of financing, drilling, completion and acquisition costs, industry conditions, the timing of regulatory approvals, the availability of rigs, success or lack of success in our exploration and development activities, contractual obligations, drilling plans for properties we do not operate and other factors both within and outside our control.</w:t>
      </w:r>
    </w:p>
    <w:p>
      <w:pPr>
        <w:spacing w:after="0" w:line="58" w:lineRule="exact"/>
        <w:rPr>
          <w:sz w:val="20"/>
          <w:szCs w:val="20"/>
          <w:color w:val="auto"/>
        </w:rPr>
      </w:pPr>
    </w:p>
    <w:p>
      <w:pPr>
        <w:ind w:firstLine="432"/>
        <w:spacing w:after="0" w:line="272" w:lineRule="auto"/>
        <w:rPr>
          <w:sz w:val="20"/>
          <w:szCs w:val="20"/>
          <w:color w:val="auto"/>
        </w:rPr>
      </w:pPr>
      <w:r>
        <w:rPr>
          <w:rFonts w:ascii="Arial" w:cs="Arial" w:eastAsia="Arial" w:hAnsi="Arial"/>
          <w:sz w:val="17"/>
          <w:szCs w:val="17"/>
          <w:color w:val="auto"/>
        </w:rPr>
        <w:t>Exploration and development activities are subject to a number of risks and uncertainties, which could cause these activities to be less successful than we anticipate. A significant portion of our anticipated cash flows from operations for the remainder of 2020 is expected to come from producing wells and development activities on currently proved properties in the Wolfcamp and Bone Spring plays in the Delaware Basin, the Eagle Ford shale in South Texas and the Haynesville shale in Northwest Louisiana. Our existing wells may not produce at the levels we have forecasted and our exploration and development activities in these areas may not be as successful as we anticipate. Additionally, our anticipated cash flows from operations are based upon current expectations of realized oil, natural gas and NGL prices for the remainder of 2020 and the hedges we currently have in place. As noted above, the oil and natural gas industry witnessed an abrupt and significant decline in oil prices</w:t>
      </w:r>
    </w:p>
    <w:p>
      <w:pPr>
        <w:spacing w:after="0" w:line="17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220"/>
          </w:cols>
          <w:pgMar w:left="320" w:top="125" w:right="35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ind w:right="120"/>
        <w:spacing w:after="0" w:line="275" w:lineRule="auto"/>
        <w:rPr>
          <w:sz w:val="20"/>
          <w:szCs w:val="20"/>
          <w:color w:val="auto"/>
        </w:rPr>
      </w:pPr>
      <w:r>
        <w:rPr>
          <w:rFonts w:ascii="Arial" w:cs="Arial" w:eastAsia="Arial" w:hAnsi="Arial"/>
          <w:sz w:val="17"/>
          <w:szCs w:val="17"/>
          <w:color w:val="auto"/>
        </w:rPr>
        <w:t>during the first quarter of 2020. As of April 29, 2020, WTI oil prices were below $20 per Bbl and were anticipated to remain below $30 per Bbl for the remainder of 2020. For further discussion of our expectations of such commodity prices, see “— General Outlook and Trends” below. We use commodity derivative financial instruments at times to mitigate our exposure to fluctuations in oil, natural gas and NGL prices and to partially offset reductions in our cash flows from operations resulting from declines in commodity prices. See Note 7 to the interim unaudited condensed consolidated financial statements in this Quarterly Report for a summary of our open derivative financial instruments.</w:t>
      </w:r>
    </w:p>
    <w:p>
      <w:pPr>
        <w:spacing w:after="0" w:line="6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Our unaudited cash flows for the three months ended March 31, 2020 and 2019 are presented below:</w:t>
      </w:r>
    </w:p>
    <w:p>
      <w:pPr>
        <w:spacing w:after="0" w:line="172" w:lineRule="exact"/>
        <w:rPr>
          <w:sz w:val="20"/>
          <w:szCs w:val="20"/>
          <w:color w:val="auto"/>
        </w:rPr>
      </w:pPr>
    </w:p>
    <w:p>
      <w:pPr>
        <w:ind w:left="8980"/>
        <w:spacing w:after="0"/>
        <w:rPr>
          <w:sz w:val="20"/>
          <w:szCs w:val="20"/>
          <w:color w:val="auto"/>
        </w:rPr>
      </w:pPr>
      <w:r>
        <w:rPr>
          <w:rFonts w:ascii="Arial" w:cs="Arial" w:eastAsia="Arial" w:hAnsi="Arial"/>
          <w:sz w:val="16"/>
          <w:szCs w:val="16"/>
          <w:b w:val="1"/>
          <w:bCs w:val="1"/>
          <w:color w:val="auto"/>
        </w:rPr>
        <w:t>Three Months Ended</w:t>
      </w:r>
    </w:p>
    <w:p>
      <w:pPr>
        <w:spacing w:after="0" w:line="26" w:lineRule="exact"/>
        <w:rPr>
          <w:sz w:val="20"/>
          <w:szCs w:val="20"/>
          <w:color w:val="auto"/>
        </w:rPr>
      </w:pPr>
    </w:p>
    <w:p>
      <w:pPr>
        <w:ind w:left="9400"/>
        <w:spacing w:after="0"/>
        <w:rPr>
          <w:sz w:val="20"/>
          <w:szCs w:val="20"/>
          <w:color w:val="auto"/>
        </w:rPr>
      </w:pPr>
      <w:r>
        <w:rPr>
          <w:rFonts w:ascii="Arial" w:cs="Arial" w:eastAsia="Arial" w:hAnsi="Arial"/>
          <w:sz w:val="16"/>
          <w:szCs w:val="16"/>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5217160</wp:posOffset>
            </wp:positionH>
            <wp:positionV relativeFrom="paragraph">
              <wp:posOffset>33020</wp:posOffset>
            </wp:positionV>
            <wp:extent cx="192024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920240" cy="8890"/>
                    </a:xfrm>
                    <a:prstGeom prst="rect">
                      <a:avLst/>
                    </a:prstGeom>
                    <a:noFill/>
                  </pic:spPr>
                </pic:pic>
              </a:graphicData>
            </a:graphic>
          </wp:anchor>
        </w:drawing>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22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2019</w:t>
            </w:r>
          </w:p>
        </w:tc>
      </w:tr>
      <w:tr>
        <w:trPr>
          <w:trHeight w:val="250"/>
        </w:trPr>
        <w:tc>
          <w:tcPr>
            <w:tcW w:w="8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provided by operating activities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109,372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59,240</w:t>
            </w:r>
          </w:p>
        </w:tc>
      </w:tr>
      <w:tr>
        <w:trPr>
          <w:trHeight w:val="243"/>
        </w:trPr>
        <w:tc>
          <w:tcPr>
            <w:tcW w:w="8220" w:type="dxa"/>
            <w:vAlign w:val="bottom"/>
          </w:tcPr>
          <w:p>
            <w:pPr>
              <w:ind w:left="40"/>
              <w:spacing w:after="0"/>
              <w:rPr>
                <w:sz w:val="20"/>
                <w:szCs w:val="20"/>
                <w:color w:val="auto"/>
              </w:rPr>
            </w:pPr>
            <w:r>
              <w:rPr>
                <w:rFonts w:ascii="Arial" w:cs="Arial" w:eastAsia="Arial" w:hAnsi="Arial"/>
                <w:sz w:val="18"/>
                <w:szCs w:val="18"/>
                <w:color w:val="auto"/>
              </w:rPr>
              <w:t>Net cash used in investing activities</w:t>
            </w: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(248,220)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(214,880)</w:t>
            </w:r>
          </w:p>
        </w:tc>
      </w:tr>
      <w:tr>
        <w:trPr>
          <w:trHeight w:val="27"/>
        </w:trPr>
        <w:tc>
          <w:tcPr>
            <w:tcW w:w="8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8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provided by financing activities</w:t>
            </w: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130,515</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118,368</w:t>
            </w:r>
          </w:p>
        </w:tc>
      </w:tr>
      <w:tr>
        <w:trPr>
          <w:trHeight w:val="237"/>
        </w:trPr>
        <w:tc>
          <w:tcPr>
            <w:tcW w:w="8220" w:type="dxa"/>
            <w:vAlign w:val="bottom"/>
          </w:tcPr>
          <w:p>
            <w:pPr>
              <w:ind w:left="40"/>
              <w:spacing w:after="0"/>
              <w:rPr>
                <w:sz w:val="20"/>
                <w:szCs w:val="20"/>
                <w:color w:val="auto"/>
              </w:rPr>
            </w:pPr>
            <w:r>
              <w:rPr>
                <w:rFonts w:ascii="Arial" w:cs="Arial" w:eastAsia="Arial" w:hAnsi="Arial"/>
                <w:sz w:val="18"/>
                <w:szCs w:val="18"/>
                <w:color w:val="auto"/>
              </w:rPr>
              <w:t>Net change in cash and restricted cash</w:t>
            </w: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(8,333)</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(37,272)</w:t>
            </w:r>
          </w:p>
        </w:tc>
      </w:tr>
      <w:tr>
        <w:trPr>
          <w:trHeight w:val="67"/>
        </w:trPr>
        <w:tc>
          <w:tcPr>
            <w:tcW w:w="822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r>
      <w:tr>
        <w:trPr>
          <w:trHeight w:val="250"/>
        </w:trPr>
        <w:tc>
          <w:tcPr>
            <w:tcW w:w="8220" w:type="dxa"/>
            <w:vAlign w:val="bottom"/>
            <w:shd w:val="clear" w:color="auto" w:fill="CCEEFF"/>
          </w:tcPr>
          <w:p>
            <w:pPr>
              <w:ind w:left="40"/>
              <w:spacing w:after="0" w:line="251" w:lineRule="exact"/>
              <w:rPr>
                <w:sz w:val="20"/>
                <w:szCs w:val="20"/>
                <w:color w:val="auto"/>
              </w:rPr>
            </w:pPr>
            <w:r>
              <w:rPr>
                <w:rFonts w:ascii="Arial" w:cs="Arial" w:eastAsia="Arial" w:hAnsi="Arial"/>
                <w:sz w:val="18"/>
                <w:szCs w:val="18"/>
                <w:color w:val="auto"/>
              </w:rPr>
              <w:t>Adjusted EBITDA attributable to Matador Resources Company shareholders</w:t>
            </w:r>
            <w:r>
              <w:rPr>
                <w:rFonts w:ascii="Arial" w:cs="Arial" w:eastAsia="Arial" w:hAnsi="Arial"/>
                <w:sz w:val="25"/>
                <w:szCs w:val="25"/>
                <w:color w:val="auto"/>
                <w:vertAlign w:val="superscript"/>
              </w:rPr>
              <w:t>(1)</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140,576</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124,839</w:t>
            </w:r>
          </w:p>
        </w:tc>
      </w:tr>
      <w:tr>
        <w:trPr>
          <w:trHeight w:val="230"/>
        </w:trPr>
        <w:tc>
          <w:tcPr>
            <w:tcW w:w="8220" w:type="dxa"/>
            <w:vAlign w:val="bottom"/>
          </w:tcPr>
          <w:p>
            <w:pPr>
              <w:spacing w:after="0"/>
              <w:rPr>
                <w:sz w:val="20"/>
                <w:szCs w:val="20"/>
                <w:color w:val="auto"/>
              </w:rPr>
            </w:pPr>
            <w:r>
              <w:rPr>
                <w:rFonts w:ascii="Arial" w:cs="Arial" w:eastAsia="Arial" w:hAnsi="Arial"/>
                <w:sz w:val="18"/>
                <w:szCs w:val="18"/>
                <w:color w:val="auto"/>
              </w:rPr>
              <w:t>__________________</w:t>
            </w: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00" w:type="dxa"/>
            <w:vAlign w:val="bottom"/>
          </w:tcPr>
          <w:p>
            <w:pPr>
              <w:spacing w:after="0"/>
              <w:rPr>
                <w:sz w:val="20"/>
                <w:szCs w:val="20"/>
                <w:color w:val="auto"/>
              </w:rPr>
            </w:pPr>
          </w:p>
        </w:tc>
      </w:tr>
    </w:tbl>
    <w:p>
      <w:pPr>
        <w:spacing w:after="0" w:line="75" w:lineRule="exact"/>
        <w:rPr>
          <w:sz w:val="20"/>
          <w:szCs w:val="20"/>
          <w:color w:val="auto"/>
        </w:rPr>
      </w:pPr>
    </w:p>
    <w:p>
      <w:pPr>
        <w:ind w:left="340" w:right="280" w:hanging="332"/>
        <w:spacing w:after="0" w:line="273" w:lineRule="auto"/>
        <w:tabs>
          <w:tab w:leader="none" w:pos="340" w:val="left"/>
        </w:tabs>
        <w:numPr>
          <w:ilvl w:val="0"/>
          <w:numId w:val="16"/>
        </w:numPr>
        <w:rPr>
          <w:rFonts w:ascii="Arial" w:cs="Arial" w:eastAsia="Arial" w:hAnsi="Arial"/>
          <w:sz w:val="14"/>
          <w:szCs w:val="14"/>
          <w:color w:val="auto"/>
        </w:rPr>
      </w:pPr>
      <w:r>
        <w:rPr>
          <w:rFonts w:ascii="Arial" w:cs="Arial" w:eastAsia="Arial" w:hAnsi="Arial"/>
          <w:sz w:val="14"/>
          <w:szCs w:val="14"/>
          <w:color w:val="auto"/>
        </w:rPr>
        <w:t>Adjusted EBITDA is a non-GAAP financial measure. For a definition of Adjusted EBITDA and a reconciliation of Adjusted EBITDA to our net income (loss) and net cash provided by operating activities, see “— Non-GAAP Financial Measures” below.</w:t>
      </w:r>
    </w:p>
    <w:p>
      <w:pPr>
        <w:spacing w:after="0" w:line="70"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Cash Flows Provided by Operating Activities</w:t>
      </w:r>
    </w:p>
    <w:p>
      <w:pPr>
        <w:spacing w:after="0" w:line="117" w:lineRule="exact"/>
        <w:rPr>
          <w:sz w:val="20"/>
          <w:szCs w:val="20"/>
          <w:color w:val="auto"/>
        </w:rPr>
      </w:pPr>
    </w:p>
    <w:p>
      <w:pPr>
        <w:ind w:right="40" w:firstLine="432"/>
        <w:spacing w:after="0" w:line="254" w:lineRule="auto"/>
        <w:rPr>
          <w:sz w:val="20"/>
          <w:szCs w:val="20"/>
          <w:color w:val="auto"/>
        </w:rPr>
      </w:pPr>
      <w:r>
        <w:rPr>
          <w:rFonts w:ascii="Arial" w:cs="Arial" w:eastAsia="Arial" w:hAnsi="Arial"/>
          <w:sz w:val="18"/>
          <w:szCs w:val="18"/>
          <w:color w:val="auto"/>
        </w:rPr>
        <w:t>Net cash provided by operating activities increased $50.1 million to $109.4 million for the three months ended March 31, 2020 from $59.2 million for the three months ended March 31, 2019. Excluding changes in operating assets and liabilities, net cash provided by operating activities increased to $134.3 million for the three months ended March 31, 2020 from $117.7 million for the three months ended March 31, 2019, primarily attributable to higher oil and natural gas production, which was partially offset by lower realized oil and natural gas prices for the three months ended March 31, 2020, as compared to the three months ended March 31, 2019. Changes in our operating assets and liabilities between the two periods resulted in a net increase of approximately $33.6 million in net cash provided by operating activities for the three months ended March 31, 2020, as compared to the three months ended March 31, 2019.</w:t>
      </w:r>
    </w:p>
    <w:p>
      <w:pPr>
        <w:spacing w:after="0" w:line="87" w:lineRule="exact"/>
        <w:rPr>
          <w:sz w:val="20"/>
          <w:szCs w:val="20"/>
          <w:color w:val="auto"/>
        </w:rPr>
      </w:pPr>
    </w:p>
    <w:p>
      <w:pPr>
        <w:ind w:right="20" w:firstLine="432"/>
        <w:spacing w:after="0" w:line="255" w:lineRule="auto"/>
        <w:rPr>
          <w:sz w:val="20"/>
          <w:szCs w:val="20"/>
          <w:color w:val="auto"/>
        </w:rPr>
      </w:pPr>
      <w:r>
        <w:rPr>
          <w:rFonts w:ascii="Arial" w:cs="Arial" w:eastAsia="Arial" w:hAnsi="Arial"/>
          <w:sz w:val="18"/>
          <w:szCs w:val="18"/>
          <w:color w:val="auto"/>
        </w:rPr>
        <w:t>Our operating cash flows are sensitive to a number of variables, including changes in our production and volatility of oil and natural gas prices between reporting periods. Regional and worldwide economic activity, the actions of OPEC+ and other large state-owned oil producers, weather, infrastructure capacity to reach markets and other variable factors significantly impact the prices of oil and natural gas. Furthermore, the continued effect of COVID-19 and the corresponding decline in oil demand will also significantly impact the prices we receive for our oil production. These factors are beyond our control and are difficult to predict. We use commodity derivative financial instruments to mitigate our exposure to fluctuations in oil, natural gas and NGL prices.</w:t>
      </w:r>
    </w:p>
    <w:p>
      <w:pPr>
        <w:spacing w:after="0" w:line="84"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Cash Flows Used in Investing Activities</w:t>
      </w:r>
    </w:p>
    <w:p>
      <w:pPr>
        <w:spacing w:after="0" w:line="117" w:lineRule="exact"/>
        <w:rPr>
          <w:sz w:val="20"/>
          <w:szCs w:val="20"/>
          <w:color w:val="auto"/>
        </w:rPr>
      </w:pPr>
    </w:p>
    <w:p>
      <w:pPr>
        <w:ind w:firstLine="432"/>
        <w:spacing w:after="0" w:line="291" w:lineRule="auto"/>
        <w:rPr>
          <w:sz w:val="20"/>
          <w:szCs w:val="20"/>
          <w:color w:val="auto"/>
        </w:rPr>
      </w:pPr>
      <w:r>
        <w:rPr>
          <w:rFonts w:ascii="Arial" w:cs="Arial" w:eastAsia="Arial" w:hAnsi="Arial"/>
          <w:sz w:val="16"/>
          <w:szCs w:val="16"/>
          <w:color w:val="auto"/>
        </w:rPr>
        <w:t>Net cash used in investing activities increased by $33.3 million to $248.2 million for the three months ended March 31, 2020 from $214.9 million for the three months ended March 31, 2019. This increase in net cash used in investing activities is due to an increase in midstream capital expenditures of approximately $40.1 million, which was partially offset by a decrease of $8.3 million in oil and natural gas properties capital expenditures for the three months ended March 31, 2020, as compared to the three months ended March 31, 2019. Cash used for midstream capital expenditures for the three months ended March 31, 2020 was primarily attributable to the expansion of the Black River Processing Plant and midstream facilities in the Greater Stebbins Area and the Stateline asset area. Cash used for oil and natural gas properties capital expenditures for the three months ended March 31, 2020 was primarily attributable to our operated and non-operated drilling and completion activities in the Delaware Basin.</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240"/>
          </w:cols>
          <w:pgMar w:left="320" w:top="125" w:right="33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Cash Flows Provided by Financing Activities</w:t>
      </w:r>
    </w:p>
    <w:p>
      <w:pPr>
        <w:spacing w:after="0" w:line="117" w:lineRule="exact"/>
        <w:rPr>
          <w:sz w:val="20"/>
          <w:szCs w:val="20"/>
          <w:color w:val="auto"/>
        </w:rPr>
      </w:pPr>
    </w:p>
    <w:p>
      <w:pPr>
        <w:ind w:right="40" w:firstLine="432"/>
        <w:spacing w:after="0" w:line="293" w:lineRule="auto"/>
        <w:rPr>
          <w:sz w:val="20"/>
          <w:szCs w:val="20"/>
          <w:color w:val="auto"/>
        </w:rPr>
      </w:pPr>
      <w:r>
        <w:rPr>
          <w:rFonts w:ascii="Arial" w:cs="Arial" w:eastAsia="Arial" w:hAnsi="Arial"/>
          <w:sz w:val="16"/>
          <w:szCs w:val="16"/>
          <w:color w:val="auto"/>
        </w:rPr>
        <w:t>Net cash provided by financing activities increased by $12.1 million to $130.5 million for the three months ended March 31, 2020 from $118.4 million for the three months ended March 31, 2019. During the three months ended March 31, 2020, our primary sources of cash from financing activities included borrowings under the Credit Agreement of $60.0 million, borrowings under the San Mateo Credit Facility of $19.5 million and net contributions related to the formation of San Mateo I and from non-controlling interest owners in less-than-wholly-owned subsidiaries of $53.2 million. During the three months ended March 31, 2019, we had borrowings under our Credit Agreement of $100.0 million, as well as net contributions related to the formation of San Mateo I and from non-controlling interest owners in less-than-wholly-owned subsidiaries of $18.7 million.</w:t>
      </w:r>
    </w:p>
    <w:p>
      <w:pPr>
        <w:spacing w:after="0" w:line="56" w:lineRule="exact"/>
        <w:rPr>
          <w:sz w:val="20"/>
          <w:szCs w:val="20"/>
          <w:color w:val="auto"/>
        </w:rPr>
      </w:pPr>
    </w:p>
    <w:p>
      <w:pPr>
        <w:ind w:right="320" w:firstLine="432"/>
        <w:spacing w:after="0" w:line="277" w:lineRule="auto"/>
        <w:rPr>
          <w:sz w:val="20"/>
          <w:szCs w:val="20"/>
          <w:color w:val="auto"/>
        </w:rPr>
      </w:pPr>
      <w:r>
        <w:rPr>
          <w:rFonts w:ascii="Arial" w:cs="Arial" w:eastAsia="Arial" w:hAnsi="Arial"/>
          <w:sz w:val="18"/>
          <w:szCs w:val="18"/>
          <w:color w:val="auto"/>
        </w:rPr>
        <w:t>See Note 4 to the unaudited condensed consolidated financial statements in this Quarterly Report for a summary of our debt, including the Credit Agreement, the San Mateo Credit Facility and the Notes.</w:t>
      </w:r>
    </w:p>
    <w:p>
      <w:pPr>
        <w:spacing w:after="0" w:line="62"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Non-GAAP Financial Measures</w:t>
      </w:r>
    </w:p>
    <w:p>
      <w:pPr>
        <w:spacing w:after="0" w:line="90" w:lineRule="exact"/>
        <w:rPr>
          <w:sz w:val="20"/>
          <w:szCs w:val="20"/>
          <w:color w:val="auto"/>
        </w:rPr>
      </w:pPr>
    </w:p>
    <w:p>
      <w:pPr>
        <w:ind w:firstLine="432"/>
        <w:spacing w:after="0" w:line="257" w:lineRule="auto"/>
        <w:rPr>
          <w:sz w:val="20"/>
          <w:szCs w:val="20"/>
          <w:color w:val="auto"/>
        </w:rPr>
      </w:pPr>
      <w:r>
        <w:rPr>
          <w:rFonts w:ascii="Arial" w:cs="Arial" w:eastAsia="Arial" w:hAnsi="Arial"/>
          <w:sz w:val="18"/>
          <w:szCs w:val="18"/>
          <w:color w:val="auto"/>
        </w:rPr>
        <w:t>We define Adjusted EBITDA as earnings before interest expense, income taxes, depletion, depreciation and amortization, accretion of asset retirement obligations, property impairments, unrealized derivative gains and losses, certain other non-cash items and non-cash stock-based compensation expense, and net gain or loss on asset sales and inventory impairment. Adjusted EBITDA is not a measure of net income (loss) or cash flows as determined by GAAP. Adjusted EBITDA is a supplemental non-GAAP financial measure that is used by management and external users of our consolidated financial statements, such as industry analysts, investors, lenders and rating agencies.</w:t>
      </w:r>
    </w:p>
    <w:p>
      <w:pPr>
        <w:spacing w:after="0" w:line="134" w:lineRule="exact"/>
        <w:rPr>
          <w:sz w:val="20"/>
          <w:szCs w:val="20"/>
          <w:color w:val="auto"/>
        </w:rPr>
      </w:pPr>
    </w:p>
    <w:p>
      <w:pPr>
        <w:ind w:right="100" w:firstLine="432"/>
        <w:spacing w:after="0" w:line="279" w:lineRule="auto"/>
        <w:rPr>
          <w:sz w:val="20"/>
          <w:szCs w:val="20"/>
          <w:color w:val="auto"/>
        </w:rPr>
      </w:pPr>
      <w:r>
        <w:rPr>
          <w:rFonts w:ascii="Arial" w:cs="Arial" w:eastAsia="Arial" w:hAnsi="Arial"/>
          <w:sz w:val="17"/>
          <w:szCs w:val="17"/>
          <w:color w:val="auto"/>
        </w:rPr>
        <w:t>Management believes Adjusted EBITDA is necessary because it allows us to evaluate our operating performance and compare the results of operations from period to period without regard to our financing methods or capital structure. We exclude the items listed above from net income (loss) in calculating Adjusted EBITDA because these amounts can vary substantially from company to company within our industry depending upon accounting methods and book values of assets, capital structures and the method by which certain assets were acquired.</w:t>
      </w:r>
    </w:p>
    <w:p>
      <w:pPr>
        <w:spacing w:after="0" w:line="117" w:lineRule="exact"/>
        <w:rPr>
          <w:sz w:val="20"/>
          <w:szCs w:val="20"/>
          <w:color w:val="auto"/>
        </w:rPr>
      </w:pPr>
    </w:p>
    <w:p>
      <w:pPr>
        <w:jc w:val="both"/>
        <w:ind w:right="80" w:firstLine="432"/>
        <w:spacing w:after="0" w:line="257" w:lineRule="auto"/>
        <w:rPr>
          <w:sz w:val="20"/>
          <w:szCs w:val="20"/>
          <w:color w:val="auto"/>
        </w:rPr>
      </w:pPr>
      <w:r>
        <w:rPr>
          <w:rFonts w:ascii="Arial" w:cs="Arial" w:eastAsia="Arial" w:hAnsi="Arial"/>
          <w:sz w:val="18"/>
          <w:szCs w:val="18"/>
          <w:color w:val="auto"/>
        </w:rPr>
        <w:t>Adjusted EBITDA should not be considered an alternative to, or more meaningful than, net income (loss) or cash flows from operating activities as determined in accordance with GAAP or as a primary indicator of our operating performance or liquidity. Certain items excluded from Adjusted EBITDA are significant components of understanding and assessing a company’s financial performance, such as a company’s cost of capital and tax structure. Our Adjusted EBITDA may not be comparable to similarly titled measures of another company because all companies may not calculate Adjusted EBITDA in the same manner.</w:t>
      </w:r>
    </w:p>
    <w:p>
      <w:pPr>
        <w:spacing w:after="0" w:line="18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200"/>
          </w:cols>
          <w:pgMar w:left="320" w:top="125" w:right="37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ind w:right="20" w:firstLine="405"/>
        <w:spacing w:after="0" w:line="277" w:lineRule="auto"/>
        <w:rPr>
          <w:sz w:val="20"/>
          <w:szCs w:val="20"/>
          <w:color w:val="auto"/>
        </w:rPr>
      </w:pPr>
      <w:r>
        <w:rPr>
          <w:rFonts w:ascii="Arial" w:cs="Arial" w:eastAsia="Arial" w:hAnsi="Arial"/>
          <w:sz w:val="18"/>
          <w:szCs w:val="18"/>
          <w:color w:val="auto"/>
        </w:rPr>
        <w:t>The following table presents our calculation of Adjusted EBITDA and the reconciliation of Adjusted EBITDA to the GAAP financial measures of net income and net cash provided by operating activities, respectively.</w:t>
      </w:r>
    </w:p>
    <w:p>
      <w:pPr>
        <w:spacing w:after="0" w:line="108" w:lineRule="exact"/>
        <w:rPr>
          <w:sz w:val="20"/>
          <w:szCs w:val="20"/>
          <w:color w:val="auto"/>
        </w:rPr>
      </w:pPr>
    </w:p>
    <w:p>
      <w:pPr>
        <w:ind w:left="9300"/>
        <w:spacing w:after="0"/>
        <w:rPr>
          <w:sz w:val="20"/>
          <w:szCs w:val="20"/>
          <w:color w:val="auto"/>
        </w:rPr>
      </w:pPr>
      <w:r>
        <w:rPr>
          <w:rFonts w:ascii="Arial" w:cs="Arial" w:eastAsia="Arial" w:hAnsi="Arial"/>
          <w:sz w:val="14"/>
          <w:szCs w:val="14"/>
          <w:b w:val="1"/>
          <w:bCs w:val="1"/>
          <w:color w:val="auto"/>
        </w:rPr>
        <w:t>Three Months Ended</w:t>
      </w:r>
    </w:p>
    <w:p>
      <w:pPr>
        <w:spacing w:after="0" w:line="4" w:lineRule="exact"/>
        <w:rPr>
          <w:sz w:val="20"/>
          <w:szCs w:val="20"/>
          <w:color w:val="auto"/>
        </w:rPr>
      </w:pPr>
    </w:p>
    <w:p>
      <w:pPr>
        <w:ind w:left="966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5499735</wp:posOffset>
            </wp:positionH>
            <wp:positionV relativeFrom="paragraph">
              <wp:posOffset>13335</wp:posOffset>
            </wp:positionV>
            <wp:extent cx="163703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637030" cy="8255"/>
                    </a:xfrm>
                    <a:prstGeom prst="rect">
                      <a:avLst/>
                    </a:prstGeom>
                    <a:noFill/>
                  </pic:spPr>
                </pic:pic>
              </a:graphicData>
            </a:graphic>
          </wp:anchor>
        </w:drawing>
      </w:r>
    </w:p>
    <w:p>
      <w:pPr>
        <w:spacing w:after="0" w:line="87" w:lineRule="exact"/>
        <w:rPr>
          <w:sz w:val="20"/>
          <w:szCs w:val="20"/>
          <w:color w:val="auto"/>
        </w:rPr>
      </w:pPr>
    </w:p>
    <w:tbl>
      <w:tblPr>
        <w:tblLayout w:type="fixed"/>
        <w:tblInd w:w="40" w:type="dxa"/>
        <w:tblCellMar>
          <w:top w:w="0" w:type="dxa"/>
          <w:left w:w="0" w:type="dxa"/>
          <w:bottom w:w="0" w:type="dxa"/>
          <w:right w:w="0" w:type="dxa"/>
        </w:tblCellMar>
      </w:tblPr>
      <w:tr>
        <w:trPr>
          <w:trHeight w:val="186"/>
        </w:trPr>
        <w:tc>
          <w:tcPr>
            <w:tcW w:w="5000" w:type="dxa"/>
            <w:vAlign w:val="bottom"/>
          </w:tcPr>
          <w:p>
            <w:pPr>
              <w:spacing w:after="0"/>
              <w:rPr>
                <w:sz w:val="20"/>
                <w:szCs w:val="20"/>
                <w:color w:val="auto"/>
              </w:rPr>
            </w:pPr>
            <w:r>
              <w:rPr>
                <w:rFonts w:ascii="Arial" w:cs="Arial" w:eastAsia="Arial" w:hAnsi="Arial"/>
                <w:sz w:val="14"/>
                <w:szCs w:val="14"/>
                <w:b w:val="1"/>
                <w:bCs w:val="1"/>
                <w:color w:val="auto"/>
              </w:rPr>
              <w:t>(In thousands)</w:t>
            </w:r>
          </w:p>
        </w:tc>
        <w:tc>
          <w:tcPr>
            <w:tcW w:w="4920" w:type="dxa"/>
            <w:vAlign w:val="bottom"/>
          </w:tcPr>
          <w:p>
            <w:pPr>
              <w:jc w:val="right"/>
              <w:ind w:right="468"/>
              <w:spacing w:after="0"/>
              <w:rPr>
                <w:sz w:val="20"/>
                <w:szCs w:val="20"/>
                <w:color w:val="auto"/>
              </w:rPr>
            </w:pPr>
            <w:r>
              <w:rPr>
                <w:rFonts w:ascii="Arial" w:cs="Arial" w:eastAsia="Arial" w:hAnsi="Arial"/>
                <w:sz w:val="14"/>
                <w:szCs w:val="14"/>
                <w:b w:val="1"/>
                <w:bCs w:val="1"/>
                <w:color w:val="auto"/>
              </w:rPr>
              <w:t>2020</w:t>
            </w: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rPr>
              <w:t>2019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132320" cy="17970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Unaudited Adjusted EBITDA Reconciliation to Net Income (Loss):</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660" w:type="dxa"/>
            <w:vAlign w:val="bottom"/>
          </w:tcPr>
          <w:p>
            <w:pPr>
              <w:ind w:left="40"/>
              <w:spacing w:after="0"/>
              <w:rPr>
                <w:sz w:val="20"/>
                <w:szCs w:val="20"/>
                <w:color w:val="auto"/>
              </w:rPr>
            </w:pPr>
            <w:r>
              <w:rPr>
                <w:rFonts w:ascii="Arial" w:cs="Arial" w:eastAsia="Arial" w:hAnsi="Arial"/>
                <w:sz w:val="18"/>
                <w:szCs w:val="18"/>
                <w:color w:val="auto"/>
              </w:rPr>
              <w:t>Net income (loss) attributable to Matador Resources Company shareholders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3"/>
              <w:spacing w:after="0"/>
              <w:rPr>
                <w:sz w:val="20"/>
                <w:szCs w:val="20"/>
                <w:color w:val="auto"/>
              </w:rPr>
            </w:pPr>
            <w:r>
              <w:rPr>
                <w:rFonts w:ascii="Arial" w:cs="Arial" w:eastAsia="Arial" w:hAnsi="Arial"/>
                <w:sz w:val="18"/>
                <w:szCs w:val="18"/>
                <w:color w:val="auto"/>
              </w:rPr>
              <w:t>125,729</w:t>
            </w:r>
          </w:p>
        </w:tc>
        <w:tc>
          <w:tcPr>
            <w:tcW w:w="120" w:type="dxa"/>
            <w:vAlign w:val="bottom"/>
          </w:tcPr>
          <w:p>
            <w:pPr>
              <w:spacing w:after="0"/>
              <w:rPr>
                <w:sz w:val="20"/>
                <w:szCs w:val="20"/>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(16,947)</w:t>
            </w:r>
          </w:p>
        </w:tc>
      </w:tr>
      <w:tr>
        <w:trPr>
          <w:trHeight w:val="27"/>
        </w:trPr>
        <w:tc>
          <w:tcPr>
            <w:tcW w:w="86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0"/>
        </w:trPr>
        <w:tc>
          <w:tcPr>
            <w:tcW w:w="8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attributable to non-controlling interest in subsidiaries</w:t>
            </w: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9,354</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7,462</w:t>
            </w:r>
          </w:p>
        </w:tc>
      </w:tr>
      <w:tr>
        <w:trPr>
          <w:trHeight w:val="237"/>
        </w:trPr>
        <w:tc>
          <w:tcPr>
            <w:tcW w:w="8660" w:type="dxa"/>
            <w:vAlign w:val="bottom"/>
          </w:tcPr>
          <w:p>
            <w:pPr>
              <w:ind w:left="180"/>
              <w:spacing w:after="0"/>
              <w:rPr>
                <w:sz w:val="20"/>
                <w:szCs w:val="20"/>
                <w:color w:val="auto"/>
              </w:rPr>
            </w:pPr>
            <w:r>
              <w:rPr>
                <w:rFonts w:ascii="Arial" w:cs="Arial" w:eastAsia="Arial" w:hAnsi="Arial"/>
                <w:sz w:val="18"/>
                <w:szCs w:val="18"/>
                <w:color w:val="auto"/>
              </w:rPr>
              <w:t>Net income (loss)</w:t>
            </w:r>
          </w:p>
        </w:tc>
        <w:tc>
          <w:tcPr>
            <w:tcW w:w="3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135,083</w:t>
            </w:r>
          </w:p>
        </w:tc>
        <w:tc>
          <w:tcPr>
            <w:tcW w:w="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(9,485)</w:t>
            </w:r>
          </w:p>
        </w:tc>
      </w:tr>
      <w:tr>
        <w:trPr>
          <w:trHeight w:val="27"/>
        </w:trPr>
        <w:tc>
          <w:tcPr>
            <w:tcW w:w="86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8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19,812</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17,929</w:t>
            </w:r>
          </w:p>
        </w:tc>
      </w:tr>
      <w:tr>
        <w:trPr>
          <w:trHeight w:val="243"/>
        </w:trPr>
        <w:tc>
          <w:tcPr>
            <w:tcW w:w="8660" w:type="dxa"/>
            <w:vAlign w:val="bottom"/>
          </w:tcPr>
          <w:p>
            <w:pPr>
              <w:ind w:left="40"/>
              <w:spacing w:after="0"/>
              <w:rPr>
                <w:sz w:val="20"/>
                <w:szCs w:val="20"/>
                <w:color w:val="auto"/>
              </w:rPr>
            </w:pPr>
            <w:r>
              <w:rPr>
                <w:rFonts w:ascii="Arial" w:cs="Arial" w:eastAsia="Arial" w:hAnsi="Arial"/>
                <w:sz w:val="18"/>
                <w:szCs w:val="18"/>
                <w:color w:val="auto"/>
              </w:rPr>
              <w:t>Total income tax provision (benefit)</w:t>
            </w:r>
          </w:p>
        </w:tc>
        <w:tc>
          <w:tcPr>
            <w:tcW w:w="300" w:type="dxa"/>
            <w:vAlign w:val="bottom"/>
          </w:tcPr>
          <w:p>
            <w:pPr>
              <w:spacing w:after="0"/>
              <w:rPr>
                <w:sz w:val="21"/>
                <w:szCs w:val="21"/>
                <w:color w:val="auto"/>
              </w:rPr>
            </w:pPr>
          </w:p>
        </w:tc>
        <w:tc>
          <w:tcPr>
            <w:tcW w:w="940" w:type="dxa"/>
            <w:vAlign w:val="bottom"/>
          </w:tcPr>
          <w:p>
            <w:pPr>
              <w:jc w:val="right"/>
              <w:ind w:right="13"/>
              <w:spacing w:after="0"/>
              <w:rPr>
                <w:sz w:val="20"/>
                <w:szCs w:val="20"/>
                <w:color w:val="auto"/>
              </w:rPr>
            </w:pPr>
            <w:r>
              <w:rPr>
                <w:rFonts w:ascii="Arial" w:cs="Arial" w:eastAsia="Arial" w:hAnsi="Arial"/>
                <w:sz w:val="18"/>
                <w:szCs w:val="18"/>
                <w:color w:val="auto"/>
              </w:rPr>
              <w:t>39,957</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(1,013)</w:t>
            </w:r>
          </w:p>
        </w:tc>
      </w:tr>
      <w:tr>
        <w:trPr>
          <w:trHeight w:val="27"/>
        </w:trPr>
        <w:tc>
          <w:tcPr>
            <w:tcW w:w="86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8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Depletion, depreciation and amortization</w:t>
            </w: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90,707</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76,866</w:t>
            </w:r>
          </w:p>
        </w:tc>
      </w:tr>
      <w:tr>
        <w:trPr>
          <w:trHeight w:val="243"/>
        </w:trPr>
        <w:tc>
          <w:tcPr>
            <w:tcW w:w="8660" w:type="dxa"/>
            <w:vAlign w:val="bottom"/>
          </w:tcPr>
          <w:p>
            <w:pPr>
              <w:ind w:left="40"/>
              <w:spacing w:after="0"/>
              <w:rPr>
                <w:sz w:val="20"/>
                <w:szCs w:val="20"/>
                <w:color w:val="auto"/>
              </w:rPr>
            </w:pPr>
            <w:r>
              <w:rPr>
                <w:rFonts w:ascii="Arial" w:cs="Arial" w:eastAsia="Arial" w:hAnsi="Arial"/>
                <w:sz w:val="18"/>
                <w:szCs w:val="18"/>
                <w:color w:val="auto"/>
              </w:rPr>
              <w:t>Accretion of asset retirement obligations</w:t>
            </w:r>
          </w:p>
        </w:tc>
        <w:tc>
          <w:tcPr>
            <w:tcW w:w="300" w:type="dxa"/>
            <w:vAlign w:val="bottom"/>
          </w:tcPr>
          <w:p>
            <w:pPr>
              <w:spacing w:after="0"/>
              <w:rPr>
                <w:sz w:val="21"/>
                <w:szCs w:val="21"/>
                <w:color w:val="auto"/>
              </w:rPr>
            </w:pPr>
          </w:p>
        </w:tc>
        <w:tc>
          <w:tcPr>
            <w:tcW w:w="940" w:type="dxa"/>
            <w:vAlign w:val="bottom"/>
          </w:tcPr>
          <w:p>
            <w:pPr>
              <w:jc w:val="right"/>
              <w:ind w:right="13"/>
              <w:spacing w:after="0"/>
              <w:rPr>
                <w:sz w:val="20"/>
                <w:szCs w:val="20"/>
                <w:color w:val="auto"/>
              </w:rPr>
            </w:pPr>
            <w:r>
              <w:rPr>
                <w:rFonts w:ascii="Arial" w:cs="Arial" w:eastAsia="Arial" w:hAnsi="Arial"/>
                <w:sz w:val="18"/>
                <w:szCs w:val="18"/>
                <w:color w:val="auto"/>
              </w:rPr>
              <w:t>476</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414</w:t>
            </w:r>
          </w:p>
        </w:tc>
      </w:tr>
      <w:tr>
        <w:trPr>
          <w:trHeight w:val="27"/>
        </w:trPr>
        <w:tc>
          <w:tcPr>
            <w:tcW w:w="86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8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Unrealized (gain) loss on derivatives</w:t>
            </w: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(136,430)</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45,719</w:t>
            </w:r>
          </w:p>
        </w:tc>
      </w:tr>
      <w:tr>
        <w:trPr>
          <w:trHeight w:val="243"/>
        </w:trPr>
        <w:tc>
          <w:tcPr>
            <w:tcW w:w="8660" w:type="dxa"/>
            <w:vAlign w:val="bottom"/>
          </w:tcPr>
          <w:p>
            <w:pPr>
              <w:ind w:left="40"/>
              <w:spacing w:after="0"/>
              <w:rPr>
                <w:sz w:val="20"/>
                <w:szCs w:val="20"/>
                <w:color w:val="auto"/>
              </w:rPr>
            </w:pPr>
            <w:r>
              <w:rPr>
                <w:rFonts w:ascii="Arial" w:cs="Arial" w:eastAsia="Arial" w:hAnsi="Arial"/>
                <w:sz w:val="18"/>
                <w:szCs w:val="18"/>
                <w:color w:val="auto"/>
              </w:rPr>
              <w:t>Stock-based compensation expense</w:t>
            </w:r>
          </w:p>
        </w:tc>
        <w:tc>
          <w:tcPr>
            <w:tcW w:w="300" w:type="dxa"/>
            <w:vAlign w:val="bottom"/>
          </w:tcPr>
          <w:p>
            <w:pPr>
              <w:spacing w:after="0"/>
              <w:rPr>
                <w:sz w:val="21"/>
                <w:szCs w:val="21"/>
                <w:color w:val="auto"/>
              </w:rPr>
            </w:pPr>
          </w:p>
        </w:tc>
        <w:tc>
          <w:tcPr>
            <w:tcW w:w="940" w:type="dxa"/>
            <w:vAlign w:val="bottom"/>
          </w:tcPr>
          <w:p>
            <w:pPr>
              <w:jc w:val="right"/>
              <w:ind w:right="13"/>
              <w:spacing w:after="0"/>
              <w:rPr>
                <w:sz w:val="20"/>
                <w:szCs w:val="20"/>
                <w:color w:val="auto"/>
              </w:rPr>
            </w:pPr>
            <w:r>
              <w:rPr>
                <w:rFonts w:ascii="Arial" w:cs="Arial" w:eastAsia="Arial" w:hAnsi="Arial"/>
                <w:sz w:val="18"/>
                <w:szCs w:val="18"/>
                <w:color w:val="auto"/>
              </w:rPr>
              <w:t>3,794</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4,587</w:t>
            </w:r>
          </w:p>
        </w:tc>
      </w:tr>
      <w:tr>
        <w:trPr>
          <w:trHeight w:val="27"/>
        </w:trPr>
        <w:tc>
          <w:tcPr>
            <w:tcW w:w="86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43"/>
        </w:trPr>
        <w:tc>
          <w:tcPr>
            <w:tcW w:w="8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Consolidated Adjusted EBITDA</w:t>
            </w: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153,399</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135,017</w:t>
            </w:r>
          </w:p>
        </w:tc>
      </w:tr>
      <w:tr>
        <w:trPr>
          <w:trHeight w:val="243"/>
        </w:trPr>
        <w:tc>
          <w:tcPr>
            <w:tcW w:w="8660" w:type="dxa"/>
            <w:vAlign w:val="bottom"/>
          </w:tcPr>
          <w:p>
            <w:pPr>
              <w:ind w:left="40"/>
              <w:spacing w:after="0"/>
              <w:rPr>
                <w:sz w:val="20"/>
                <w:szCs w:val="20"/>
                <w:color w:val="auto"/>
              </w:rPr>
            </w:pPr>
            <w:r>
              <w:rPr>
                <w:rFonts w:ascii="Arial" w:cs="Arial" w:eastAsia="Arial" w:hAnsi="Arial"/>
                <w:sz w:val="18"/>
                <w:szCs w:val="18"/>
                <w:color w:val="auto"/>
              </w:rPr>
              <w:t>Adjusted EBITDA attributable to non-controlling interest in subsidiaries</w:t>
            </w:r>
          </w:p>
        </w:tc>
        <w:tc>
          <w:tcPr>
            <w:tcW w:w="3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(12,823)</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(10,178)</w:t>
            </w:r>
          </w:p>
        </w:tc>
      </w:tr>
      <w:tr>
        <w:trPr>
          <w:trHeight w:val="27"/>
        </w:trPr>
        <w:tc>
          <w:tcPr>
            <w:tcW w:w="86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68"/>
        </w:trPr>
        <w:tc>
          <w:tcPr>
            <w:tcW w:w="8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Adjusted EBITDA attributable to Matador Resources Company shareholders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140,576</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124,839</w:t>
            </w:r>
          </w:p>
        </w:tc>
      </w:tr>
      <w:tr>
        <w:trPr>
          <w:trHeight w:val="20"/>
        </w:trPr>
        <w:tc>
          <w:tcPr>
            <w:tcW w:w="86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auto"/>
              <w:bottom w:val="single" w:sz="8" w:color="auto"/>
            </w:tcBorders>
            <w:gridSpan w:val="2"/>
          </w:tcPr>
          <w:p>
            <w:pPr>
              <w:spacing w:after="0" w:line="20" w:lineRule="exact"/>
              <w:rPr>
                <w:sz w:val="1"/>
                <w:szCs w:val="1"/>
                <w:color w:val="auto"/>
              </w:rPr>
            </w:pPr>
          </w:p>
        </w:tc>
      </w:tr>
      <w:tr>
        <w:trPr>
          <w:trHeight w:val="268"/>
        </w:trPr>
        <w:tc>
          <w:tcPr>
            <w:tcW w:w="86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280" w:type="dxa"/>
            <w:vAlign w:val="bottom"/>
            <w:gridSpan w:val="4"/>
          </w:tcPr>
          <w:p>
            <w:pPr>
              <w:jc w:val="right"/>
              <w:ind w:right="551"/>
              <w:spacing w:after="0"/>
              <w:rPr>
                <w:sz w:val="20"/>
                <w:szCs w:val="20"/>
                <w:color w:val="auto"/>
              </w:rPr>
            </w:pPr>
            <w:r>
              <w:rPr>
                <w:rFonts w:ascii="Arial" w:cs="Arial" w:eastAsia="Arial" w:hAnsi="Arial"/>
                <w:sz w:val="14"/>
                <w:szCs w:val="14"/>
                <w:b w:val="1"/>
                <w:bCs w:val="1"/>
                <w:color w:val="auto"/>
              </w:rPr>
              <w:t>Three Months Ended</w:t>
            </w:r>
          </w:p>
        </w:tc>
      </w:tr>
      <w:tr>
        <w:trPr>
          <w:trHeight w:val="192"/>
        </w:trPr>
        <w:tc>
          <w:tcPr>
            <w:tcW w:w="86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March 31,</w:t>
            </w:r>
          </w:p>
        </w:tc>
        <w:tc>
          <w:tcPr>
            <w:tcW w:w="860" w:type="dxa"/>
            <w:vAlign w:val="bottom"/>
            <w:tcBorders>
              <w:bottom w:val="single" w:sz="8" w:color="auto"/>
            </w:tcBorders>
          </w:tcPr>
          <w:p>
            <w:pPr>
              <w:spacing w:after="0"/>
              <w:rPr>
                <w:sz w:val="16"/>
                <w:szCs w:val="16"/>
                <w:color w:val="auto"/>
              </w:rPr>
            </w:pPr>
          </w:p>
        </w:tc>
      </w:tr>
      <w:tr>
        <w:trPr>
          <w:trHeight w:val="263"/>
        </w:trPr>
        <w:tc>
          <w:tcPr>
            <w:tcW w:w="866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3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2019</w:t>
            </w:r>
          </w:p>
        </w:tc>
      </w:tr>
      <w:tr>
        <w:trPr>
          <w:trHeight w:val="250"/>
        </w:trPr>
        <w:tc>
          <w:tcPr>
            <w:tcW w:w="8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Unaudited Adjusted EBITDA Reconciliation to Net Cash Provided by Operating Activities:</w:t>
            </w: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r>
      <w:tr>
        <w:trPr>
          <w:trHeight w:val="243"/>
        </w:trPr>
        <w:tc>
          <w:tcPr>
            <w:tcW w:w="8660" w:type="dxa"/>
            <w:vAlign w:val="bottom"/>
          </w:tcPr>
          <w:p>
            <w:pPr>
              <w:ind w:left="40"/>
              <w:spacing w:after="0"/>
              <w:rPr>
                <w:sz w:val="20"/>
                <w:szCs w:val="20"/>
                <w:color w:val="auto"/>
              </w:rPr>
            </w:pPr>
            <w:r>
              <w:rPr>
                <w:rFonts w:ascii="Arial" w:cs="Arial" w:eastAsia="Arial" w:hAnsi="Arial"/>
                <w:sz w:val="18"/>
                <w:szCs w:val="18"/>
                <w:color w:val="auto"/>
              </w:rPr>
              <w:t>Net cash provided by operating activities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3"/>
              <w:spacing w:after="0"/>
              <w:rPr>
                <w:sz w:val="20"/>
                <w:szCs w:val="20"/>
                <w:color w:val="auto"/>
              </w:rPr>
            </w:pPr>
            <w:r>
              <w:rPr>
                <w:rFonts w:ascii="Arial" w:cs="Arial" w:eastAsia="Arial" w:hAnsi="Arial"/>
                <w:sz w:val="18"/>
                <w:szCs w:val="18"/>
                <w:color w:val="auto"/>
              </w:rPr>
              <w:t>109,372</w:t>
            </w:r>
          </w:p>
        </w:tc>
        <w:tc>
          <w:tcPr>
            <w:tcW w:w="120" w:type="dxa"/>
            <w:vAlign w:val="bottom"/>
          </w:tcPr>
          <w:p>
            <w:pPr>
              <w:spacing w:after="0"/>
              <w:rPr>
                <w:sz w:val="21"/>
                <w:szCs w:val="21"/>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59,240</w:t>
            </w:r>
          </w:p>
        </w:tc>
      </w:tr>
      <w:tr>
        <w:trPr>
          <w:trHeight w:val="27"/>
        </w:trPr>
        <w:tc>
          <w:tcPr>
            <w:tcW w:w="86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8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change in operating assets and liabilities</w:t>
            </w: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24,899</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58,491</w:t>
            </w:r>
          </w:p>
        </w:tc>
      </w:tr>
      <w:tr>
        <w:trPr>
          <w:trHeight w:val="243"/>
        </w:trPr>
        <w:tc>
          <w:tcPr>
            <w:tcW w:w="8660" w:type="dxa"/>
            <w:vAlign w:val="bottom"/>
          </w:tcPr>
          <w:p>
            <w:pPr>
              <w:ind w:left="40"/>
              <w:spacing w:after="0"/>
              <w:rPr>
                <w:sz w:val="20"/>
                <w:szCs w:val="20"/>
                <w:color w:val="auto"/>
              </w:rPr>
            </w:pPr>
            <w:r>
              <w:rPr>
                <w:rFonts w:ascii="Arial" w:cs="Arial" w:eastAsia="Arial" w:hAnsi="Arial"/>
                <w:sz w:val="18"/>
                <w:szCs w:val="18"/>
                <w:color w:val="auto"/>
              </w:rPr>
              <w:t>Interest expense, net of non-cash portion</w:t>
            </w:r>
          </w:p>
        </w:tc>
        <w:tc>
          <w:tcPr>
            <w:tcW w:w="300" w:type="dxa"/>
            <w:vAlign w:val="bottom"/>
          </w:tcPr>
          <w:p>
            <w:pPr>
              <w:spacing w:after="0"/>
              <w:rPr>
                <w:sz w:val="21"/>
                <w:szCs w:val="21"/>
                <w:color w:val="auto"/>
              </w:rPr>
            </w:pPr>
          </w:p>
        </w:tc>
        <w:tc>
          <w:tcPr>
            <w:tcW w:w="940" w:type="dxa"/>
            <w:vAlign w:val="bottom"/>
          </w:tcPr>
          <w:p>
            <w:pPr>
              <w:jc w:val="right"/>
              <w:ind w:right="13"/>
              <w:spacing w:after="0"/>
              <w:rPr>
                <w:sz w:val="20"/>
                <w:szCs w:val="20"/>
                <w:color w:val="auto"/>
              </w:rPr>
            </w:pPr>
            <w:r>
              <w:rPr>
                <w:rFonts w:ascii="Arial" w:cs="Arial" w:eastAsia="Arial" w:hAnsi="Arial"/>
                <w:sz w:val="18"/>
                <w:szCs w:val="18"/>
                <w:color w:val="auto"/>
              </w:rPr>
              <w:t>19,128</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17,286</w:t>
            </w:r>
          </w:p>
        </w:tc>
      </w:tr>
      <w:tr>
        <w:trPr>
          <w:trHeight w:val="27"/>
        </w:trPr>
        <w:tc>
          <w:tcPr>
            <w:tcW w:w="86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0"/>
        </w:trPr>
        <w:tc>
          <w:tcPr>
            <w:tcW w:w="8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Adjusted EBITDA attributable to non-controlling interest in subsidiaries</w:t>
            </w: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(12,823)</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(10,178)</w:t>
            </w:r>
          </w:p>
        </w:tc>
      </w:tr>
      <w:tr>
        <w:trPr>
          <w:trHeight w:val="237"/>
        </w:trPr>
        <w:tc>
          <w:tcPr>
            <w:tcW w:w="8660" w:type="dxa"/>
            <w:vAlign w:val="bottom"/>
          </w:tcPr>
          <w:p>
            <w:pPr>
              <w:ind w:left="180"/>
              <w:spacing w:after="0"/>
              <w:rPr>
                <w:sz w:val="20"/>
                <w:szCs w:val="20"/>
                <w:color w:val="auto"/>
              </w:rPr>
            </w:pPr>
            <w:r>
              <w:rPr>
                <w:rFonts w:ascii="Arial" w:cs="Arial" w:eastAsia="Arial" w:hAnsi="Arial"/>
                <w:sz w:val="18"/>
                <w:szCs w:val="18"/>
                <w:color w:val="auto"/>
              </w:rPr>
              <w:t>Adjusted EBITDA attributable to Matador Resources Company shareholders</w:t>
            </w: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140,576</w:t>
            </w:r>
          </w:p>
        </w:tc>
        <w:tc>
          <w:tcPr>
            <w:tcW w:w="120" w:type="dxa"/>
            <w:vAlign w:val="bottom"/>
          </w:tcPr>
          <w:p>
            <w:pPr>
              <w:spacing w:after="0"/>
              <w:rPr>
                <w:sz w:val="20"/>
                <w:szCs w:val="20"/>
                <w:color w:val="auto"/>
              </w:rPr>
            </w:pPr>
          </w:p>
        </w:tc>
        <w:tc>
          <w:tcPr>
            <w:tcW w:w="36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124,839</w:t>
            </w:r>
          </w:p>
        </w:tc>
      </w:tr>
      <w:tr>
        <w:trPr>
          <w:trHeight w:val="27"/>
        </w:trPr>
        <w:tc>
          <w:tcPr>
            <w:tcW w:w="86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0"/>
        </w:trPr>
        <w:tc>
          <w:tcPr>
            <w:tcW w:w="86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right="20" w:firstLine="405"/>
        <w:spacing w:after="0" w:line="293" w:lineRule="auto"/>
        <w:rPr>
          <w:sz w:val="20"/>
          <w:szCs w:val="20"/>
          <w:color w:val="auto"/>
        </w:rPr>
      </w:pPr>
      <w:r>
        <w:rPr>
          <w:rFonts w:ascii="Arial" w:cs="Arial" w:eastAsia="Arial" w:hAnsi="Arial"/>
          <w:sz w:val="16"/>
          <w:szCs w:val="16"/>
          <w:color w:val="auto"/>
        </w:rPr>
        <w:t>Net income attributable to Matador shareholders increased by $142.7 million to $125.7 million for the three months ended March 31, 2020, as compared to a net loss of $16.9 million for the three months ended March 31, 2019. This increase in net income attributable to Matador shareholders is primarily attributable to an increase of $182.1 million in unrealized gain on derivatives, from an unrealized loss of $45.7 million for the three months ended March 31, 2019 to an unrealized gain of $136.4 million for the three months ended March 31, 2020. This increase was partially offset by a $41.0 million increase in the deferred income tax provision. In addition, net income was positively impacted by higher oil and natural gas production, which was partially offset by lower realized oil and natural gas prices for the three months ended March 31, 2020, as compared to the three months ended March 31, 2019.</w:t>
      </w:r>
    </w:p>
    <w:p>
      <w:pPr>
        <w:spacing w:after="0" w:line="56" w:lineRule="exact"/>
        <w:rPr>
          <w:sz w:val="20"/>
          <w:szCs w:val="20"/>
          <w:color w:val="auto"/>
        </w:rPr>
      </w:pPr>
    </w:p>
    <w:p>
      <w:pPr>
        <w:ind w:right="180" w:firstLine="405"/>
        <w:spacing w:after="0" w:line="259" w:lineRule="auto"/>
        <w:rPr>
          <w:sz w:val="20"/>
          <w:szCs w:val="20"/>
          <w:color w:val="auto"/>
        </w:rPr>
      </w:pPr>
      <w:r>
        <w:rPr>
          <w:rFonts w:ascii="Arial" w:cs="Arial" w:eastAsia="Arial" w:hAnsi="Arial"/>
          <w:sz w:val="18"/>
          <w:szCs w:val="18"/>
          <w:color w:val="auto"/>
        </w:rPr>
        <w:t>Adjusted EBITDA, a non-GAAP financial measure, increased by $15.7 million to $140.6 million for the three months ended March 31, 2020, as compared to $124.8 million for the three months ended March 31, 2019. This increase is primarily attributable to higher oil and natural gas production, which was partially offset by lower realized oil and natural gas prices for the three months ended March 31, 2020, as compared to the three months ended March 31, 2019.</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ind w:left="420"/>
        <w:spacing w:after="0"/>
        <w:rPr>
          <w:sz w:val="20"/>
          <w:szCs w:val="20"/>
          <w:color w:val="auto"/>
        </w:rPr>
      </w:pPr>
      <w:r>
        <w:rPr>
          <w:rFonts w:ascii="Arial" w:cs="Arial" w:eastAsia="Arial" w:hAnsi="Arial"/>
          <w:sz w:val="16"/>
          <w:szCs w:val="16"/>
          <w:color w:val="auto"/>
        </w:rPr>
        <w:t>From time-to-time, we enter into off-balance sheet arrangements and transactions that can give rise to material off-balance sheet obligations. As</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of March 31, 2020, the material off-balance sheet arrangements and transactions that we have entered into include (i) non-operated drilling commitments,</w:t>
      </w:r>
    </w:p>
    <w:p>
      <w:pPr>
        <w:spacing w:after="0" w:line="32" w:lineRule="exact"/>
        <w:rPr>
          <w:sz w:val="20"/>
          <w:szCs w:val="20"/>
          <w:color w:val="auto"/>
        </w:rPr>
      </w:pPr>
    </w:p>
    <w:p>
      <w:pPr>
        <w:ind w:right="100" w:firstLine="8"/>
        <w:spacing w:after="0" w:line="251" w:lineRule="auto"/>
        <w:tabs>
          <w:tab w:leader="none" w:pos="265" w:val="left"/>
        </w:tabs>
        <w:numPr>
          <w:ilvl w:val="0"/>
          <w:numId w:val="17"/>
        </w:numPr>
        <w:rPr>
          <w:rFonts w:ascii="Arial" w:cs="Arial" w:eastAsia="Arial" w:hAnsi="Arial"/>
          <w:sz w:val="18"/>
          <w:szCs w:val="18"/>
          <w:color w:val="auto"/>
        </w:rPr>
      </w:pPr>
      <w:r>
        <w:rPr>
          <w:rFonts w:ascii="Arial" w:cs="Arial" w:eastAsia="Arial" w:hAnsi="Arial"/>
          <w:sz w:val="18"/>
          <w:szCs w:val="18"/>
          <w:color w:val="auto"/>
        </w:rPr>
        <w:t>firm transportation, gathering, processing and disposal commitments and (iii) contractual obligations for which the ultimate settlement amounts are not fixed and determinable, such as derivative contracts that are sensitive to future changes in commodity prices or interest rates, gathering, treating, transportation and disposal commitments on uncertain volumes of future throughput, open delivery commitments and indemnification obligations following certain divestitures. Other than the off-balance sheet arrangements described above, the Company has no transactions, arrangements or other relationships with unconsolidated entities or other persons that are reasonably likely to materially affect the Company’s liquidity or availability of or requirements for capital resources. See “— Obligations and Commitments” below and Note 9 to the interim unaudited condensed consolidated financial statements in this Quarterly Report for more information regarding our off-balance sheet arrangements. Such information is incorporated herein by reference.</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240"/>
          </w:cols>
          <w:pgMar w:left="320" w:top="125" w:right="33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Obligations and Commitments</w:t>
      </w:r>
    </w:p>
    <w:p>
      <w:pPr>
        <w:spacing w:after="0" w:line="12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We had the following material contractual obligations and commitments at March 31, 2020:</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6"/>
          </w:tcPr>
          <w:p>
            <w:pPr>
              <w:jc w:val="center"/>
              <w:ind w:right="70"/>
              <w:spacing w:after="0"/>
              <w:rPr>
                <w:sz w:val="20"/>
                <w:szCs w:val="20"/>
                <w:color w:val="auto"/>
              </w:rPr>
            </w:pPr>
            <w:r>
              <w:rPr>
                <w:rFonts w:ascii="Arial" w:cs="Arial" w:eastAsia="Arial" w:hAnsi="Arial"/>
                <w:sz w:val="14"/>
                <w:szCs w:val="14"/>
                <w:b w:val="1"/>
                <w:bCs w:val="1"/>
                <w:color w:val="auto"/>
                <w:w w:val="92"/>
              </w:rPr>
              <w:t>Payments Due by Period</w:t>
            </w:r>
          </w:p>
        </w:tc>
        <w:tc>
          <w:tcPr>
            <w:tcW w:w="8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5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80" w:type="dxa"/>
            <w:vAlign w:val="bottom"/>
          </w:tcPr>
          <w:p>
            <w:pPr>
              <w:jc w:val="center"/>
              <w:ind w:right="54"/>
              <w:spacing w:after="0" w:line="153" w:lineRule="exact"/>
              <w:rPr>
                <w:sz w:val="20"/>
                <w:szCs w:val="20"/>
                <w:color w:val="auto"/>
              </w:rPr>
            </w:pPr>
            <w:r>
              <w:rPr>
                <w:rFonts w:ascii="Arial" w:cs="Arial" w:eastAsia="Arial" w:hAnsi="Arial"/>
                <w:sz w:val="14"/>
                <w:szCs w:val="14"/>
                <w:b w:val="1"/>
                <w:bCs w:val="1"/>
                <w:color w:val="auto"/>
                <w:w w:val="87"/>
              </w:rPr>
              <w:t>Less</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vMerge w:val="restart"/>
          </w:tcPr>
          <w:p>
            <w:pPr>
              <w:jc w:val="center"/>
              <w:ind w:right="153"/>
              <w:spacing w:after="0"/>
              <w:rPr>
                <w:sz w:val="20"/>
                <w:szCs w:val="20"/>
                <w:color w:val="auto"/>
              </w:rPr>
            </w:pPr>
            <w:r>
              <w:rPr>
                <w:rFonts w:ascii="Arial" w:cs="Arial" w:eastAsia="Arial" w:hAnsi="Arial"/>
                <w:sz w:val="14"/>
                <w:szCs w:val="14"/>
                <w:b w:val="1"/>
                <w:bCs w:val="1"/>
                <w:color w:val="auto"/>
                <w:w w:val="92"/>
              </w:rPr>
              <w:t>1 - 3</w:t>
            </w: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vMerge w:val="restart"/>
          </w:tcPr>
          <w:p>
            <w:pPr>
              <w:jc w:val="right"/>
              <w:ind w:right="353"/>
              <w:spacing w:after="0"/>
              <w:rPr>
                <w:sz w:val="20"/>
                <w:szCs w:val="20"/>
                <w:color w:val="auto"/>
              </w:rPr>
            </w:pPr>
            <w:r>
              <w:rPr>
                <w:rFonts w:ascii="Arial" w:cs="Arial" w:eastAsia="Arial" w:hAnsi="Arial"/>
                <w:sz w:val="14"/>
                <w:szCs w:val="14"/>
                <w:b w:val="1"/>
                <w:bCs w:val="1"/>
                <w:color w:val="auto"/>
              </w:rPr>
              <w:t>3 - 5</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jc w:val="center"/>
              <w:ind w:right="114"/>
              <w:spacing w:after="0" w:line="153" w:lineRule="exact"/>
              <w:rPr>
                <w:sz w:val="20"/>
                <w:szCs w:val="20"/>
                <w:color w:val="auto"/>
              </w:rPr>
            </w:pPr>
            <w:r>
              <w:rPr>
                <w:rFonts w:ascii="Arial" w:cs="Arial" w:eastAsia="Arial" w:hAnsi="Arial"/>
                <w:sz w:val="14"/>
                <w:szCs w:val="14"/>
                <w:b w:val="1"/>
                <w:bCs w:val="1"/>
                <w:color w:val="auto"/>
                <w:w w:val="95"/>
              </w:rPr>
              <w:t>More</w:t>
            </w:r>
          </w:p>
        </w:tc>
        <w:tc>
          <w:tcPr>
            <w:tcW w:w="0" w:type="dxa"/>
            <w:vAlign w:val="bottom"/>
          </w:tcPr>
          <w:p>
            <w:pPr>
              <w:spacing w:after="0"/>
              <w:rPr>
                <w:sz w:val="1"/>
                <w:szCs w:val="1"/>
                <w:color w:val="auto"/>
              </w:rPr>
            </w:pPr>
          </w:p>
        </w:tc>
      </w:tr>
      <w:tr>
        <w:trPr>
          <w:trHeight w:val="148"/>
        </w:trPr>
        <w:tc>
          <w:tcPr>
            <w:tcW w:w="518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thousands)</w:t>
            </w:r>
          </w:p>
        </w:tc>
        <w:tc>
          <w:tcPr>
            <w:tcW w:w="220" w:type="dxa"/>
            <w:vAlign w:val="bottom"/>
          </w:tcPr>
          <w:p>
            <w:pPr>
              <w:spacing w:after="0"/>
              <w:rPr>
                <w:sz w:val="12"/>
                <w:szCs w:val="12"/>
                <w:color w:val="auto"/>
              </w:rPr>
            </w:pPr>
          </w:p>
        </w:tc>
        <w:tc>
          <w:tcPr>
            <w:tcW w:w="104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Total</w:t>
            </w:r>
          </w:p>
        </w:tc>
        <w:tc>
          <w:tcPr>
            <w:tcW w:w="240" w:type="dxa"/>
            <w:vAlign w:val="bottom"/>
          </w:tcPr>
          <w:p>
            <w:pPr>
              <w:spacing w:after="0"/>
              <w:rPr>
                <w:sz w:val="12"/>
                <w:szCs w:val="12"/>
                <w:color w:val="auto"/>
              </w:rPr>
            </w:pPr>
          </w:p>
        </w:tc>
        <w:tc>
          <w:tcPr>
            <w:tcW w:w="780" w:type="dxa"/>
            <w:vAlign w:val="bottom"/>
          </w:tcPr>
          <w:p>
            <w:pPr>
              <w:jc w:val="center"/>
              <w:ind w:right="54"/>
              <w:spacing w:after="0" w:line="149" w:lineRule="exact"/>
              <w:rPr>
                <w:sz w:val="20"/>
                <w:szCs w:val="20"/>
                <w:color w:val="auto"/>
              </w:rPr>
            </w:pPr>
            <w:r>
              <w:rPr>
                <w:rFonts w:ascii="Arial" w:cs="Arial" w:eastAsia="Arial" w:hAnsi="Arial"/>
                <w:sz w:val="14"/>
                <w:szCs w:val="14"/>
                <w:b w:val="1"/>
                <w:bCs w:val="1"/>
                <w:color w:val="auto"/>
                <w:w w:val="95"/>
              </w:rPr>
              <w:t>Than</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jc w:val="center"/>
              <w:ind w:right="114"/>
              <w:spacing w:after="0" w:line="149" w:lineRule="exact"/>
              <w:rPr>
                <w:sz w:val="20"/>
                <w:szCs w:val="20"/>
                <w:color w:val="auto"/>
              </w:rPr>
            </w:pPr>
            <w:r>
              <w:rPr>
                <w:rFonts w:ascii="Arial" w:cs="Arial" w:eastAsia="Arial" w:hAnsi="Arial"/>
                <w:sz w:val="14"/>
                <w:szCs w:val="14"/>
                <w:b w:val="1"/>
                <w:bCs w:val="1"/>
                <w:color w:val="auto"/>
                <w:w w:val="95"/>
              </w:rPr>
              <w:t>Than</w:t>
            </w:r>
          </w:p>
        </w:tc>
        <w:tc>
          <w:tcPr>
            <w:tcW w:w="0" w:type="dxa"/>
            <w:vAlign w:val="bottom"/>
          </w:tcPr>
          <w:p>
            <w:pPr>
              <w:spacing w:after="0"/>
              <w:rPr>
                <w:sz w:val="1"/>
                <w:szCs w:val="1"/>
                <w:color w:val="auto"/>
              </w:rPr>
            </w:pPr>
          </w:p>
        </w:tc>
      </w:tr>
      <w:tr>
        <w:trPr>
          <w:trHeight w:val="192"/>
        </w:trPr>
        <w:tc>
          <w:tcPr>
            <w:tcW w:w="518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jc w:val="center"/>
              <w:ind w:right="54"/>
              <w:spacing w:after="0"/>
              <w:rPr>
                <w:sz w:val="20"/>
                <w:szCs w:val="20"/>
                <w:color w:val="auto"/>
              </w:rPr>
            </w:pPr>
            <w:r>
              <w:rPr>
                <w:rFonts w:ascii="Arial" w:cs="Arial" w:eastAsia="Arial" w:hAnsi="Arial"/>
                <w:sz w:val="14"/>
                <w:szCs w:val="14"/>
                <w:b w:val="1"/>
                <w:bCs w:val="1"/>
                <w:color w:val="auto"/>
                <w:w w:val="95"/>
              </w:rPr>
              <w:t>1 Year</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9"/>
              </w:rPr>
              <w:t>Years</w:t>
            </w:r>
          </w:p>
        </w:tc>
        <w:tc>
          <w:tcPr>
            <w:tcW w:w="240" w:type="dxa"/>
            <w:vAlign w:val="bottom"/>
          </w:tcPr>
          <w:p>
            <w:pPr>
              <w:spacing w:after="0"/>
              <w:rPr>
                <w:sz w:val="16"/>
                <w:szCs w:val="16"/>
                <w:color w:val="auto"/>
              </w:rPr>
            </w:pPr>
          </w:p>
        </w:tc>
        <w:tc>
          <w:tcPr>
            <w:tcW w:w="980" w:type="dxa"/>
            <w:vAlign w:val="bottom"/>
            <w:gridSpan w:val="2"/>
          </w:tcPr>
          <w:p>
            <w:pPr>
              <w:ind w:left="140"/>
              <w:spacing w:after="0"/>
              <w:rPr>
                <w:sz w:val="20"/>
                <w:szCs w:val="20"/>
                <w:color w:val="auto"/>
              </w:rPr>
            </w:pPr>
            <w:r>
              <w:rPr>
                <w:rFonts w:ascii="Arial" w:cs="Arial" w:eastAsia="Arial" w:hAnsi="Arial"/>
                <w:sz w:val="14"/>
                <w:szCs w:val="14"/>
                <w:b w:val="1"/>
                <w:bCs w:val="1"/>
                <w:color w:val="auto"/>
              </w:rPr>
              <w:t>Years</w:t>
            </w:r>
          </w:p>
        </w:tc>
        <w:tc>
          <w:tcPr>
            <w:tcW w:w="200" w:type="dxa"/>
            <w:vAlign w:val="bottom"/>
          </w:tcPr>
          <w:p>
            <w:pPr>
              <w:spacing w:after="0"/>
              <w:rPr>
                <w:sz w:val="16"/>
                <w:szCs w:val="16"/>
                <w:color w:val="auto"/>
              </w:rPr>
            </w:pPr>
          </w:p>
        </w:tc>
        <w:tc>
          <w:tcPr>
            <w:tcW w:w="920" w:type="dxa"/>
            <w:vAlign w:val="bottom"/>
          </w:tcPr>
          <w:p>
            <w:pPr>
              <w:jc w:val="center"/>
              <w:ind w:right="114"/>
              <w:spacing w:after="0"/>
              <w:rPr>
                <w:sz w:val="20"/>
                <w:szCs w:val="20"/>
                <w:color w:val="auto"/>
              </w:rPr>
            </w:pPr>
            <w:r>
              <w:rPr>
                <w:rFonts w:ascii="Arial" w:cs="Arial" w:eastAsia="Arial" w:hAnsi="Arial"/>
                <w:sz w:val="14"/>
                <w:szCs w:val="14"/>
                <w:b w:val="1"/>
                <w:bCs w:val="1"/>
                <w:color w:val="auto"/>
                <w:w w:val="88"/>
              </w:rPr>
              <w:t>5 Years</w:t>
            </w:r>
          </w:p>
        </w:tc>
        <w:tc>
          <w:tcPr>
            <w:tcW w:w="0" w:type="dxa"/>
            <w:vAlign w:val="bottom"/>
          </w:tcPr>
          <w:p>
            <w:pPr>
              <w:spacing w:after="0"/>
              <w:rPr>
                <w:sz w:val="1"/>
                <w:szCs w:val="1"/>
                <w:color w:val="auto"/>
              </w:rPr>
            </w:pPr>
          </w:p>
        </w:tc>
      </w:tr>
      <w:tr>
        <w:trPr>
          <w:trHeight w:val="250"/>
        </w:trPr>
        <w:tc>
          <w:tcPr>
            <w:tcW w:w="51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Contractual Obligations:</w:t>
            </w: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9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7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8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8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92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5180" w:type="dxa"/>
            <w:vAlign w:val="bottom"/>
          </w:tcPr>
          <w:p>
            <w:pPr>
              <w:ind w:left="40"/>
              <w:spacing w:after="0"/>
              <w:rPr>
                <w:sz w:val="20"/>
                <w:szCs w:val="20"/>
                <w:color w:val="auto"/>
              </w:rPr>
            </w:pPr>
            <w:r>
              <w:rPr>
                <w:rFonts w:ascii="Arial" w:cs="Arial" w:eastAsia="Arial" w:hAnsi="Arial"/>
                <w:sz w:val="18"/>
                <w:szCs w:val="18"/>
                <w:color w:val="auto"/>
                <w:w w:val="93"/>
              </w:rPr>
              <w:t>Borrowings under credit agreements and facilities, including letters of</w:t>
            </w: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5180" w:type="dxa"/>
            <w:vAlign w:val="bottom"/>
          </w:tcPr>
          <w:p>
            <w:pPr>
              <w:ind w:left="40"/>
              <w:spacing w:after="0" w:line="257" w:lineRule="exact"/>
              <w:rPr>
                <w:sz w:val="20"/>
                <w:szCs w:val="20"/>
                <w:color w:val="auto"/>
              </w:rPr>
            </w:pPr>
            <w:r>
              <w:rPr>
                <w:rFonts w:ascii="Arial" w:cs="Arial" w:eastAsia="Arial" w:hAnsi="Arial"/>
                <w:sz w:val="18"/>
                <w:szCs w:val="18"/>
                <w:color w:val="auto"/>
              </w:rPr>
              <w:t>credit</w:t>
            </w:r>
            <w:r>
              <w:rPr>
                <w:rFonts w:ascii="Arial" w:cs="Arial" w:eastAsia="Arial" w:hAnsi="Arial"/>
                <w:sz w:val="25"/>
                <w:szCs w:val="25"/>
                <w:color w:val="auto"/>
                <w:vertAlign w:val="superscript"/>
              </w:rPr>
              <w:t>(1)</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677,528</w:t>
            </w:r>
          </w:p>
        </w:tc>
        <w:tc>
          <w:tcPr>
            <w:tcW w:w="120" w:type="dxa"/>
            <w:vAlign w:val="bottom"/>
          </w:tcPr>
          <w:p>
            <w:pPr>
              <w:spacing w:after="0"/>
              <w:rPr>
                <w:sz w:val="22"/>
                <w:szCs w:val="22"/>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46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ind w:right="33"/>
              <w:spacing w:after="0"/>
              <w:rPr>
                <w:sz w:val="20"/>
                <w:szCs w:val="20"/>
                <w:color w:val="auto"/>
              </w:rPr>
            </w:pPr>
            <w:r>
              <w:rPr>
                <w:rFonts w:ascii="Arial" w:cs="Arial" w:eastAsia="Arial" w:hAnsi="Arial"/>
                <w:sz w:val="18"/>
                <w:szCs w:val="18"/>
                <w:color w:val="auto"/>
              </w:rPr>
              <w:t>677,528</w:t>
            </w:r>
          </w:p>
        </w:tc>
        <w:tc>
          <w:tcPr>
            <w:tcW w:w="100" w:type="dxa"/>
            <w:vAlign w:val="bottom"/>
          </w:tcPr>
          <w:p>
            <w:pPr>
              <w:spacing w:after="0"/>
              <w:rPr>
                <w:sz w:val="22"/>
                <w:szCs w:val="22"/>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518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Senior unsecured notes</w:t>
            </w:r>
            <w:r>
              <w:rPr>
                <w:rFonts w:ascii="Arial" w:cs="Arial" w:eastAsia="Arial" w:hAnsi="Arial"/>
                <w:sz w:val="25"/>
                <w:szCs w:val="25"/>
                <w:color w:val="auto"/>
                <w:vertAlign w:val="superscript"/>
              </w:rPr>
              <w:t>(2)</w:t>
            </w:r>
          </w:p>
        </w:tc>
        <w:tc>
          <w:tcPr>
            <w:tcW w:w="22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99"/>
              </w:rPr>
              <w:t>1,050,000</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3"/>
                <w:szCs w:val="23"/>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w w:val="99"/>
              </w:rPr>
              <w:t>1,050,000</w:t>
            </w:r>
          </w:p>
        </w:tc>
        <w:tc>
          <w:tcPr>
            <w:tcW w:w="0" w:type="dxa"/>
            <w:vAlign w:val="bottom"/>
          </w:tcPr>
          <w:p>
            <w:pPr>
              <w:spacing w:after="0"/>
              <w:rPr>
                <w:sz w:val="1"/>
                <w:szCs w:val="1"/>
                <w:color w:val="auto"/>
              </w:rPr>
            </w:pPr>
          </w:p>
        </w:tc>
      </w:tr>
      <w:tr>
        <w:trPr>
          <w:trHeight w:val="243"/>
        </w:trPr>
        <w:tc>
          <w:tcPr>
            <w:tcW w:w="5180" w:type="dxa"/>
            <w:vAlign w:val="bottom"/>
          </w:tcPr>
          <w:p>
            <w:pPr>
              <w:ind w:left="40"/>
              <w:spacing w:after="0"/>
              <w:rPr>
                <w:sz w:val="20"/>
                <w:szCs w:val="20"/>
                <w:color w:val="auto"/>
              </w:rPr>
            </w:pPr>
            <w:r>
              <w:rPr>
                <w:rFonts w:ascii="Arial" w:cs="Arial" w:eastAsia="Arial" w:hAnsi="Arial"/>
                <w:sz w:val="18"/>
                <w:szCs w:val="18"/>
                <w:color w:val="auto"/>
              </w:rPr>
              <w:t>Office leases</w:t>
            </w:r>
          </w:p>
        </w:tc>
        <w:tc>
          <w:tcPr>
            <w:tcW w:w="220" w:type="dxa"/>
            <w:vAlign w:val="bottom"/>
          </w:tcPr>
          <w:p>
            <w:pPr>
              <w:spacing w:after="0"/>
              <w:rPr>
                <w:sz w:val="21"/>
                <w:szCs w:val="21"/>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25,382</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3,997</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ind w:right="13"/>
              <w:spacing w:after="0"/>
              <w:rPr>
                <w:sz w:val="20"/>
                <w:szCs w:val="20"/>
                <w:color w:val="auto"/>
              </w:rPr>
            </w:pPr>
            <w:r>
              <w:rPr>
                <w:rFonts w:ascii="Arial" w:cs="Arial" w:eastAsia="Arial" w:hAnsi="Arial"/>
                <w:sz w:val="18"/>
                <w:szCs w:val="18"/>
                <w:color w:val="auto"/>
              </w:rPr>
              <w:t>8,080</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ind w:right="33"/>
              <w:spacing w:after="0"/>
              <w:rPr>
                <w:sz w:val="20"/>
                <w:szCs w:val="20"/>
                <w:color w:val="auto"/>
              </w:rPr>
            </w:pPr>
            <w:r>
              <w:rPr>
                <w:rFonts w:ascii="Arial" w:cs="Arial" w:eastAsia="Arial" w:hAnsi="Arial"/>
                <w:sz w:val="18"/>
                <w:szCs w:val="18"/>
                <w:color w:val="auto"/>
              </w:rPr>
              <w:t>8,564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ind w:right="14"/>
              <w:spacing w:after="0"/>
              <w:rPr>
                <w:sz w:val="20"/>
                <w:szCs w:val="20"/>
                <w:color w:val="auto"/>
              </w:rPr>
            </w:pPr>
            <w:r>
              <w:rPr>
                <w:rFonts w:ascii="Arial" w:cs="Arial" w:eastAsia="Arial" w:hAnsi="Arial"/>
                <w:sz w:val="18"/>
                <w:szCs w:val="18"/>
                <w:color w:val="auto"/>
              </w:rPr>
              <w:t>4,741</w:t>
            </w:r>
          </w:p>
        </w:tc>
        <w:tc>
          <w:tcPr>
            <w:tcW w:w="0" w:type="dxa"/>
            <w:vAlign w:val="bottom"/>
          </w:tcPr>
          <w:p>
            <w:pPr>
              <w:spacing w:after="0"/>
              <w:rPr>
                <w:sz w:val="1"/>
                <w:szCs w:val="1"/>
                <w:color w:val="auto"/>
              </w:rPr>
            </w:pPr>
          </w:p>
        </w:tc>
      </w:tr>
      <w:tr>
        <w:trPr>
          <w:trHeight w:val="27"/>
        </w:trPr>
        <w:tc>
          <w:tcPr>
            <w:tcW w:w="5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8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Non-operated drilling and other capital commitments</w:t>
            </w:r>
            <w:r>
              <w:rPr>
                <w:rFonts w:ascii="Arial" w:cs="Arial" w:eastAsia="Arial" w:hAnsi="Arial"/>
                <w:sz w:val="25"/>
                <w:szCs w:val="25"/>
                <w:color w:val="auto"/>
                <w:vertAlign w:val="superscript"/>
              </w:rPr>
              <w:t>(3)</w:t>
            </w:r>
          </w:p>
        </w:tc>
        <w:tc>
          <w:tcPr>
            <w:tcW w:w="22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64,449</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30,746</w:t>
            </w: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20,000</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13,703</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5180" w:type="dxa"/>
            <w:vAlign w:val="bottom"/>
          </w:tcPr>
          <w:p>
            <w:pPr>
              <w:ind w:left="40"/>
              <w:spacing w:after="0" w:line="270" w:lineRule="exact"/>
              <w:rPr>
                <w:sz w:val="20"/>
                <w:szCs w:val="20"/>
                <w:color w:val="auto"/>
              </w:rPr>
            </w:pPr>
            <w:r>
              <w:rPr>
                <w:rFonts w:ascii="Arial" w:cs="Arial" w:eastAsia="Arial" w:hAnsi="Arial"/>
                <w:sz w:val="18"/>
                <w:szCs w:val="18"/>
                <w:color w:val="auto"/>
              </w:rPr>
              <w:t>Drilling rig contracts</w:t>
            </w:r>
            <w:r>
              <w:rPr>
                <w:rFonts w:ascii="Arial" w:cs="Arial" w:eastAsia="Arial" w:hAnsi="Arial"/>
                <w:sz w:val="25"/>
                <w:szCs w:val="25"/>
                <w:color w:val="auto"/>
                <w:vertAlign w:val="superscript"/>
              </w:rPr>
              <w:t>(4)</w:t>
            </w:r>
          </w:p>
        </w:tc>
        <w:tc>
          <w:tcPr>
            <w:tcW w:w="220" w:type="dxa"/>
            <w:vAlign w:val="bottom"/>
          </w:tcPr>
          <w:p>
            <w:pPr>
              <w:spacing w:after="0"/>
              <w:rPr>
                <w:sz w:val="23"/>
                <w:szCs w:val="23"/>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37,444</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28,845</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jc w:val="right"/>
              <w:ind w:right="13"/>
              <w:spacing w:after="0"/>
              <w:rPr>
                <w:sz w:val="20"/>
                <w:szCs w:val="20"/>
                <w:color w:val="auto"/>
              </w:rPr>
            </w:pPr>
            <w:r>
              <w:rPr>
                <w:rFonts w:ascii="Arial" w:cs="Arial" w:eastAsia="Arial" w:hAnsi="Arial"/>
                <w:sz w:val="18"/>
                <w:szCs w:val="18"/>
                <w:color w:val="auto"/>
              </w:rPr>
              <w:t>8,599</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92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518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Asset retirement obligations</w:t>
            </w:r>
            <w:r>
              <w:rPr>
                <w:rFonts w:ascii="Arial" w:cs="Arial" w:eastAsia="Arial" w:hAnsi="Arial"/>
                <w:sz w:val="25"/>
                <w:szCs w:val="25"/>
                <w:color w:val="auto"/>
                <w:vertAlign w:val="superscript"/>
              </w:rPr>
              <w:t>(5)</w:t>
            </w:r>
          </w:p>
        </w:tc>
        <w:tc>
          <w:tcPr>
            <w:tcW w:w="22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37,633</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515</w:t>
            </w: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3,379</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1,995</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31,744</w:t>
            </w:r>
          </w:p>
        </w:tc>
        <w:tc>
          <w:tcPr>
            <w:tcW w:w="0" w:type="dxa"/>
            <w:vAlign w:val="bottom"/>
          </w:tcPr>
          <w:p>
            <w:pPr>
              <w:spacing w:after="0"/>
              <w:rPr>
                <w:sz w:val="1"/>
                <w:szCs w:val="1"/>
                <w:color w:val="auto"/>
              </w:rPr>
            </w:pPr>
          </w:p>
        </w:tc>
      </w:tr>
      <w:tr>
        <w:trPr>
          <w:trHeight w:val="229"/>
        </w:trPr>
        <w:tc>
          <w:tcPr>
            <w:tcW w:w="5180" w:type="dxa"/>
            <w:vAlign w:val="bottom"/>
          </w:tcPr>
          <w:p>
            <w:pPr>
              <w:ind w:left="40"/>
              <w:spacing w:after="0"/>
              <w:rPr>
                <w:sz w:val="20"/>
                <w:szCs w:val="20"/>
                <w:color w:val="auto"/>
              </w:rPr>
            </w:pPr>
            <w:r>
              <w:rPr>
                <w:rFonts w:ascii="Arial" w:cs="Arial" w:eastAsia="Arial" w:hAnsi="Arial"/>
                <w:sz w:val="18"/>
                <w:szCs w:val="18"/>
                <w:color w:val="auto"/>
                <w:w w:val="92"/>
              </w:rPr>
              <w:t>Natural gas transportation, gathering and processing agreements with</w:t>
            </w: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5180" w:type="dxa"/>
            <w:vAlign w:val="bottom"/>
          </w:tcPr>
          <w:p>
            <w:pPr>
              <w:ind w:left="40"/>
              <w:spacing w:after="0" w:line="257" w:lineRule="exact"/>
              <w:rPr>
                <w:sz w:val="20"/>
                <w:szCs w:val="20"/>
                <w:color w:val="auto"/>
              </w:rPr>
            </w:pPr>
            <w:r>
              <w:rPr>
                <w:rFonts w:ascii="Arial" w:cs="Arial" w:eastAsia="Arial" w:hAnsi="Arial"/>
                <w:sz w:val="18"/>
                <w:szCs w:val="18"/>
                <w:color w:val="auto"/>
              </w:rPr>
              <w:t>non-affiliates</w:t>
            </w:r>
            <w:r>
              <w:rPr>
                <w:rFonts w:ascii="Arial" w:cs="Arial" w:eastAsia="Arial" w:hAnsi="Arial"/>
                <w:sz w:val="25"/>
                <w:szCs w:val="25"/>
                <w:color w:val="auto"/>
                <w:vertAlign w:val="superscript"/>
              </w:rPr>
              <w:t>(6)</w:t>
            </w:r>
          </w:p>
        </w:tc>
        <w:tc>
          <w:tcPr>
            <w:tcW w:w="220" w:type="dxa"/>
            <w:vAlign w:val="bottom"/>
          </w:tcPr>
          <w:p>
            <w:pPr>
              <w:spacing w:after="0"/>
              <w:rPr>
                <w:sz w:val="22"/>
                <w:szCs w:val="22"/>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634,239</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54,977</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jc w:val="right"/>
              <w:ind w:right="13"/>
              <w:spacing w:after="0"/>
              <w:rPr>
                <w:sz w:val="20"/>
                <w:szCs w:val="20"/>
                <w:color w:val="auto"/>
              </w:rPr>
            </w:pPr>
            <w:r>
              <w:rPr>
                <w:rFonts w:ascii="Arial" w:cs="Arial" w:eastAsia="Arial" w:hAnsi="Arial"/>
                <w:sz w:val="18"/>
                <w:szCs w:val="18"/>
                <w:color w:val="auto"/>
              </w:rPr>
              <w:t>133,912</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80" w:type="dxa"/>
            <w:vAlign w:val="bottom"/>
          </w:tcPr>
          <w:p>
            <w:pPr>
              <w:jc w:val="right"/>
              <w:ind w:right="33"/>
              <w:spacing w:after="0"/>
              <w:rPr>
                <w:sz w:val="20"/>
                <w:szCs w:val="20"/>
                <w:color w:val="auto"/>
              </w:rPr>
            </w:pPr>
            <w:r>
              <w:rPr>
                <w:rFonts w:ascii="Arial" w:cs="Arial" w:eastAsia="Arial" w:hAnsi="Arial"/>
                <w:sz w:val="18"/>
                <w:szCs w:val="18"/>
                <w:color w:val="auto"/>
              </w:rPr>
              <w:t>134,070</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20" w:type="dxa"/>
            <w:vAlign w:val="bottom"/>
          </w:tcPr>
          <w:p>
            <w:pPr>
              <w:jc w:val="right"/>
              <w:ind w:right="14"/>
              <w:spacing w:after="0"/>
              <w:rPr>
                <w:sz w:val="20"/>
                <w:szCs w:val="20"/>
                <w:color w:val="auto"/>
              </w:rPr>
            </w:pPr>
            <w:r>
              <w:rPr>
                <w:rFonts w:ascii="Arial" w:cs="Arial" w:eastAsia="Arial" w:hAnsi="Arial"/>
                <w:sz w:val="18"/>
                <w:szCs w:val="18"/>
                <w:color w:val="auto"/>
              </w:rPr>
              <w:t>311,280</w:t>
            </w:r>
          </w:p>
        </w:tc>
        <w:tc>
          <w:tcPr>
            <w:tcW w:w="0" w:type="dxa"/>
            <w:vAlign w:val="bottom"/>
          </w:tcPr>
          <w:p>
            <w:pPr>
              <w:spacing w:after="0"/>
              <w:rPr>
                <w:sz w:val="1"/>
                <w:szCs w:val="1"/>
                <w:color w:val="auto"/>
              </w:rPr>
            </w:pPr>
          </w:p>
        </w:tc>
      </w:tr>
      <w:tr>
        <w:trPr>
          <w:trHeight w:val="270"/>
        </w:trPr>
        <w:tc>
          <w:tcPr>
            <w:tcW w:w="518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w w:val="96"/>
              </w:rPr>
              <w:t>Gathering, processing and disposal agreements with San Mateo</w:t>
            </w:r>
            <w:r>
              <w:rPr>
                <w:rFonts w:ascii="Arial" w:cs="Arial" w:eastAsia="Arial" w:hAnsi="Arial"/>
                <w:sz w:val="25"/>
                <w:szCs w:val="25"/>
                <w:color w:val="auto"/>
                <w:w w:val="96"/>
                <w:vertAlign w:val="superscript"/>
              </w:rPr>
              <w:t>(7)</w:t>
            </w:r>
          </w:p>
        </w:tc>
        <w:tc>
          <w:tcPr>
            <w:tcW w:w="22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511,796</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60,418</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163,614</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287,764</w:t>
            </w:r>
          </w:p>
        </w:tc>
        <w:tc>
          <w:tcPr>
            <w:tcW w:w="0" w:type="dxa"/>
            <w:vAlign w:val="bottom"/>
          </w:tcPr>
          <w:p>
            <w:pPr>
              <w:spacing w:after="0"/>
              <w:rPr>
                <w:sz w:val="1"/>
                <w:szCs w:val="1"/>
                <w:color w:val="auto"/>
              </w:rPr>
            </w:pPr>
          </w:p>
        </w:tc>
      </w:tr>
      <w:tr>
        <w:trPr>
          <w:trHeight w:val="270"/>
        </w:trPr>
        <w:tc>
          <w:tcPr>
            <w:tcW w:w="5180" w:type="dxa"/>
            <w:vAlign w:val="bottom"/>
            <w:tcBorders>
              <w:bottom w:val="single" w:sz="8" w:color="CCEEFF"/>
            </w:tcBorders>
          </w:tcPr>
          <w:p>
            <w:pPr>
              <w:ind w:left="40"/>
              <w:spacing w:after="0" w:line="270" w:lineRule="exact"/>
              <w:rPr>
                <w:sz w:val="20"/>
                <w:szCs w:val="20"/>
                <w:color w:val="auto"/>
              </w:rPr>
            </w:pPr>
            <w:r>
              <w:rPr>
                <w:rFonts w:ascii="Arial" w:cs="Arial" w:eastAsia="Arial" w:hAnsi="Arial"/>
                <w:sz w:val="18"/>
                <w:szCs w:val="18"/>
                <w:color w:val="auto"/>
                <w:w w:val="99"/>
              </w:rPr>
              <w:t>Natural gas engineering, construction and installation contract</w:t>
            </w:r>
            <w:r>
              <w:rPr>
                <w:rFonts w:ascii="Arial" w:cs="Arial" w:eastAsia="Arial" w:hAnsi="Arial"/>
                <w:sz w:val="25"/>
                <w:szCs w:val="25"/>
                <w:color w:val="auto"/>
                <w:w w:val="99"/>
                <w:vertAlign w:val="superscript"/>
              </w:rPr>
              <w:t>(8)</w:t>
            </w:r>
          </w:p>
        </w:tc>
        <w:tc>
          <w:tcPr>
            <w:tcW w:w="22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19,416</w:t>
            </w:r>
          </w:p>
        </w:tc>
        <w:tc>
          <w:tcPr>
            <w:tcW w:w="120" w:type="dxa"/>
            <w:vAlign w:val="bottom"/>
            <w:tcBorders>
              <w:bottom w:val="single" w:sz="8" w:color="CCEEFF"/>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19,416</w:t>
            </w:r>
          </w:p>
        </w:tc>
        <w:tc>
          <w:tcPr>
            <w:tcW w:w="100" w:type="dxa"/>
            <w:vAlign w:val="bottom"/>
            <w:tcBorders>
              <w:bottom w:val="single" w:sz="8" w:color="auto"/>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8"/>
        </w:trPr>
        <w:tc>
          <w:tcPr>
            <w:tcW w:w="51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contractual cash obligations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w w:val="99"/>
              </w:rPr>
              <w:t>3,057,887</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138,496</w:t>
            </w:r>
          </w:p>
        </w:tc>
        <w:tc>
          <w:tcPr>
            <w:tcW w:w="46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234,388</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999,474</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w w:val="99"/>
              </w:rPr>
              <w:t>1,685,529</w:t>
            </w:r>
          </w:p>
        </w:tc>
        <w:tc>
          <w:tcPr>
            <w:tcW w:w="0" w:type="dxa"/>
            <w:vAlign w:val="bottom"/>
          </w:tcPr>
          <w:p>
            <w:pPr>
              <w:spacing w:after="0"/>
              <w:rPr>
                <w:sz w:val="1"/>
                <w:szCs w:val="1"/>
                <w:color w:val="auto"/>
              </w:rPr>
            </w:pPr>
          </w:p>
        </w:tc>
      </w:tr>
      <w:tr>
        <w:trPr>
          <w:trHeight w:val="20"/>
        </w:trPr>
        <w:tc>
          <w:tcPr>
            <w:tcW w:w="518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__________________</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18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89" w:lineRule="exact"/>
        <w:rPr>
          <w:sz w:val="20"/>
          <w:szCs w:val="20"/>
          <w:color w:val="auto"/>
        </w:rPr>
      </w:pPr>
    </w:p>
    <w:p>
      <w:pPr>
        <w:ind w:left="340" w:right="100" w:hanging="332"/>
        <w:spacing w:after="0" w:line="273" w:lineRule="auto"/>
        <w:tabs>
          <w:tab w:leader="none" w:pos="340" w:val="left"/>
        </w:tabs>
        <w:numPr>
          <w:ilvl w:val="0"/>
          <w:numId w:val="18"/>
        </w:numPr>
        <w:rPr>
          <w:rFonts w:ascii="Arial" w:cs="Arial" w:eastAsia="Arial" w:hAnsi="Arial"/>
          <w:sz w:val="13"/>
          <w:szCs w:val="13"/>
          <w:color w:val="auto"/>
        </w:rPr>
      </w:pPr>
      <w:r>
        <w:rPr>
          <w:rFonts w:ascii="Arial" w:cs="Arial" w:eastAsia="Arial" w:hAnsi="Arial"/>
          <w:sz w:val="13"/>
          <w:szCs w:val="13"/>
          <w:color w:val="auto"/>
        </w:rPr>
        <w:t>The amounts included in the table above represent principal maturities only. At March 31, 2020, we had $315.0 million in borrowings outstanding under the Credit Agreement and approximately $46.0 million in outstanding letters of credit issued pursuant to the Credit Agreement. The Credit Agreement matures in October 2023. At March 31, 2020, San Mateo I had $307.5 million of borrowings outstanding under the San Mateo Credit Facility and approximately $9.0 million in outstanding letters of credit issued pursuant to the San Mateo Credit Facility. The San Mateo Credit Facility matures in December 2023. Assuming the amounts outstanding and interest rates of 2.49% and 2.74% (for the Credit Agreement and the San Mateo Credit Facility), respectively, at March 31, 2020, the interest expense is expected to be approximately $8.0 million and $8.5 million each year until maturity.</w:t>
      </w:r>
    </w:p>
    <w:p>
      <w:pPr>
        <w:spacing w:after="0" w:line="67" w:lineRule="exact"/>
        <w:rPr>
          <w:rFonts w:ascii="Arial" w:cs="Arial" w:eastAsia="Arial" w:hAnsi="Arial"/>
          <w:sz w:val="13"/>
          <w:szCs w:val="13"/>
          <w:color w:val="auto"/>
        </w:rPr>
      </w:pPr>
    </w:p>
    <w:p>
      <w:pPr>
        <w:ind w:left="340" w:right="340" w:hanging="332"/>
        <w:spacing w:after="0" w:line="273" w:lineRule="auto"/>
        <w:tabs>
          <w:tab w:leader="none" w:pos="340" w:val="left"/>
        </w:tabs>
        <w:numPr>
          <w:ilvl w:val="0"/>
          <w:numId w:val="18"/>
        </w:numPr>
        <w:rPr>
          <w:rFonts w:ascii="Arial" w:cs="Arial" w:eastAsia="Arial" w:hAnsi="Arial"/>
          <w:sz w:val="14"/>
          <w:szCs w:val="14"/>
          <w:color w:val="auto"/>
        </w:rPr>
      </w:pPr>
      <w:r>
        <w:rPr>
          <w:rFonts w:ascii="Arial" w:cs="Arial" w:eastAsia="Arial" w:hAnsi="Arial"/>
          <w:sz w:val="14"/>
          <w:szCs w:val="14"/>
          <w:color w:val="auto"/>
        </w:rPr>
        <w:t>The amounts included in the table above represent principal maturities only. Interest expense on the $1.05 billion of Notes that were outstanding as of March 31, 2020 is expected to be approximately $61.7 million each year until maturity.</w:t>
      </w:r>
    </w:p>
    <w:p>
      <w:pPr>
        <w:spacing w:after="0" w:line="65" w:lineRule="exact"/>
        <w:rPr>
          <w:rFonts w:ascii="Arial" w:cs="Arial" w:eastAsia="Arial" w:hAnsi="Arial"/>
          <w:sz w:val="14"/>
          <w:szCs w:val="14"/>
          <w:color w:val="auto"/>
        </w:rPr>
      </w:pPr>
    </w:p>
    <w:p>
      <w:pPr>
        <w:ind w:left="340" w:hanging="332"/>
        <w:spacing w:after="0"/>
        <w:tabs>
          <w:tab w:leader="none" w:pos="340" w:val="left"/>
        </w:tabs>
        <w:numPr>
          <w:ilvl w:val="0"/>
          <w:numId w:val="18"/>
        </w:numPr>
        <w:rPr>
          <w:rFonts w:ascii="Arial" w:cs="Arial" w:eastAsia="Arial" w:hAnsi="Arial"/>
          <w:sz w:val="14"/>
          <w:szCs w:val="14"/>
          <w:color w:val="auto"/>
        </w:rPr>
      </w:pPr>
      <w:r>
        <w:rPr>
          <w:rFonts w:ascii="Arial" w:cs="Arial" w:eastAsia="Arial" w:hAnsi="Arial"/>
          <w:sz w:val="14"/>
          <w:szCs w:val="14"/>
          <w:color w:val="auto"/>
        </w:rPr>
        <w:t>At March 31, 2020, we had outstanding commitments to drill and complete and to participate in the drilling and completion of various operated and non-operated wells.</w:t>
      </w:r>
    </w:p>
    <w:p>
      <w:pPr>
        <w:spacing w:after="0" w:line="109" w:lineRule="exact"/>
        <w:rPr>
          <w:rFonts w:ascii="Arial" w:cs="Arial" w:eastAsia="Arial" w:hAnsi="Arial"/>
          <w:sz w:val="14"/>
          <w:szCs w:val="14"/>
          <w:color w:val="auto"/>
        </w:rPr>
      </w:pPr>
    </w:p>
    <w:p>
      <w:pPr>
        <w:ind w:left="340" w:hanging="332"/>
        <w:spacing w:after="0"/>
        <w:tabs>
          <w:tab w:leader="none" w:pos="340" w:val="left"/>
        </w:tabs>
        <w:numPr>
          <w:ilvl w:val="0"/>
          <w:numId w:val="18"/>
        </w:numPr>
        <w:rPr>
          <w:rFonts w:ascii="Arial" w:cs="Arial" w:eastAsia="Arial" w:hAnsi="Arial"/>
          <w:sz w:val="14"/>
          <w:szCs w:val="14"/>
          <w:color w:val="auto"/>
        </w:rPr>
      </w:pPr>
      <w:r>
        <w:rPr>
          <w:rFonts w:ascii="Arial" w:cs="Arial" w:eastAsia="Arial" w:hAnsi="Arial"/>
          <w:sz w:val="14"/>
          <w:szCs w:val="14"/>
          <w:color w:val="auto"/>
        </w:rPr>
        <w:t>We do not own or operate our own drilling rigs but instead enter into contracts with third parties for such drilling rigs.</w:t>
      </w:r>
    </w:p>
    <w:p>
      <w:pPr>
        <w:spacing w:after="0" w:line="109" w:lineRule="exact"/>
        <w:rPr>
          <w:rFonts w:ascii="Arial" w:cs="Arial" w:eastAsia="Arial" w:hAnsi="Arial"/>
          <w:sz w:val="14"/>
          <w:szCs w:val="14"/>
          <w:color w:val="auto"/>
        </w:rPr>
      </w:pPr>
    </w:p>
    <w:p>
      <w:pPr>
        <w:ind w:left="340" w:hanging="332"/>
        <w:spacing w:after="0"/>
        <w:tabs>
          <w:tab w:leader="none" w:pos="340" w:val="left"/>
        </w:tabs>
        <w:numPr>
          <w:ilvl w:val="0"/>
          <w:numId w:val="18"/>
        </w:numPr>
        <w:rPr>
          <w:rFonts w:ascii="Arial" w:cs="Arial" w:eastAsia="Arial" w:hAnsi="Arial"/>
          <w:sz w:val="14"/>
          <w:szCs w:val="14"/>
          <w:color w:val="auto"/>
        </w:rPr>
      </w:pPr>
      <w:r>
        <w:rPr>
          <w:rFonts w:ascii="Arial" w:cs="Arial" w:eastAsia="Arial" w:hAnsi="Arial"/>
          <w:sz w:val="14"/>
          <w:szCs w:val="14"/>
          <w:color w:val="auto"/>
        </w:rPr>
        <w:t>The amounts included in the table above represent discounted cash flow estimates for future asset retirement obligations at March 31, 2020.</w:t>
      </w:r>
    </w:p>
    <w:p>
      <w:pPr>
        <w:spacing w:after="0" w:line="109" w:lineRule="exact"/>
        <w:rPr>
          <w:rFonts w:ascii="Arial" w:cs="Arial" w:eastAsia="Arial" w:hAnsi="Arial"/>
          <w:sz w:val="14"/>
          <w:szCs w:val="14"/>
          <w:color w:val="auto"/>
        </w:rPr>
      </w:pPr>
    </w:p>
    <w:p>
      <w:pPr>
        <w:ind w:left="340" w:right="140" w:hanging="332"/>
        <w:spacing w:after="0" w:line="252" w:lineRule="auto"/>
        <w:tabs>
          <w:tab w:leader="none" w:pos="340" w:val="left"/>
        </w:tabs>
        <w:numPr>
          <w:ilvl w:val="0"/>
          <w:numId w:val="18"/>
        </w:numPr>
        <w:rPr>
          <w:rFonts w:ascii="Arial" w:cs="Arial" w:eastAsia="Arial" w:hAnsi="Arial"/>
          <w:sz w:val="14"/>
          <w:szCs w:val="14"/>
          <w:color w:val="auto"/>
        </w:rPr>
      </w:pPr>
      <w:r>
        <w:rPr>
          <w:rFonts w:ascii="Arial" w:cs="Arial" w:eastAsia="Arial" w:hAnsi="Arial"/>
          <w:sz w:val="14"/>
          <w:szCs w:val="14"/>
          <w:color w:val="auto"/>
        </w:rPr>
        <w:t>From time to time, we enter into agreements with third parties whereby we commit to deliver anticipated natural gas and oil production and salt water from certain portions of our acreage for gathering, transportation, processing, fractionation, sales and, in the case of salt water, disposal. Certain of these agreements contain minimum volume commitments. If we do not meet the minimum volume commitments under these agreements, we would be required to pay certain deficiency fees. See Note 9 to the interim unaudited condensed consolidated financial statements in this Quarterly Report for more information about these contractual commitments.</w:t>
      </w:r>
    </w:p>
    <w:p>
      <w:pPr>
        <w:spacing w:after="0" w:line="79" w:lineRule="exact"/>
        <w:rPr>
          <w:rFonts w:ascii="Arial" w:cs="Arial" w:eastAsia="Arial" w:hAnsi="Arial"/>
          <w:sz w:val="14"/>
          <w:szCs w:val="14"/>
          <w:color w:val="auto"/>
        </w:rPr>
      </w:pPr>
    </w:p>
    <w:p>
      <w:pPr>
        <w:ind w:left="340" w:right="20" w:hanging="332"/>
        <w:spacing w:after="0" w:line="247" w:lineRule="auto"/>
        <w:tabs>
          <w:tab w:leader="none" w:pos="340" w:val="left"/>
        </w:tabs>
        <w:numPr>
          <w:ilvl w:val="0"/>
          <w:numId w:val="18"/>
        </w:numPr>
        <w:rPr>
          <w:rFonts w:ascii="Arial" w:cs="Arial" w:eastAsia="Arial" w:hAnsi="Arial"/>
          <w:sz w:val="14"/>
          <w:szCs w:val="14"/>
          <w:color w:val="auto"/>
        </w:rPr>
      </w:pPr>
      <w:r>
        <w:rPr>
          <w:rFonts w:ascii="Arial" w:cs="Arial" w:eastAsia="Arial" w:hAnsi="Arial"/>
          <w:sz w:val="14"/>
          <w:szCs w:val="14"/>
          <w:color w:val="auto"/>
        </w:rPr>
        <w:t>In February 2017, in connection with the formation of San Mateo I, we dedicated our current and certain future leasehold interests in the Rustler Breaks and Wolf asset areas pursuant to 15-year, fixed-fee natural gas, oil and salt water gathering agreements and salt water disposal agreements. In addition, effective February 1, 2017, we dedicated our current and certain future leasehold interests in the Rustler Breaks asset area pursuant to a 15-year, fixed-fee natural gas processing agreement. In February 2019, in connection with the formation of San Mateo II, we dedicated our current and certain future leasehold interests in the Greater Stebbins Area and the Stateline asset area pursuant to 15-year, fixed-fee agreements for oil, natural gas and salt water gathering, natural gas processing and salt water disposal. See Note 9 to the interim unaudited condensed consolidated financial statements in this Quarterly Report for more information about these contractual commitments.</w:t>
      </w:r>
    </w:p>
    <w:p>
      <w:pPr>
        <w:spacing w:after="0" w:line="85" w:lineRule="exact"/>
        <w:rPr>
          <w:rFonts w:ascii="Arial" w:cs="Arial" w:eastAsia="Arial" w:hAnsi="Arial"/>
          <w:sz w:val="14"/>
          <w:szCs w:val="14"/>
          <w:color w:val="auto"/>
        </w:rPr>
      </w:pPr>
    </w:p>
    <w:p>
      <w:pPr>
        <w:ind w:left="340" w:right="340" w:hanging="332"/>
        <w:spacing w:after="0" w:line="257" w:lineRule="auto"/>
        <w:tabs>
          <w:tab w:leader="none" w:pos="340" w:val="left"/>
        </w:tabs>
        <w:numPr>
          <w:ilvl w:val="0"/>
          <w:numId w:val="18"/>
        </w:numPr>
        <w:rPr>
          <w:rFonts w:ascii="Arial" w:cs="Arial" w:eastAsia="Arial" w:hAnsi="Arial"/>
          <w:sz w:val="14"/>
          <w:szCs w:val="14"/>
          <w:color w:val="auto"/>
        </w:rPr>
      </w:pPr>
      <w:r>
        <w:rPr>
          <w:rFonts w:ascii="Arial" w:cs="Arial" w:eastAsia="Arial" w:hAnsi="Arial"/>
          <w:sz w:val="14"/>
          <w:szCs w:val="14"/>
          <w:color w:val="auto"/>
        </w:rPr>
        <w:t>Beginning in June 2019, a subsidiary of San Mateo II entered into an agreement with third parties for the engineering, procurement, construction and installation of an expansion of the Black River Processing Plant, including required compression. See Note 9 to the interim unaudited condensed consolidated financial statements in this Quarterly Report for more information about these contractual commitments.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Outlook and Trends</w:t>
      </w:r>
    </w:p>
    <w:p>
      <w:pPr>
        <w:spacing w:after="0" w:line="121" w:lineRule="exact"/>
        <w:rPr>
          <w:sz w:val="20"/>
          <w:szCs w:val="20"/>
          <w:color w:val="auto"/>
        </w:rPr>
      </w:pPr>
    </w:p>
    <w:p>
      <w:pPr>
        <w:ind w:right="40" w:firstLine="432"/>
        <w:spacing w:after="0" w:line="257" w:lineRule="auto"/>
        <w:rPr>
          <w:sz w:val="20"/>
          <w:szCs w:val="20"/>
          <w:color w:val="auto"/>
        </w:rPr>
      </w:pPr>
      <w:r>
        <w:rPr>
          <w:rFonts w:ascii="Arial" w:cs="Arial" w:eastAsia="Arial" w:hAnsi="Arial"/>
          <w:sz w:val="18"/>
          <w:szCs w:val="18"/>
          <w:color w:val="auto"/>
        </w:rPr>
        <w:t>During the first quarter of 2020, the oil and natural gas industry witnessed an abrupt and significant decline in oil prices. For the three months ended March 31, 2020, oil prices averaged $45.78 per Bbl, ranging from a high of $63.27 per Bbl in early January to a low of $20.09 per Bbl in late March, based upon the NYMEX WTI oil futures contract price for the earliest delivery date. This sudden decline in oil prices was attributable to two primary factors: (1) the precipitous decline in global oil demand resulting from the worldwide spread of COVID-19 and (2) a sudden, unexpected increase in global oil supply resulting</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240"/>
          </w:cols>
          <w:pgMar w:left="320" w:top="125" w:right="33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from actions initiated by Saudi Arabia to increase its oil production to world markets following the failure of efforts by members of OPEC+ to agree on coordinated production cuts at their March 6, 2020 meetings in Vienna, Austria.</w:t>
      </w:r>
    </w:p>
    <w:p>
      <w:pPr>
        <w:spacing w:after="0" w:line="62" w:lineRule="exact"/>
        <w:rPr>
          <w:sz w:val="20"/>
          <w:szCs w:val="20"/>
          <w:color w:val="auto"/>
        </w:rPr>
      </w:pPr>
    </w:p>
    <w:p>
      <w:pPr>
        <w:ind w:right="80" w:firstLine="432"/>
        <w:spacing w:after="0" w:line="254" w:lineRule="auto"/>
        <w:rPr>
          <w:sz w:val="20"/>
          <w:szCs w:val="20"/>
          <w:color w:val="auto"/>
        </w:rPr>
      </w:pPr>
      <w:r>
        <w:rPr>
          <w:rFonts w:ascii="Arial" w:cs="Arial" w:eastAsia="Arial" w:hAnsi="Arial"/>
          <w:sz w:val="18"/>
          <w:szCs w:val="18"/>
          <w:color w:val="auto"/>
        </w:rPr>
        <w:t>As noted previously in this Quarterly Report, Matador has significantly modified its 2020 operational plan primarily as a result of these unexpected events and the resulting decline in oil prices. We began 2020 operating six drilling rigs in the Delaware Basin but plan to reduce our operated drilling program from six to three drilling rigs by the end of the second quarter of 2020. Thereafter, we expect to operate three drilling rigs in the Delaware Basin throughout the remainder of 2020, but we are prepared to reduce our drilling activities further should conditions warrant. At April 29, 2020, the general outlook for the oil and natural gas industry for the remainder of 2020 remains highly uncertain, and we can provide no assurances as to when the economic disruptions resulting from COVID-19 and the corresponding decline in oil demand may begin to improve. Until such time, however, we anticipate that oil prices will remain well below the prices realized in 2019.</w:t>
      </w:r>
    </w:p>
    <w:p>
      <w:pPr>
        <w:spacing w:after="0" w:line="87" w:lineRule="exact"/>
        <w:rPr>
          <w:sz w:val="20"/>
          <w:szCs w:val="20"/>
          <w:color w:val="auto"/>
        </w:rPr>
      </w:pPr>
    </w:p>
    <w:p>
      <w:pPr>
        <w:ind w:firstLine="432"/>
        <w:spacing w:after="0" w:line="257" w:lineRule="auto"/>
        <w:rPr>
          <w:sz w:val="20"/>
          <w:szCs w:val="20"/>
          <w:color w:val="auto"/>
        </w:rPr>
      </w:pPr>
      <w:r>
        <w:rPr>
          <w:rFonts w:ascii="Arial" w:cs="Arial" w:eastAsia="Arial" w:hAnsi="Arial"/>
          <w:sz w:val="18"/>
          <w:szCs w:val="18"/>
          <w:color w:val="auto"/>
        </w:rPr>
        <w:t>We realized a weighted average oil price of $45.87 per Bbl ($48.81 per Bbl including realized gains from oil derivatives) for our oil production for the three months ended March 31, 2020, as compared to $49.64 per Bbl ($50.72 per Bbl including realized gains from oil derivatives) for our oil production for the three months ended March 31, 2019. At April 29, 2020, the NYMEX WTI oil futures contract for the earliest delivery date had decreased significantly from the average price for the first quarter of 2020, settling at $15.06 per Bbl, which was also a significant decrease as compared to $63.50 at April 29, 2019.</w:t>
      </w:r>
    </w:p>
    <w:p>
      <w:pPr>
        <w:spacing w:after="0" w:line="80" w:lineRule="exact"/>
        <w:rPr>
          <w:sz w:val="20"/>
          <w:szCs w:val="20"/>
          <w:color w:val="auto"/>
        </w:rPr>
      </w:pPr>
    </w:p>
    <w:p>
      <w:pPr>
        <w:ind w:left="440"/>
        <w:spacing w:after="0"/>
        <w:rPr>
          <w:sz w:val="20"/>
          <w:szCs w:val="20"/>
          <w:color w:val="auto"/>
        </w:rPr>
      </w:pPr>
      <w:r>
        <w:rPr>
          <w:rFonts w:ascii="Arial" w:cs="Arial" w:eastAsia="Arial" w:hAnsi="Arial"/>
          <w:sz w:val="17"/>
          <w:szCs w:val="17"/>
          <w:color w:val="auto"/>
        </w:rPr>
        <w:t>Natural gas prices were significantly lower in the first quarter of 2020, as compared to the first quarter of 2019. For the three months ended</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March 31, 2020, natural gas prices averaged $1.87 per MMBtu, ranging from a high of $2.20 per MMBtu in early January to a low of $1.60 per MMBtu in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late March, based upon the NYMEX Henry Hub natural gas futures contract price for the earliest delivery date. We realized a weighted average natural gas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price of $1.70 per Mcf (with no realized gains or losses from natural gas derivatives) for our natural gas production (including revenues attributable to</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NGLs) for the three months ended March 31, 2020, as compared to $2.85 per Mcf ($2.84 with realized losses from natural gas derivatives) for our natural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gas production (including revenues attributable to NGLs) for the three months ended March 31, 2019. At April 29, 2020, the NYMEX Henry Hub natural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gas futures contract price for the earliest delivery date had increased from the end of the first quarter of 2020, settling at $1.87 per MMBtu, which was a</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decrease as compared to $2.59 per MMBtu at April 29, 2019.</w:t>
      </w:r>
    </w:p>
    <w:p>
      <w:pPr>
        <w:spacing w:after="0" w:line="103" w:lineRule="exact"/>
        <w:rPr>
          <w:sz w:val="20"/>
          <w:szCs w:val="20"/>
          <w:color w:val="auto"/>
        </w:rPr>
      </w:pPr>
    </w:p>
    <w:p>
      <w:pPr>
        <w:ind w:right="20" w:firstLine="405"/>
        <w:spacing w:after="0" w:line="270" w:lineRule="auto"/>
        <w:rPr>
          <w:sz w:val="20"/>
          <w:szCs w:val="20"/>
          <w:color w:val="auto"/>
        </w:rPr>
      </w:pPr>
      <w:r>
        <w:rPr>
          <w:rFonts w:ascii="Arial" w:cs="Arial" w:eastAsia="Arial" w:hAnsi="Arial"/>
          <w:sz w:val="17"/>
          <w:szCs w:val="17"/>
          <w:color w:val="auto"/>
        </w:rPr>
        <w:t>The prices we receive for oil, natural gas and NGLs heavily influence our revenue, profitability, cash flow available for capital expenditures, access to capital and future rate of growth. Oil, natural gas and NGL prices are subject to wide fluctuations in response to relatively minor changes in supply and demand. Historically, the markets for oil, natural gas and NGLs have been volatile, and these markets will likely continue to be volatile in the future. Declines in oil, natural gas or NGL prices not only reduce our revenues, but could also reduce the amount of oil, natural gas and NGLs we can produce economically, and, as a result, could have an adverse effect on our financial condition, results of operations, cash flows and reserves and our ability to comply with the leverage ratio covenant under our Credit Agreement. We are uncertain if or when oil and natural gas prices may rise from their current levels, and, in fact, oil and natural gas prices may decrease in future periods. See “Risk Factors — Our Success Is Dependent on the Prices of Oil and Natural Gas. Low Oil and Natural Gas Prices and the Continued Volatility in These Prices May Adversely Affect Our Financial Condition and Our Ability to Meet Our Capital Expenditure Requirements and Financial Obligations.” in the Annual Report.</w:t>
      </w:r>
    </w:p>
    <w:p>
      <w:pPr>
        <w:spacing w:after="0" w:line="73" w:lineRule="exact"/>
        <w:rPr>
          <w:sz w:val="20"/>
          <w:szCs w:val="20"/>
          <w:color w:val="auto"/>
        </w:rPr>
      </w:pPr>
    </w:p>
    <w:p>
      <w:pPr>
        <w:ind w:firstLine="432"/>
        <w:spacing w:after="0" w:line="279" w:lineRule="auto"/>
        <w:rPr>
          <w:sz w:val="20"/>
          <w:szCs w:val="20"/>
          <w:color w:val="auto"/>
        </w:rPr>
      </w:pPr>
      <w:r>
        <w:rPr>
          <w:rFonts w:ascii="Arial" w:cs="Arial" w:eastAsia="Arial" w:hAnsi="Arial"/>
          <w:sz w:val="17"/>
          <w:szCs w:val="17"/>
          <w:color w:val="auto"/>
        </w:rPr>
        <w:t>From time to time, we use derivative financial instruments to mitigate our exposure to commodity price risk associated with oil, natural gas and NGL prices. Even so, decisions as to whether, at what price and what production volumes to hedge are difficult and depend on market conditions and our forecast of future production and oil, natural gas and NGL prices, and we may not always employ the optimal hedging strategy. This, in turn, may affect the liquidity that can be accessed through the borrowing base under the Credit Agreement and through the capital markets.</w:t>
      </w:r>
    </w:p>
    <w:p>
      <w:pPr>
        <w:spacing w:after="0" w:line="63" w:lineRule="exact"/>
        <w:rPr>
          <w:sz w:val="20"/>
          <w:szCs w:val="20"/>
          <w:color w:val="auto"/>
        </w:rPr>
      </w:pPr>
    </w:p>
    <w:p>
      <w:pPr>
        <w:ind w:right="180" w:firstLine="432"/>
        <w:spacing w:after="0" w:line="269" w:lineRule="auto"/>
        <w:rPr>
          <w:sz w:val="20"/>
          <w:szCs w:val="20"/>
          <w:color w:val="auto"/>
        </w:rPr>
      </w:pPr>
      <w:r>
        <w:rPr>
          <w:rFonts w:ascii="Arial" w:cs="Arial" w:eastAsia="Arial" w:hAnsi="Arial"/>
          <w:sz w:val="17"/>
          <w:szCs w:val="17"/>
          <w:color w:val="auto"/>
        </w:rPr>
        <w:t>During April 2020, we restructured a portion of our then-existing 2020 WTI oil hedges, providing additional revenue protection should oil prices remain at currently depressed levels for the remainder of 2020 or should further market disruptions occur. As a result of these modifications, we almost doubled our oil volumes hedged for the period from April through December 2020. At April 29, 2020, we had approximately 10.3 million Bbl of oil hedged for the period from April through December 2020. These hedges include approximately 7.6 million Bbl of fixed-price oil swaps at a weighted average price of approximately $35 per Bbl and 2.3 million Bbl of oil collars with a weighted average floor price of approximately $48 per Bbl and a weighted average ceiling price of approximately $66 per Bbl. We also have approximately 0.4 million Bbl in oil put options at a weighted average price of approximately $48 per Bbl for the period from April through June 2020. In addition, during April 2020, we added approximately 5.5 million Bbl of oil swaps at a weighted average price of approximately $35 per Bbl for 2021. We also added natural gas collars for November and December 2020 for approximately 3.2 million MMBtu and for the first quarter of 2021 for approximately 4.8 million MMBtu, each with a weighted average floor price of approximately $2.52 per MMBtu and a weighted average ceiling price of approximately $3.71 per MMBtu.</w:t>
      </w:r>
    </w:p>
    <w:p>
      <w:pPr>
        <w:spacing w:after="0" w:line="77" w:lineRule="exact"/>
        <w:rPr>
          <w:sz w:val="20"/>
          <w:szCs w:val="20"/>
          <w:color w:val="auto"/>
        </w:rPr>
      </w:pPr>
    </w:p>
    <w:p>
      <w:pPr>
        <w:ind w:right="200" w:firstLine="432"/>
        <w:spacing w:after="0" w:line="263" w:lineRule="auto"/>
        <w:rPr>
          <w:sz w:val="20"/>
          <w:szCs w:val="20"/>
          <w:color w:val="auto"/>
        </w:rPr>
      </w:pPr>
      <w:r>
        <w:rPr>
          <w:rFonts w:ascii="Arial" w:cs="Arial" w:eastAsia="Arial" w:hAnsi="Arial"/>
          <w:sz w:val="18"/>
          <w:szCs w:val="18"/>
          <w:color w:val="auto"/>
        </w:rPr>
        <w:t>The prices we receive for our oil and natural gas production often reflect a discount to the relevant benchmark prices, such as the NYMEX WTI oil price or the NYMEX Henry Hub natural gas price. The difference between the benchmark price and the price we receive is called a differential. At March 31, 2020, most of our oil production from the Delaware Basin was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240"/>
          </w:cols>
          <w:pgMar w:left="320" w:top="125" w:right="339" w:bottom="1440" w:gutter="0" w:footer="0" w:header="0"/>
        </w:sectPr>
      </w:pPr>
    </w:p>
    <w:bookmarkStart w:id="35" w:name="page36"/>
    <w:bookmarkEnd w:id="3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sold based on prices established in Midland, Texas. For most of the first nine months of 2019, almost all of our natural gas production from the Delaware Basin was sold based on prices established at the Waha Hub in far West Texas, and portions of our natural gas are still sold based on Waha prices. At the end of September 2019, however, the Kinder Morgan Gulf Coast Express Pipeline Project (the “GCX Pipeline”) became operational. We have secured firm natural gas transportation and sales on the GCX Pipeline for an average of approximately 110,000 to 115,000 MMBtu per day at a natural gas price based upon Houston Ship Channel pricing.</w:t>
      </w:r>
    </w:p>
    <w:p>
      <w:pPr>
        <w:spacing w:after="0" w:line="80" w:lineRule="exact"/>
        <w:rPr>
          <w:sz w:val="20"/>
          <w:szCs w:val="20"/>
          <w:color w:val="auto"/>
        </w:rPr>
      </w:pPr>
    </w:p>
    <w:p>
      <w:pPr>
        <w:ind w:right="140" w:firstLine="432"/>
        <w:spacing w:after="0" w:line="272" w:lineRule="auto"/>
        <w:rPr>
          <w:sz w:val="20"/>
          <w:szCs w:val="20"/>
          <w:color w:val="auto"/>
        </w:rPr>
      </w:pPr>
      <w:r>
        <w:rPr>
          <w:rFonts w:ascii="Arial" w:cs="Arial" w:eastAsia="Arial" w:hAnsi="Arial"/>
          <w:sz w:val="17"/>
          <w:szCs w:val="17"/>
          <w:color w:val="auto"/>
        </w:rPr>
        <w:t>After a lengthy period beginning in the second quarter of 2018 in which the Midland-Cushing (Oklahoma) oil price differential was negative, reaching as high as ($16.00) per Bbl in late September 2018, this oil price differential became positive late in the third quarter of 2019 and remained positive into the first quarter of 2020. With the abrupt decline in oil prices during the first quarter of 2020, however, the Midland-Cushing (Oklahoma) oil price differential experienced significant volatility in April 2020. At April 29, 2020, this oil price differential was approximately $2.50 per Bbl, despite being approximately ($6.00) per Bbl earlier in April. It is possible that the differential could turn negative again at certain times during the remainder of 2020. At April 29, 2020, we had derivative contracts in place to mitigate our exposure to this Midland-Cushing (Oklahoma) oil price differential on a portion of our anticipated oil production for the remainder of 2020 and throughout 2021 and 2022.</w:t>
      </w:r>
    </w:p>
    <w:p>
      <w:pPr>
        <w:spacing w:after="0" w:line="69" w:lineRule="exact"/>
        <w:rPr>
          <w:sz w:val="20"/>
          <w:szCs w:val="20"/>
          <w:color w:val="auto"/>
        </w:rPr>
      </w:pPr>
    </w:p>
    <w:p>
      <w:pPr>
        <w:ind w:right="100" w:firstLine="432"/>
        <w:spacing w:after="0" w:line="259" w:lineRule="auto"/>
        <w:rPr>
          <w:sz w:val="20"/>
          <w:szCs w:val="20"/>
          <w:color w:val="auto"/>
        </w:rPr>
      </w:pPr>
      <w:r>
        <w:rPr>
          <w:rFonts w:ascii="Arial" w:cs="Arial" w:eastAsia="Arial" w:hAnsi="Arial"/>
          <w:sz w:val="18"/>
          <w:szCs w:val="18"/>
          <w:color w:val="auto"/>
        </w:rPr>
        <w:t>In addition, as a result of oil futures prices being significantly higher than spot prices for oil, the monthly “roll,” which typically has minimal impact on our realized oil pricing, is expected to be significant and negative during the second quarter of 2020. As a result, our weighted average oil price differential relative to the WTI benchmark price is anticipated to be negative and in the range of ($6.00) to ($9.00) per Bbl in the second quarter of 2020, inclusive of the monthly roll and transportation costs.</w:t>
      </w:r>
    </w:p>
    <w:p>
      <w:pPr>
        <w:spacing w:after="0" w:line="79" w:lineRule="exact"/>
        <w:rPr>
          <w:sz w:val="20"/>
          <w:szCs w:val="20"/>
          <w:color w:val="auto"/>
        </w:rPr>
      </w:pPr>
    </w:p>
    <w:p>
      <w:pPr>
        <w:ind w:firstLine="432"/>
        <w:spacing w:after="0" w:line="290" w:lineRule="auto"/>
        <w:rPr>
          <w:sz w:val="20"/>
          <w:szCs w:val="20"/>
          <w:color w:val="auto"/>
        </w:rPr>
      </w:pPr>
      <w:r>
        <w:rPr>
          <w:rFonts w:ascii="Arial" w:cs="Arial" w:eastAsia="Arial" w:hAnsi="Arial"/>
          <w:sz w:val="16"/>
          <w:szCs w:val="16"/>
          <w:color w:val="auto"/>
        </w:rPr>
        <w:t>Our realized prices for a portion of our Delaware Basin natural gas production are exposed to the Waha-Henry Hub basis differential. This Waha basis differential has increased significantly over the past two years, including a few days in April 2019 when natural gas was being sold at the Waha hub for negative prices as high as ($7.00) to ($9.00) per MMBtu on a daily market basis. During the second half of 2019, the Waha basis differentials improved, and natural gas prices at the Waha hub averaged approximately $1.00 per MMBtu for the final six months of the year. Despite improving during the second half of 2019, beginning in the fourth quarter, the Waha basis differential widened further at times, and natural gas prices at the Waha hub were slightly negative on certain days in late December 2019. In early 2020, the Waha basis differential continued to deteriorate, and natural gas prices at the Waha hub were negative on certain days in April 2020. However, the Waha basis differential narrowed in late April 2020, with the futures market indicating Waha basis differentials between ($0.30) and ($0.60) per MMBtu throughout the remainder of 2020 as of late April.</w:t>
      </w:r>
    </w:p>
    <w:p>
      <w:pPr>
        <w:spacing w:after="0" w:line="57" w:lineRule="exact"/>
        <w:rPr>
          <w:sz w:val="20"/>
          <w:szCs w:val="20"/>
          <w:color w:val="auto"/>
        </w:rPr>
      </w:pPr>
    </w:p>
    <w:p>
      <w:pPr>
        <w:ind w:firstLine="432"/>
        <w:spacing w:after="0" w:line="296" w:lineRule="auto"/>
        <w:rPr>
          <w:sz w:val="20"/>
          <w:szCs w:val="20"/>
          <w:color w:val="auto"/>
        </w:rPr>
      </w:pPr>
      <w:r>
        <w:rPr>
          <w:rFonts w:ascii="Arial" w:cs="Arial" w:eastAsia="Arial" w:hAnsi="Arial"/>
          <w:sz w:val="16"/>
          <w:szCs w:val="16"/>
          <w:color w:val="auto"/>
        </w:rPr>
        <w:t>Beginning in late September 2019, as the GCX Pipeline became operational, we began selling a majority of our produced Delaware Basin natural gas at Houston Ship Channel pricing, and we have realized an improvement in the natural gas pricing received despite higher transportation charges incurred to transport the natural gas to the Gulf Coast. Further, approximately 29% of our reported natural gas production in the first quarter of 2020 was attributable to the Haynesville and Eagle Ford shale plays, which are not exposed to Waha pricing. In addition, as a two-stream reporter, most of our natural gas volumes in the Delaware Basin are processed for NGLs, resulting in a further reduction in the reported natural gas volumes exposed to Waha pricing.</w:t>
      </w:r>
    </w:p>
    <w:p>
      <w:pPr>
        <w:spacing w:after="0" w:line="53" w:lineRule="exact"/>
        <w:rPr>
          <w:sz w:val="20"/>
          <w:szCs w:val="20"/>
          <w:color w:val="auto"/>
        </w:rPr>
      </w:pPr>
    </w:p>
    <w:p>
      <w:pPr>
        <w:ind w:right="160" w:firstLine="432"/>
        <w:spacing w:after="0" w:line="293" w:lineRule="auto"/>
        <w:rPr>
          <w:sz w:val="20"/>
          <w:szCs w:val="20"/>
          <w:color w:val="auto"/>
        </w:rPr>
      </w:pPr>
      <w:r>
        <w:rPr>
          <w:rFonts w:ascii="Arial" w:cs="Arial" w:eastAsia="Arial" w:hAnsi="Arial"/>
          <w:sz w:val="16"/>
          <w:szCs w:val="16"/>
          <w:color w:val="auto"/>
        </w:rPr>
        <w:t>These widening oil and natural gas basis differentials are largely attributable to industry concerns regarding oil storage capacity and the near-term sufficiency of pipeline takeaway capacity for oil, natural gas and NGL production in the Delaware Basin. At April 29, 2020, we had not experienced oil storage concerns or material pipeline-related interruptions to our oil, natural gas or NGL production. In certain recent periods, shortages of NGL fractionation capacity were experienced by certain operators in the Delaware Basin. Although we did not encounter such fractionation capacity problems, we can provide no assurances that such problems will not arise. If we do experience any interruptions with takeaway capacity, oil storage or NGL fractionation, our oil and natural gas revenues, business, financial condition, results of operations and cash flows could be adversely affected.</w:t>
      </w:r>
    </w:p>
    <w:p>
      <w:pPr>
        <w:spacing w:after="0" w:line="56" w:lineRule="exact"/>
        <w:rPr>
          <w:sz w:val="20"/>
          <w:szCs w:val="20"/>
          <w:color w:val="auto"/>
        </w:rPr>
      </w:pPr>
    </w:p>
    <w:p>
      <w:pPr>
        <w:ind w:firstLine="405"/>
        <w:spacing w:after="0" w:line="273" w:lineRule="auto"/>
        <w:rPr>
          <w:sz w:val="20"/>
          <w:szCs w:val="20"/>
          <w:color w:val="auto"/>
        </w:rPr>
      </w:pPr>
      <w:r>
        <w:rPr>
          <w:rFonts w:ascii="Arial" w:cs="Arial" w:eastAsia="Arial" w:hAnsi="Arial"/>
          <w:sz w:val="17"/>
          <w:szCs w:val="17"/>
          <w:color w:val="auto"/>
        </w:rPr>
        <w:t>We anticipate that the volatility in these oil and natural gas price differentials could persist throughout 2020 or longer until additional oil and natural gas pipeline capacity from West Texas to the Texas Gulf Coast and other end markets is completed and as the balance between oil supply and demand is restored. We can provide no assurances as to how long these volatile differentials may persist, and as noted above, these price differentials could deteriorate in future periods. Should we experience future periods of negative pricing for natural gas as we did during the second quarter of 2019, we may temporarily shut in certain high gas-oil ratio wells and take other actions to mitigate the impact on our realized natural gas prices and results. In addition, we have no derivative contracts in place to mitigate our exposure to these natural gas price differentials during 2020.</w:t>
      </w:r>
    </w:p>
    <w:p>
      <w:pPr>
        <w:spacing w:after="0" w:line="70" w:lineRule="exact"/>
        <w:rPr>
          <w:sz w:val="20"/>
          <w:szCs w:val="20"/>
          <w:color w:val="auto"/>
        </w:rPr>
      </w:pPr>
    </w:p>
    <w:p>
      <w:pPr>
        <w:ind w:right="440" w:firstLine="405"/>
        <w:spacing w:after="0" w:line="259" w:lineRule="auto"/>
        <w:rPr>
          <w:sz w:val="20"/>
          <w:szCs w:val="20"/>
          <w:color w:val="auto"/>
        </w:rPr>
      </w:pPr>
      <w:r>
        <w:rPr>
          <w:rFonts w:ascii="Arial" w:cs="Arial" w:eastAsia="Arial" w:hAnsi="Arial"/>
          <w:sz w:val="18"/>
          <w:szCs w:val="18"/>
          <w:color w:val="auto"/>
        </w:rPr>
        <w:t>In addition to concerns regarding oil and natural gas prices and basis differentials, the destruction of global oil demand resulting from decline in economic activity associated with COVID-19, in conjunction with the recent actions initiated by Saudi Arabia to increase its oil production to world markets, has led to a significant oversupply of oil worldwide. On April 10, 2020, the members of OPEC+ (led by Saudi Arabia) reversed course and announced their intentions to reduce oil production</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220"/>
          </w:cols>
          <w:pgMar w:left="320" w:top="125" w:right="359"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ind w:right="100"/>
        <w:spacing w:after="0" w:line="311" w:lineRule="auto"/>
        <w:rPr>
          <w:sz w:val="20"/>
          <w:szCs w:val="20"/>
          <w:color w:val="auto"/>
        </w:rPr>
      </w:pPr>
      <w:r>
        <w:rPr>
          <w:rFonts w:ascii="Arial" w:cs="Arial" w:eastAsia="Arial" w:hAnsi="Arial"/>
          <w:sz w:val="16"/>
          <w:szCs w:val="16"/>
          <w:color w:val="auto"/>
        </w:rPr>
        <w:t>significantly for the remainder of 2020 and into 2021 and 2022. It is uncertain, however, to what degree these production cuts may restore the balance between oil supply and demand, and most oil and natural gas industry observers remain skeptical that oil prices can improve substantially until oil demand begins to improve, most likely as a result of the “re-opening” of the world economy as concerns surrounding COVID-19 begin to subside.</w:t>
      </w:r>
    </w:p>
    <w:p>
      <w:pPr>
        <w:spacing w:after="0" w:line="41" w:lineRule="exact"/>
        <w:rPr>
          <w:sz w:val="20"/>
          <w:szCs w:val="20"/>
          <w:color w:val="auto"/>
        </w:rPr>
      </w:pPr>
    </w:p>
    <w:p>
      <w:pPr>
        <w:ind w:right="100" w:firstLine="405"/>
        <w:spacing w:after="0" w:line="270" w:lineRule="auto"/>
        <w:rPr>
          <w:sz w:val="20"/>
          <w:szCs w:val="20"/>
          <w:color w:val="auto"/>
        </w:rPr>
      </w:pPr>
      <w:r>
        <w:rPr>
          <w:rFonts w:ascii="Arial" w:cs="Arial" w:eastAsia="Arial" w:hAnsi="Arial"/>
          <w:sz w:val="17"/>
          <w:szCs w:val="17"/>
          <w:color w:val="auto"/>
        </w:rPr>
        <w:t>In the near term, and certainly through the second quarter of 2020, there is a significant risk that oil production in the United States may exceed available oil storage capacity. Should this occur, we may be required by our oil purchasers to shut in a portion or all of our oil production for a period of time. Further, the concern over available oil storage capacity may also result in lower oil prices, and as a result, we may elect to shut in or curtail certain volumes of our oil production temporarily rather than sell the oil at further depressed prices. At April 29, 2020, we had determined to voluntarily curtail or shut in portions of our Delaware Basin and Eagle Ford shale oil production in May 2020 and will likely curtail and shut in portions of our oil production during June as well. As most of our natural gas production in the Delaware Basin is associated with oil production, portions of our natural gas production will also be curtailed or shut in. When shut-in wells resume production, they may not produce at their previous rates, and we may be required to expend capital to improve their production. We can provide no assurances as to whether additional portions of our oil production may be shut in or curtailed in the future or how long these periods may persist.</w:t>
      </w:r>
    </w:p>
    <w:p>
      <w:pPr>
        <w:spacing w:after="0" w:line="73" w:lineRule="exact"/>
        <w:rPr>
          <w:sz w:val="20"/>
          <w:szCs w:val="20"/>
          <w:color w:val="auto"/>
        </w:rPr>
      </w:pPr>
    </w:p>
    <w:p>
      <w:pPr>
        <w:ind w:firstLine="405"/>
        <w:spacing w:after="0" w:line="284" w:lineRule="auto"/>
        <w:rPr>
          <w:sz w:val="20"/>
          <w:szCs w:val="20"/>
          <w:color w:val="auto"/>
        </w:rPr>
      </w:pPr>
      <w:r>
        <w:rPr>
          <w:rFonts w:ascii="Arial" w:cs="Arial" w:eastAsia="Arial" w:hAnsi="Arial"/>
          <w:sz w:val="16"/>
          <w:szCs w:val="16"/>
          <w:color w:val="auto"/>
        </w:rPr>
        <w:t>Further, if oil prices remain at their current depressed levels during the second quarter of 2020, we anticipate that we could realize a full-cost ceiling impairment to the net capitalized value of our oil and natural gas properties. In determining whether a full-cost ceiling impairment existed at March 31, 2020, we estimated the value, discounted at 10%, of our total proved oil and natural gas reserves using the unweighted arithmetic average of oil and natural gas prices as of the first day of each month for the trailing 12-month period ended March 31, 2020 as required under the guidelines established by the SEC, which were $52.23 per Bbl and $2.30 per MMBtu, respectively. No full cost ceiling impairment was required at March 31, 2020. If the unweighted arithmetic average of oil and natural gas prices as of the first day of each month for the trailing 12-month period ended March 31, 2020 had been $42.42 per Bbl and $2.05 per MMBtu, respectively, while all other factors remained constant, our full-cost ceiling would have been impaired by approximately $550.0 million on a pro forma basis. The aforementioned pro forma prices, as estimated for the twelve month period July 2019 through June 2020, were calculated using a 12-month unweighted arithmetic average of oil and natural gas prices, which included the oil and natural gas prices on the first day of the month for the 10 months ended April 2020, with the price for April 2020 being held constant for May and June 2020. This pro forma excess of our net capitalized costs above the full-cost ceiling is attributable to a pro forma reduction of approximately $840.0 million in the estimated value, discounted at 10%, of our total proved oil and natural gas reserves, including a pro forma decrease in our estimated total proved reserves of approximately 8% from our estimated proved reserves at March 31, 2020, primarily attributable to certain proved undeveloped locations that would no longer be classified as proved undeveloped reserves using the pro forma prices. This calculation of the impact of lower commodity prices on our estimated total proved oil and natural gas reserves and our full-cost ceiling was prepared based on the presumption that all other inputs and assumptions are held constant with the exception of oil and natural gas prices. Therefore, this calculation strictly isolates the impact of commodity prices on our full-cost ceiling and proved reserves. The impact of prices is only one of several variables in the estimation of our proved reserves and full-cost ceiling and other factors could have a significant impact on our future proved reserves and the present value of future cash flows. The other factors that impact future estimates of proved reserves include, but are not limited to, extensions and discoveries, acquisitions of proved reserves, changes in drilling and completion and operating costs, drilling results, revisions due to well performance and other factors, changes in development plans and production, among others. There are numerous uncertainties inherent in the estimation of proved oil and natural gas reserves and accounting for oil and natural gas properties in subsequent periods and this pro forma estimate should not be construed as indicative of our development plans or future results.</w:t>
      </w:r>
    </w:p>
    <w:p>
      <w:pPr>
        <w:spacing w:after="0" w:line="124" w:lineRule="exact"/>
        <w:rPr>
          <w:sz w:val="20"/>
          <w:szCs w:val="20"/>
          <w:color w:val="auto"/>
        </w:rPr>
      </w:pPr>
    </w:p>
    <w:p>
      <w:pPr>
        <w:ind w:right="20" w:firstLine="432"/>
        <w:spacing w:after="0" w:line="287" w:lineRule="auto"/>
        <w:rPr>
          <w:sz w:val="20"/>
          <w:szCs w:val="20"/>
          <w:color w:val="auto"/>
        </w:rPr>
      </w:pPr>
      <w:r>
        <w:rPr>
          <w:rFonts w:ascii="Arial" w:cs="Arial" w:eastAsia="Arial" w:hAnsi="Arial"/>
          <w:sz w:val="16"/>
          <w:szCs w:val="16"/>
          <w:color w:val="auto"/>
        </w:rPr>
        <w:t>Our oil and natural gas exploration, development, production, midstream and related operations are subject to extensive federal, state and local laws, rules and regulations. The regulatory burden on the oil and natural gas industry increases our cost of doing business and affects our profitability. Because these laws, rules and regulations are frequently amended or reinterpreted and new laws, rules and regulations are proposed or promulgated, we are unable to predict the future cost or impact of complying with the laws, rules and regulations to which we are, or will become, subject. For example, in 2019 and 2020, separate bills were introduced in the New Mexico Senate proposing to add a surtax on natural gas processors and proposing to place a moratorium on hydraulic fracturing. In 2019, New Mexico’s governor also signed an executive order requiring a regulatory framework to ensure reductions of methane emissions. Although such bills have not passed, these and other laws, rules and regulations, including any federal legislation, regulations or orders intended to limit or restrict oil and natural gas operations on federal lands, if enacted, could have an adverse impact on our business, financial condition, results of operations and cash flows. In addition, certain segments of the investor community have recently expressed negative sentiment towards investing in the oil and natural gas industry, recent equity returns in the sector versus other industry sectors have led to lower oil and natural gas representation in certain key equity market indices and some investors, including certain pension funds, university endowments and family foundations, have stated policies to reduce or eliminate their investments in the oil and natural gas sector based on social and environmental considerations.</w:t>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240"/>
          </w:cols>
          <w:pgMar w:left="320" w:top="125" w:right="339" w:bottom="1440" w:gutter="0" w:footer="0" w:header="0"/>
        </w:sectPr>
      </w:pPr>
    </w:p>
    <w:bookmarkStart w:id="37" w:name="page38"/>
    <w:bookmarkEnd w:id="3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ind w:firstLine="432"/>
        <w:spacing w:after="0" w:line="290" w:lineRule="auto"/>
        <w:rPr>
          <w:sz w:val="20"/>
          <w:szCs w:val="20"/>
          <w:color w:val="auto"/>
        </w:rPr>
      </w:pPr>
      <w:r>
        <w:rPr>
          <w:rFonts w:ascii="Arial" w:cs="Arial" w:eastAsia="Arial" w:hAnsi="Arial"/>
          <w:sz w:val="16"/>
          <w:szCs w:val="16"/>
          <w:color w:val="auto"/>
        </w:rPr>
        <w:t>Like other oil and natural gas producing companies, our properties are subject to natural production declines. By their nature, our oil and natural gas wells will experience rapid initial production declines. We attempt to overcome these production declines by drilling to develop and identify additional reserves, by exploring for new sources of reserves and, at times, by acquisitions. During times of severe oil, natural gas and NGL price declines, however, drilling additional oil or natural gas wells may not be economic, and we may find it necessary to reduce capital expenditures and curtail drilling operations in order to preserve liquidity. A material reduction in capital expenditures and drilling activities could materially impact our production volumes, revenues, reserves, cash flows and our availability under our Credit Agreement. See “Risk Factors — Our Exploration, Development, Exploitation and Midstream Projects Require Substantial Capital Expenditures That May Exceed Our Cash Flows from Operations and Potential Borrowings, and We May Be Unable to Obtain Needed Capital on Satisfactory Terms, Which Could Adversely Affect Our Future Growth.” in the Annual Report.</w:t>
      </w:r>
    </w:p>
    <w:p>
      <w:pPr>
        <w:spacing w:after="0" w:line="57" w:lineRule="exact"/>
        <w:rPr>
          <w:sz w:val="20"/>
          <w:szCs w:val="20"/>
          <w:color w:val="auto"/>
        </w:rPr>
      </w:pPr>
    </w:p>
    <w:p>
      <w:pPr>
        <w:jc w:val="both"/>
        <w:ind w:right="60" w:firstLine="432"/>
        <w:spacing w:after="0" w:line="286" w:lineRule="auto"/>
        <w:rPr>
          <w:sz w:val="20"/>
          <w:szCs w:val="20"/>
          <w:color w:val="auto"/>
        </w:rPr>
      </w:pPr>
      <w:r>
        <w:rPr>
          <w:rFonts w:ascii="Arial" w:cs="Arial" w:eastAsia="Arial" w:hAnsi="Arial"/>
          <w:sz w:val="17"/>
          <w:szCs w:val="17"/>
          <w:color w:val="auto"/>
        </w:rPr>
        <w:t>We strive to focus our efforts on increasing oil and natural gas reserves and production while controlling costs at a level that is appropriate for long-term operations. Our ability to find and develop sufficient quantities of oil and natural gas reserves at economical costs is critical to our long-term success. Future finding and development costs are subject to changes in the costs of acquiring, drilling and completing our prospects.</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21" w:lineRule="exact"/>
        <w:rPr>
          <w:sz w:val="20"/>
          <w:szCs w:val="20"/>
          <w:color w:val="auto"/>
        </w:rPr>
      </w:pPr>
    </w:p>
    <w:p>
      <w:pPr>
        <w:ind w:right="360" w:firstLine="432"/>
        <w:spacing w:after="0" w:line="277" w:lineRule="auto"/>
        <w:rPr>
          <w:sz w:val="20"/>
          <w:szCs w:val="20"/>
          <w:color w:val="auto"/>
        </w:rPr>
      </w:pPr>
      <w:r>
        <w:rPr>
          <w:rFonts w:ascii="Arial" w:cs="Arial" w:eastAsia="Arial" w:hAnsi="Arial"/>
          <w:sz w:val="18"/>
          <w:szCs w:val="18"/>
          <w:color w:val="auto"/>
        </w:rPr>
        <w:t>Except as set forth below, there have been no material changes to the sources and effects of our market risk since December 31, 2019, which are disclosed in Part II, Item 7A of the Annual Report and incorporated herein by reference.</w:t>
      </w:r>
    </w:p>
    <w:p>
      <w:pPr>
        <w:spacing w:after="0" w:line="62" w:lineRule="exact"/>
        <w:rPr>
          <w:sz w:val="20"/>
          <w:szCs w:val="20"/>
          <w:color w:val="auto"/>
        </w:rPr>
      </w:pPr>
    </w:p>
    <w:p>
      <w:pPr>
        <w:jc w:val="both"/>
        <w:ind w:right="220" w:firstLine="432"/>
        <w:spacing w:after="0" w:line="311" w:lineRule="auto"/>
        <w:rPr>
          <w:sz w:val="20"/>
          <w:szCs w:val="20"/>
          <w:color w:val="auto"/>
        </w:rPr>
      </w:pPr>
      <w:r>
        <w:rPr>
          <w:rFonts w:ascii="Arial" w:cs="Arial" w:eastAsia="Arial" w:hAnsi="Arial"/>
          <w:sz w:val="16"/>
          <w:szCs w:val="16"/>
          <w:i w:val="1"/>
          <w:iCs w:val="1"/>
          <w:color w:val="auto"/>
        </w:rPr>
        <w:t xml:space="preserve">Commodity price exposure. </w:t>
      </w:r>
      <w:r>
        <w:rPr>
          <w:rFonts w:ascii="Arial" w:cs="Arial" w:eastAsia="Arial" w:hAnsi="Arial"/>
          <w:sz w:val="16"/>
          <w:szCs w:val="16"/>
          <w:color w:val="auto"/>
        </w:rPr>
        <w:t>We are exposed to market risk as the prices of oil, natural gas and NGLs fluctuate as a result of changes in supply and</w:t>
      </w:r>
      <w:r>
        <w:rPr>
          <w:rFonts w:ascii="Arial" w:cs="Arial" w:eastAsia="Arial" w:hAnsi="Arial"/>
          <w:sz w:val="16"/>
          <w:szCs w:val="16"/>
          <w:i w:val="1"/>
          <w:iCs w:val="1"/>
          <w:color w:val="auto"/>
        </w:rPr>
        <w:t xml:space="preserve"> </w:t>
      </w:r>
      <w:r>
        <w:rPr>
          <w:rFonts w:ascii="Arial" w:cs="Arial" w:eastAsia="Arial" w:hAnsi="Arial"/>
          <w:sz w:val="16"/>
          <w:szCs w:val="16"/>
          <w:color w:val="auto"/>
        </w:rPr>
        <w:t>demand and other factors. To partially reduce price risk caused by these market fluctuations, we have entered into derivative financial instruments in the past and expect to enter into derivative financial instruments in the future to cover a significant portion of our anticipated future production.</w:t>
      </w:r>
    </w:p>
    <w:p>
      <w:pPr>
        <w:spacing w:after="0" w:line="41" w:lineRule="exact"/>
        <w:rPr>
          <w:sz w:val="20"/>
          <w:szCs w:val="20"/>
          <w:color w:val="auto"/>
        </w:rPr>
      </w:pPr>
    </w:p>
    <w:p>
      <w:pPr>
        <w:ind w:firstLine="432"/>
        <w:spacing w:after="0" w:line="271" w:lineRule="auto"/>
        <w:rPr>
          <w:sz w:val="20"/>
          <w:szCs w:val="20"/>
          <w:color w:val="auto"/>
        </w:rPr>
      </w:pPr>
      <w:r>
        <w:rPr>
          <w:rFonts w:ascii="Arial" w:cs="Arial" w:eastAsia="Arial" w:hAnsi="Arial"/>
          <w:sz w:val="17"/>
          <w:szCs w:val="17"/>
          <w:color w:val="auto"/>
        </w:rPr>
        <w:t>We typically use costless (or zero-cost) collars and/or swap contracts to manage risks related to changes in oil, natural gas and NGL prices. Traditional costless collars provide us with downside price protection through the purchase of a put option that is financed through the sale of a call option. Because the call option proceeds are used to offset the cost of the put option, these arrangements are initially “costless” to us. Participating three-way costless collars also provide us with downside price protection through the purchase of a put option, but they also allow us to participate in price upside through the purchase of a call option; the purchase of both the put option and the call option are financed through the sale of a call option. Because the proceeds from the call option sale are used to offset the cost of the purchased put and call options, these arrangements are also initially “costless” to us. In the case of a costless collar, the put option and the call option or options have different fixed price components. In a swap contract, a floating price is exchanged for a fixed price over a specified period, providing downside price protection.</w:t>
      </w:r>
    </w:p>
    <w:p>
      <w:pPr>
        <w:spacing w:after="0" w:line="70" w:lineRule="exact"/>
        <w:rPr>
          <w:sz w:val="20"/>
          <w:szCs w:val="20"/>
          <w:color w:val="auto"/>
        </w:rPr>
      </w:pPr>
    </w:p>
    <w:p>
      <w:pPr>
        <w:ind w:right="180" w:firstLine="432"/>
        <w:spacing w:after="0" w:line="277" w:lineRule="auto"/>
        <w:rPr>
          <w:sz w:val="20"/>
          <w:szCs w:val="20"/>
          <w:color w:val="auto"/>
        </w:rPr>
      </w:pPr>
      <w:r>
        <w:rPr>
          <w:rFonts w:ascii="Arial" w:cs="Arial" w:eastAsia="Arial" w:hAnsi="Arial"/>
          <w:sz w:val="18"/>
          <w:szCs w:val="18"/>
          <w:color w:val="auto"/>
        </w:rPr>
        <w:t>In response to the decline in the price of oil, in April 2020 we repurchased the call options on certain existing open oil costless collars and kept the remaining put options, exchanged certain existing open oil costless collars and added oil swaps.</w:t>
      </w:r>
    </w:p>
    <w:p>
      <w:pPr>
        <w:spacing w:after="0" w:line="62" w:lineRule="exact"/>
        <w:rPr>
          <w:sz w:val="20"/>
          <w:szCs w:val="20"/>
          <w:color w:val="auto"/>
        </w:rPr>
      </w:pPr>
    </w:p>
    <w:p>
      <w:pPr>
        <w:ind w:right="40" w:firstLine="432"/>
        <w:spacing w:after="0" w:line="254" w:lineRule="auto"/>
        <w:rPr>
          <w:sz w:val="20"/>
          <w:szCs w:val="20"/>
          <w:color w:val="auto"/>
        </w:rPr>
      </w:pPr>
      <w:r>
        <w:rPr>
          <w:rFonts w:ascii="Arial" w:cs="Arial" w:eastAsia="Arial" w:hAnsi="Arial"/>
          <w:sz w:val="18"/>
          <w:szCs w:val="18"/>
          <w:color w:val="auto"/>
        </w:rPr>
        <w:t>We record all derivative financial instruments at fair value. The fair value of our derivative financial instruments is determined using purchase and sale information available for similarly traded securities. At March 31, 2020, The Bank of Nova Scotia and BMO Harris Financing (Bank of Montreal) (or affiliates thereof) were the counterparties for all of our derivative instruments. At April 29, 2020, The Bank of Nova Scotia, BMO Harris Financing (Bank of Montreal) and Truist Bank (or affiliates thereof) were the counterparties for all of our derivative instruments. We have considered the credit standing of the counterparties in determining the fair value of our derivative financial instruments. See Note 7 to the interim unaudited condensed consolidated financial statements in this Quarterly Report for a summary of our open derivative financial instruments. Such information is incorporated herein by reference.</w:t>
      </w:r>
    </w:p>
    <w:p>
      <w:pPr>
        <w:spacing w:after="0" w:line="19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180"/>
          </w:cols>
          <w:pgMar w:left="320" w:top="125" w:right="399" w:bottom="1440" w:gutter="0" w:footer="0" w:header="0"/>
        </w:sectPr>
      </w:pPr>
    </w:p>
    <w:bookmarkStart w:id="38" w:name="page39"/>
    <w:bookmarkEnd w:id="3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Evaluation of Disclosure Controls and Procedures</w:t>
      </w:r>
    </w:p>
    <w:p>
      <w:pPr>
        <w:spacing w:after="0" w:line="117" w:lineRule="exact"/>
        <w:rPr>
          <w:sz w:val="20"/>
          <w:szCs w:val="20"/>
          <w:color w:val="auto"/>
        </w:rPr>
      </w:pPr>
    </w:p>
    <w:p>
      <w:pPr>
        <w:ind w:firstLine="432"/>
        <w:spacing w:after="0" w:line="291" w:lineRule="auto"/>
        <w:rPr>
          <w:sz w:val="20"/>
          <w:szCs w:val="20"/>
          <w:color w:val="auto"/>
        </w:rPr>
      </w:pPr>
      <w:r>
        <w:rPr>
          <w:rFonts w:ascii="Arial" w:cs="Arial" w:eastAsia="Arial" w:hAnsi="Arial"/>
          <w:sz w:val="16"/>
          <w:szCs w:val="16"/>
          <w:color w:val="auto"/>
        </w:rPr>
        <w:t>As of the end of the period covered by this Quarterly Report, we evaluated the effectiveness of the design and operation of the Company’s disclosure controls and procedures (as defined in Rule 13a-15(e) under the Exchange Act) under the supervision and with the participation of our management, including our Chief Executive Officer and our Chief Financial Officer. Based on that evaluation, our Chief Executive Officer and our Chief Financial Officer concluded that the Company’s disclosure controls and procedures were effective as of March 31, 2020 to ensure that (i) information required to be disclosed in the reports it files and submits under the Exchange Act is recorded, processed, summarized and reported within the time periods specified in the SEC’s rules and forms and (ii) information required to be disclosed under the Exchange Act is accumulated and communicated to the Company’s management, including our Chief Executive Officer and our Chief Financial Officer, as appropriate to allow timely decisions regarding required disclosure.</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Changes in Internal Control over Financial Reporting</w:t>
      </w:r>
    </w:p>
    <w:p>
      <w:pPr>
        <w:spacing w:after="0" w:line="90"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There were no changes in our internal controls during the three months ended March 31, 2020 that have materially affected or are reasonably likely to have a material effect on our internal control over financial reporting.</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200"/>
          </w:cols>
          <w:pgMar w:left="320" w:top="125" w:right="379" w:bottom="1440" w:gutter="0" w:footer="0" w:header="0"/>
        </w:sectPr>
      </w:pPr>
    </w:p>
    <w:bookmarkStart w:id="39" w:name="page40"/>
    <w:bookmarkEnd w:id="3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 — OTHER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21" w:lineRule="exact"/>
        <w:rPr>
          <w:sz w:val="20"/>
          <w:szCs w:val="20"/>
          <w:color w:val="auto"/>
        </w:rPr>
      </w:pPr>
    </w:p>
    <w:p>
      <w:pPr>
        <w:ind w:right="320" w:firstLine="432"/>
        <w:spacing w:after="0" w:line="263" w:lineRule="auto"/>
        <w:rPr>
          <w:sz w:val="20"/>
          <w:szCs w:val="20"/>
          <w:color w:val="auto"/>
        </w:rPr>
      </w:pPr>
      <w:r>
        <w:rPr>
          <w:rFonts w:ascii="Arial" w:cs="Arial" w:eastAsia="Arial" w:hAnsi="Arial"/>
          <w:sz w:val="18"/>
          <w:szCs w:val="18"/>
          <w:color w:val="auto"/>
        </w:rPr>
        <w:t>We are party to several legal proceedings encountered in the ordinary course of business. While the ultimate outcome and impact on us cannot be predicted with certainty, in the opinion of management, it is remote that these legal proceedings will have a material adverse impact on our financial condition, results of operations or cash flows.</w:t>
      </w:r>
    </w:p>
    <w:p>
      <w:pPr>
        <w:spacing w:after="0" w:line="76" w:lineRule="exact"/>
        <w:rPr>
          <w:sz w:val="20"/>
          <w:szCs w:val="20"/>
          <w:color w:val="auto"/>
        </w:rPr>
      </w:pPr>
    </w:p>
    <w:p>
      <w:pPr>
        <w:ind w:right="80" w:firstLine="405"/>
        <w:spacing w:after="0" w:line="296" w:lineRule="auto"/>
        <w:rPr>
          <w:sz w:val="20"/>
          <w:szCs w:val="20"/>
          <w:color w:val="auto"/>
        </w:rPr>
      </w:pPr>
      <w:r>
        <w:rPr>
          <w:rFonts w:ascii="Arial" w:cs="Arial" w:eastAsia="Arial" w:hAnsi="Arial"/>
          <w:sz w:val="16"/>
          <w:szCs w:val="16"/>
          <w:color w:val="auto"/>
        </w:rPr>
        <w:t>On November 4, 2019, the Company received a Notice of Violation and Finding of Violation from the EPA and a Notice of Violation from the New Mexico Environment Department (the “NMED”) alleging violations of the Clean Air Act and New Mexico State Implementation Plan at certain of its operated locations in New Mexico. The Company has provided information to the EPA and NMED and is engaged in discussions regarding a resolution of the alleged violations. The Company believes it is remote that the resolution of this matter will have a material adverse impact on the Company’s financial condition, results of operations or cash flows. Resolution of the matter may result in monetary sanctions of more than $100,000.</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6"/>
          <w:szCs w:val="16"/>
          <w:color w:val="auto"/>
        </w:rPr>
        <w:t>We are subject to various risks and uncertainties in the course of our business. For a discussion of such risks and uncertainties, please see “Item 1A.</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Risk Factors” in the Annual Report. There have been no material changes to the risk factors we have disclosed in the Annual Report, except as follows:</w:t>
      </w:r>
    </w:p>
    <w:p>
      <w:pPr>
        <w:spacing w:after="0" w:line="126"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We Face Numerous Risks Related to the COVID-19 Global Pandemic, Which Has Had and Is Likely to Continue to Have a Material Adverse Effect on Our Business, Financial Condition, Results of Operations and Cash Flows.</w:t>
      </w:r>
    </w:p>
    <w:p>
      <w:pPr>
        <w:spacing w:after="0" w:line="62" w:lineRule="exact"/>
        <w:rPr>
          <w:sz w:val="20"/>
          <w:szCs w:val="20"/>
          <w:color w:val="auto"/>
        </w:rPr>
      </w:pPr>
    </w:p>
    <w:p>
      <w:pPr>
        <w:ind w:right="20" w:firstLine="405"/>
        <w:spacing w:after="0" w:line="271" w:lineRule="auto"/>
        <w:rPr>
          <w:sz w:val="20"/>
          <w:szCs w:val="20"/>
          <w:color w:val="auto"/>
        </w:rPr>
      </w:pPr>
      <w:r>
        <w:rPr>
          <w:rFonts w:ascii="Arial" w:cs="Arial" w:eastAsia="Arial" w:hAnsi="Arial"/>
          <w:sz w:val="17"/>
          <w:szCs w:val="17"/>
          <w:color w:val="auto"/>
        </w:rPr>
        <w:t>Since the beginning of 2020, the COVID-19 pandemic has spread across the globe and disrupted economies and industries around the world, including the exploration and production and midstream businesses. The rapid spread of COVID-19 has led to the implementation of various responses, including federal, state and local government-imposed quarantines, shelter-in-place mandates, sweeping restrictions on travel and other public health and safety measures, nearly all of which have materially reduced global demand for crude oil. The extent to which COVID-19 will continue to affect our business, financial condition, results of operations and cash flows and the demand for our production will depend on future developments, which are highly uncertain and cannot be predicted with confidence, including the duration or any recurrence of the outbreak and responsive measures, additional or modified government actions, new information which may emerge concerning the severity of COVID-19 and the effectiveness of actions taken to contain COVID-19 or treat its impact now or in the future, among others.</w:t>
      </w:r>
    </w:p>
    <w:p>
      <w:pPr>
        <w:spacing w:after="0" w:line="70" w:lineRule="exact"/>
        <w:rPr>
          <w:sz w:val="20"/>
          <w:szCs w:val="20"/>
          <w:color w:val="auto"/>
        </w:rPr>
      </w:pPr>
    </w:p>
    <w:p>
      <w:pPr>
        <w:ind w:right="60" w:firstLine="405"/>
        <w:spacing w:after="0" w:line="277" w:lineRule="auto"/>
        <w:rPr>
          <w:sz w:val="20"/>
          <w:szCs w:val="20"/>
          <w:color w:val="auto"/>
        </w:rPr>
      </w:pPr>
      <w:r>
        <w:rPr>
          <w:rFonts w:ascii="Arial" w:cs="Arial" w:eastAsia="Arial" w:hAnsi="Arial"/>
          <w:sz w:val="18"/>
          <w:szCs w:val="18"/>
          <w:color w:val="auto"/>
        </w:rPr>
        <w:t>Some impacts of the COVID-19 pandemic that could have an adverse effect on our business, financial condition, results of operations and cash flows include:</w:t>
      </w:r>
    </w:p>
    <w:p>
      <w:pPr>
        <w:spacing w:after="0" w:line="62" w:lineRule="exact"/>
        <w:rPr>
          <w:sz w:val="20"/>
          <w:szCs w:val="20"/>
          <w:color w:val="auto"/>
        </w:rPr>
      </w:pPr>
    </w:p>
    <w:p>
      <w:pPr>
        <w:ind w:left="660" w:right="100" w:hanging="328"/>
        <w:spacing w:after="0" w:line="277"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significantly reduced prices for our oil, natural gas and NGL production, resulting from a world-wide decrease in demand for hydrocarbons and a resulting oversupply of existing production;</w:t>
      </w:r>
    </w:p>
    <w:p>
      <w:pPr>
        <w:spacing w:after="0" w:line="62" w:lineRule="exact"/>
        <w:rPr>
          <w:rFonts w:ascii="Arial" w:cs="Arial" w:eastAsia="Arial" w:hAnsi="Arial"/>
          <w:sz w:val="18"/>
          <w:szCs w:val="18"/>
          <w:color w:val="auto"/>
        </w:rPr>
      </w:pPr>
    </w:p>
    <w:p>
      <w:pPr>
        <w:ind w:left="660" w:right="120" w:hanging="328"/>
        <w:spacing w:after="0" w:line="342" w:lineRule="auto"/>
        <w:tabs>
          <w:tab w:leader="none" w:pos="6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further decreases in the demand for our oil production, resulting from significantly decreased levels of global, regional and local travel as a result of federal, state and local government-imposed quarantines, including shelter-in-place mandates, enacted to slow the spread of COVID-19;</w:t>
      </w:r>
    </w:p>
    <w:p>
      <w:pPr>
        <w:spacing w:after="0" w:line="15" w:lineRule="exact"/>
        <w:rPr>
          <w:rFonts w:ascii="Arial" w:cs="Arial" w:eastAsia="Arial" w:hAnsi="Arial"/>
          <w:sz w:val="16"/>
          <w:szCs w:val="16"/>
          <w:color w:val="auto"/>
        </w:rPr>
      </w:pPr>
    </w:p>
    <w:p>
      <w:pPr>
        <w:ind w:left="660" w:right="280" w:hanging="328"/>
        <w:spacing w:after="0" w:line="277"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increased likelihood that we will, either voluntarily or as a result of third-party and regulatory mandates, curtail or shut in production, resulting from depressed oil prices, lack of storage and other market or political forces;</w:t>
      </w:r>
    </w:p>
    <w:p>
      <w:pPr>
        <w:spacing w:after="0" w:line="62" w:lineRule="exact"/>
        <w:rPr>
          <w:rFonts w:ascii="Arial" w:cs="Arial" w:eastAsia="Arial" w:hAnsi="Arial"/>
          <w:sz w:val="18"/>
          <w:szCs w:val="18"/>
          <w:color w:val="auto"/>
        </w:rPr>
      </w:pPr>
    </w:p>
    <w:p>
      <w:pPr>
        <w:ind w:left="660" w:right="380" w:hanging="328"/>
        <w:spacing w:after="0" w:line="277"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significant decreases in the volumes of oil, natural gas and water that are transported, gathered, processed or disposed of by San Mateo due to curtailed or shut-in production by Matador or other of San Mateo’s customers;</w:t>
      </w:r>
    </w:p>
    <w:p>
      <w:pPr>
        <w:spacing w:after="0" w:line="62"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increased costs associated with, or actual unavailability of, facilities for the storage of oil, natural gas and NGL production in the markets in which we operate;</w:t>
      </w:r>
    </w:p>
    <w:p>
      <w:pPr>
        <w:spacing w:after="0" w:line="62" w:lineRule="exact"/>
        <w:rPr>
          <w:rFonts w:ascii="Arial" w:cs="Arial" w:eastAsia="Arial" w:hAnsi="Arial"/>
          <w:sz w:val="18"/>
          <w:szCs w:val="18"/>
          <w:color w:val="auto"/>
        </w:rPr>
      </w:pPr>
    </w:p>
    <w:p>
      <w:pPr>
        <w:ind w:left="660" w:right="340" w:hanging="328"/>
        <w:spacing w:after="0" w:line="277"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increased operational difficulties associated with the delivery of oil, natural gas and NGLs to end-markets, resulting from pipeline and storage constraints;</w:t>
      </w:r>
    </w:p>
    <w:p>
      <w:pPr>
        <w:spacing w:after="0" w:line="62" w:lineRule="exact"/>
        <w:rPr>
          <w:rFonts w:ascii="Arial" w:cs="Arial" w:eastAsia="Arial" w:hAnsi="Arial"/>
          <w:sz w:val="18"/>
          <w:szCs w:val="18"/>
          <w:color w:val="auto"/>
        </w:rPr>
      </w:pPr>
    </w:p>
    <w:p>
      <w:pPr>
        <w:ind w:left="660" w:right="600" w:hanging="328"/>
        <w:spacing w:after="0" w:line="277"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potential for the operations of the Black River Processing Plant and other critical midstream infrastructure to be adversely impacted by outbreaks of COVID-19;</w:t>
      </w:r>
    </w:p>
    <w:p>
      <w:pPr>
        <w:spacing w:after="0" w:line="62"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potential for forced curtailment of oil and NGL production by state governmental agencies, resulting in a need to significantly curtail or shut in our production;</w:t>
      </w:r>
    </w:p>
    <w:p>
      <w:pPr>
        <w:spacing w:after="0" w:line="62" w:lineRule="exact"/>
        <w:rPr>
          <w:rFonts w:ascii="Arial" w:cs="Arial" w:eastAsia="Arial" w:hAnsi="Arial"/>
          <w:sz w:val="18"/>
          <w:szCs w:val="18"/>
          <w:color w:val="auto"/>
        </w:rPr>
      </w:pPr>
    </w:p>
    <w:p>
      <w:pPr>
        <w:ind w:left="660" w:right="180" w:hanging="328"/>
        <w:spacing w:after="0" w:line="263"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potential for loss of leasehold interests for the failure to produce oil and natural gas in paying quantities as a result of significantly lower commodity prices, voluntary or forced curtailments or other factors related to the misalignment of supply and demand, and the potential to incur significant costs associated with litigation related to the foregoing;</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220"/>
          </w:cols>
          <w:pgMar w:left="320" w:top="125" w:right="359" w:bottom="1440" w:gutter="0" w:footer="0" w:header="0"/>
        </w:sectPr>
      </w:pPr>
    </w:p>
    <w:bookmarkStart w:id="40" w:name="page41"/>
    <w:bookmarkEnd w:id="40"/>
    <w:p>
      <w:pPr>
        <w:jc w:val="both"/>
        <w:ind w:left="660" w:right="320" w:hanging="328"/>
        <w:spacing w:after="0" w:line="263"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increased third-party credit risk, including the risk that counterparties may not accept the delivery of our oil, natural gas and NGL production, resulting from adverse market conditions, a lack of access to capital and storage and the failure of certain of our counterparties to continue as going concerns;</w:t>
      </w:r>
    </w:p>
    <w:p>
      <w:pPr>
        <w:spacing w:after="0" w:line="75" w:lineRule="exact"/>
        <w:rPr>
          <w:rFonts w:ascii="Arial" w:cs="Arial" w:eastAsia="Arial" w:hAnsi="Arial"/>
          <w:sz w:val="18"/>
          <w:szCs w:val="18"/>
          <w:color w:val="auto"/>
        </w:rPr>
      </w:pPr>
    </w:p>
    <w:p>
      <w:pPr>
        <w:ind w:left="660" w:right="420" w:hanging="328"/>
        <w:spacing w:after="0" w:line="277"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increased likelihood that counterparties to our existing agreements may seek to invoke force majeure provisions to avoid the performance of contractual obligations, resulting from significantly adverse market conditions;</w:t>
      </w:r>
    </w:p>
    <w:p>
      <w:pPr>
        <w:spacing w:after="0" w:line="62" w:lineRule="exact"/>
        <w:rPr>
          <w:rFonts w:ascii="Arial" w:cs="Arial" w:eastAsia="Arial" w:hAnsi="Arial"/>
          <w:sz w:val="18"/>
          <w:szCs w:val="18"/>
          <w:color w:val="auto"/>
        </w:rPr>
      </w:pPr>
    </w:p>
    <w:p>
      <w:pPr>
        <w:ind w:left="660" w:hanging="328"/>
        <w:spacing w:after="0" w:line="263"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potential impact for delays in construction or increased costs related to the expansion of the Black River Processing Plant and other midstream construction projects, including construction of the natural gas pipelines connecting our Stateline asset area and the Greater Stebbins Area to the Black River Processing Plant;</w:t>
      </w:r>
    </w:p>
    <w:p>
      <w:pPr>
        <w:spacing w:after="0" w:line="75" w:lineRule="exact"/>
        <w:rPr>
          <w:rFonts w:ascii="Arial" w:cs="Arial" w:eastAsia="Arial" w:hAnsi="Arial"/>
          <w:sz w:val="18"/>
          <w:szCs w:val="18"/>
          <w:color w:val="auto"/>
        </w:rPr>
      </w:pPr>
    </w:p>
    <w:p>
      <w:pPr>
        <w:ind w:left="660" w:right="160" w:hanging="328"/>
        <w:spacing w:after="0" w:line="277"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increased costs, staffing requirements and difficulties sourcing oilfield services related to social distancing measures implemented in connection with federal, state or local government and voluntarily imposed quarantines; and</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increased legal and operational costs related to compliance with significant changes in federal, state and local laws and regulations.</w:t>
      </w:r>
    </w:p>
    <w:p>
      <w:pPr>
        <w:spacing w:after="0" w:line="117" w:lineRule="exact"/>
        <w:rPr>
          <w:sz w:val="20"/>
          <w:szCs w:val="20"/>
          <w:color w:val="auto"/>
        </w:rPr>
      </w:pPr>
    </w:p>
    <w:p>
      <w:pPr>
        <w:ind w:right="20" w:firstLine="405"/>
        <w:spacing w:after="0" w:line="257" w:lineRule="auto"/>
        <w:rPr>
          <w:sz w:val="20"/>
          <w:szCs w:val="20"/>
          <w:color w:val="auto"/>
        </w:rPr>
      </w:pPr>
      <w:r>
        <w:rPr>
          <w:rFonts w:ascii="Arial" w:cs="Arial" w:eastAsia="Arial" w:hAnsi="Arial"/>
          <w:sz w:val="18"/>
          <w:szCs w:val="18"/>
          <w:color w:val="auto"/>
        </w:rPr>
        <w:t>The COVID-19 outbreak continues to rapidly evolve, and the extent to which the outbreak may impact our business, financial condition, results of operations and cash flows will depend highly on future developments, which are very uncertain and cannot be predicted with confidence. Additionally, the extent and duration of the impact of the COVID-19 pandemic on our stock price and that of our peer companies is uncertain and may make us look less attractive to investors and, as a result, there may be a less active trading market for our common stock, our stock price may be more volatile and our ability to raise capital could be impaired.</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21" w:lineRule="exact"/>
        <w:rPr>
          <w:sz w:val="20"/>
          <w:szCs w:val="20"/>
          <w:color w:val="auto"/>
        </w:rPr>
      </w:pPr>
    </w:p>
    <w:p>
      <w:pPr>
        <w:ind w:right="720" w:firstLine="432"/>
        <w:spacing w:after="0" w:line="277" w:lineRule="auto"/>
        <w:rPr>
          <w:sz w:val="20"/>
          <w:szCs w:val="20"/>
          <w:color w:val="auto"/>
        </w:rPr>
      </w:pPr>
      <w:r>
        <w:rPr>
          <w:rFonts w:ascii="Arial" w:cs="Arial" w:eastAsia="Arial" w:hAnsi="Arial"/>
          <w:sz w:val="18"/>
          <w:szCs w:val="18"/>
          <w:color w:val="auto"/>
        </w:rPr>
        <w:t>During the quarter ended March 31, 2020, the Company re-acquired shares of common stock from certain employees in order to satisfy the employees’ tax liability in connection with the vesting of restricted stock.</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2"/>
              </w:rPr>
              <w:t>Total Number of</w:t>
            </w:r>
          </w:p>
        </w:tc>
        <w:tc>
          <w:tcPr>
            <w:tcW w:w="1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0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86"/>
              </w:rPr>
              <w:t>Shares Purchased as</w:t>
            </w:r>
          </w:p>
        </w:tc>
        <w:tc>
          <w:tcPr>
            <w:tcW w:w="1920" w:type="dxa"/>
            <w:vAlign w:val="bottom"/>
          </w:tcPr>
          <w:p>
            <w:pPr>
              <w:jc w:val="center"/>
              <w:spacing w:after="0"/>
              <w:rPr>
                <w:sz w:val="20"/>
                <w:szCs w:val="20"/>
                <w:color w:val="auto"/>
              </w:rPr>
            </w:pPr>
            <w:r>
              <w:rPr>
                <w:rFonts w:ascii="Arial" w:cs="Arial" w:eastAsia="Arial" w:hAnsi="Arial"/>
                <w:sz w:val="18"/>
                <w:szCs w:val="18"/>
                <w:b w:val="1"/>
                <w:bCs w:val="1"/>
                <w:color w:val="auto"/>
                <w:w w:val="94"/>
              </w:rPr>
              <w:t>Maximum Number of</w:t>
            </w:r>
          </w:p>
        </w:tc>
        <w:tc>
          <w:tcPr>
            <w:tcW w:w="0" w:type="dxa"/>
            <w:vAlign w:val="bottom"/>
          </w:tcPr>
          <w:p>
            <w:pPr>
              <w:spacing w:after="0"/>
              <w:rPr>
                <w:sz w:val="1"/>
                <w:szCs w:val="1"/>
                <w:color w:val="auto"/>
              </w:rPr>
            </w:pPr>
          </w:p>
        </w:tc>
      </w:tr>
      <w:tr>
        <w:trPr>
          <w:trHeight w:val="216"/>
        </w:trPr>
        <w:tc>
          <w:tcPr>
            <w:tcW w:w="3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tcPr>
          <w:p>
            <w:pPr>
              <w:jc w:val="center"/>
              <w:spacing w:after="0"/>
              <w:rPr>
                <w:sz w:val="20"/>
                <w:szCs w:val="20"/>
                <w:color w:val="auto"/>
              </w:rPr>
            </w:pPr>
            <w:r>
              <w:rPr>
                <w:rFonts w:ascii="Arial" w:cs="Arial" w:eastAsia="Arial" w:hAnsi="Arial"/>
                <w:sz w:val="18"/>
                <w:szCs w:val="18"/>
                <w:b w:val="1"/>
                <w:bCs w:val="1"/>
                <w:color w:val="auto"/>
                <w:w w:val="91"/>
              </w:rPr>
              <w:t>Total Number of</w:t>
            </w:r>
          </w:p>
        </w:tc>
        <w:tc>
          <w:tcPr>
            <w:tcW w:w="120" w:type="dxa"/>
            <w:vAlign w:val="bottom"/>
          </w:tcPr>
          <w:p>
            <w:pPr>
              <w:spacing w:after="0"/>
              <w:rPr>
                <w:sz w:val="18"/>
                <w:szCs w:val="18"/>
                <w:color w:val="auto"/>
              </w:rPr>
            </w:pPr>
          </w:p>
        </w:tc>
        <w:tc>
          <w:tcPr>
            <w:tcW w:w="1280" w:type="dxa"/>
            <w:vAlign w:val="bottom"/>
            <w:gridSpan w:val="3"/>
          </w:tcPr>
          <w:p>
            <w:pPr>
              <w:ind w:left="60"/>
              <w:spacing w:after="0"/>
              <w:rPr>
                <w:sz w:val="20"/>
                <w:szCs w:val="20"/>
                <w:color w:val="auto"/>
              </w:rPr>
            </w:pPr>
            <w:r>
              <w:rPr>
                <w:rFonts w:ascii="Arial" w:cs="Arial" w:eastAsia="Arial" w:hAnsi="Arial"/>
                <w:sz w:val="18"/>
                <w:szCs w:val="18"/>
                <w:b w:val="1"/>
                <w:bCs w:val="1"/>
                <w:color w:val="auto"/>
                <w:w w:val="99"/>
              </w:rPr>
              <w:t>Average Price</w:t>
            </w:r>
          </w:p>
        </w:tc>
        <w:tc>
          <w:tcPr>
            <w:tcW w:w="19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Part of Publicly</w:t>
            </w:r>
          </w:p>
        </w:tc>
        <w:tc>
          <w:tcPr>
            <w:tcW w:w="1920" w:type="dxa"/>
            <w:vAlign w:val="bottom"/>
          </w:tcPr>
          <w:p>
            <w:pPr>
              <w:jc w:val="center"/>
              <w:spacing w:after="0"/>
              <w:rPr>
                <w:sz w:val="20"/>
                <w:szCs w:val="20"/>
                <w:color w:val="auto"/>
              </w:rPr>
            </w:pPr>
            <w:r>
              <w:rPr>
                <w:rFonts w:ascii="Arial" w:cs="Arial" w:eastAsia="Arial" w:hAnsi="Arial"/>
                <w:sz w:val="18"/>
                <w:szCs w:val="18"/>
                <w:b w:val="1"/>
                <w:bCs w:val="1"/>
                <w:color w:val="auto"/>
                <w:w w:val="90"/>
              </w:rPr>
              <w:t>Shares that May Yet Be</w:t>
            </w:r>
          </w:p>
        </w:tc>
        <w:tc>
          <w:tcPr>
            <w:tcW w:w="0" w:type="dxa"/>
            <w:vAlign w:val="bottom"/>
          </w:tcPr>
          <w:p>
            <w:pPr>
              <w:spacing w:after="0"/>
              <w:rPr>
                <w:sz w:val="1"/>
                <w:szCs w:val="1"/>
                <w:color w:val="auto"/>
              </w:rPr>
            </w:pPr>
          </w:p>
        </w:tc>
      </w:tr>
      <w:tr>
        <w:trPr>
          <w:trHeight w:val="216"/>
        </w:trPr>
        <w:tc>
          <w:tcPr>
            <w:tcW w:w="3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tcPr>
          <w:p>
            <w:pPr>
              <w:jc w:val="center"/>
              <w:spacing w:after="0"/>
              <w:rPr>
                <w:sz w:val="20"/>
                <w:szCs w:val="20"/>
                <w:color w:val="auto"/>
              </w:rPr>
            </w:pPr>
            <w:r>
              <w:rPr>
                <w:rFonts w:ascii="Arial" w:cs="Arial" w:eastAsia="Arial" w:hAnsi="Arial"/>
                <w:sz w:val="18"/>
                <w:szCs w:val="18"/>
                <w:b w:val="1"/>
                <w:bCs w:val="1"/>
                <w:color w:val="auto"/>
                <w:w w:val="86"/>
              </w:rPr>
              <w:t>Shares</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ind w:left="60"/>
              <w:spacing w:after="0"/>
              <w:rPr>
                <w:sz w:val="20"/>
                <w:szCs w:val="20"/>
                <w:color w:val="auto"/>
              </w:rPr>
            </w:pPr>
            <w:r>
              <w:rPr>
                <w:rFonts w:ascii="Arial" w:cs="Arial" w:eastAsia="Arial" w:hAnsi="Arial"/>
                <w:sz w:val="18"/>
                <w:szCs w:val="18"/>
                <w:b w:val="1"/>
                <w:bCs w:val="1"/>
                <w:color w:val="auto"/>
              </w:rPr>
              <w:t>Paid Per</w:t>
            </w:r>
          </w:p>
        </w:tc>
        <w:tc>
          <w:tcPr>
            <w:tcW w:w="19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9"/>
              </w:rPr>
              <w:t>Announced Plans or</w:t>
            </w:r>
          </w:p>
        </w:tc>
        <w:tc>
          <w:tcPr>
            <w:tcW w:w="1920" w:type="dxa"/>
            <w:vAlign w:val="bottom"/>
          </w:tcPr>
          <w:p>
            <w:pPr>
              <w:jc w:val="center"/>
              <w:spacing w:after="0"/>
              <w:rPr>
                <w:sz w:val="20"/>
                <w:szCs w:val="20"/>
                <w:color w:val="auto"/>
              </w:rPr>
            </w:pPr>
            <w:r>
              <w:rPr>
                <w:rFonts w:ascii="Arial" w:cs="Arial" w:eastAsia="Arial" w:hAnsi="Arial"/>
                <w:sz w:val="18"/>
                <w:szCs w:val="18"/>
                <w:b w:val="1"/>
                <w:bCs w:val="1"/>
                <w:color w:val="auto"/>
                <w:w w:val="89"/>
              </w:rPr>
              <w:t>Purchased under the</w:t>
            </w:r>
          </w:p>
        </w:tc>
        <w:tc>
          <w:tcPr>
            <w:tcW w:w="0" w:type="dxa"/>
            <w:vAlign w:val="bottom"/>
          </w:tcPr>
          <w:p>
            <w:pPr>
              <w:spacing w:after="0"/>
              <w:rPr>
                <w:sz w:val="1"/>
                <w:szCs w:val="1"/>
                <w:color w:val="auto"/>
              </w:rPr>
            </w:pPr>
          </w:p>
        </w:tc>
      </w:tr>
      <w:tr>
        <w:trPr>
          <w:trHeight w:val="261"/>
        </w:trPr>
        <w:tc>
          <w:tcPr>
            <w:tcW w:w="3860" w:type="dxa"/>
            <w:vAlign w:val="bottom"/>
            <w:tcBorders>
              <w:bottom w:val="single" w:sz="8" w:color="auto"/>
            </w:tcBorders>
          </w:tcPr>
          <w:p>
            <w:pPr>
              <w:ind w:left="1680"/>
              <w:spacing w:after="0"/>
              <w:rPr>
                <w:sz w:val="20"/>
                <w:szCs w:val="20"/>
                <w:color w:val="auto"/>
              </w:rPr>
            </w:pPr>
            <w:r>
              <w:rPr>
                <w:rFonts w:ascii="Arial" w:cs="Arial" w:eastAsia="Arial" w:hAnsi="Arial"/>
                <w:sz w:val="18"/>
                <w:szCs w:val="18"/>
                <w:b w:val="1"/>
                <w:bCs w:val="1"/>
                <w:color w:val="auto"/>
              </w:rPr>
              <w:t>Period</w:t>
            </w:r>
          </w:p>
        </w:tc>
        <w:tc>
          <w:tcPr>
            <w:tcW w:w="140" w:type="dxa"/>
            <w:vAlign w:val="bottom"/>
            <w:tcBorders>
              <w:bottom w:val="single" w:sz="8" w:color="CCEEFF"/>
            </w:tcBorders>
          </w:tcPr>
          <w:p>
            <w:pPr>
              <w:spacing w:after="0"/>
              <w:rPr>
                <w:sz w:val="22"/>
                <w:szCs w:val="22"/>
                <w:color w:val="auto"/>
              </w:rPr>
            </w:pPr>
          </w:p>
        </w:tc>
        <w:tc>
          <w:tcPr>
            <w:tcW w:w="1500" w:type="dxa"/>
            <w:vAlign w:val="bottom"/>
            <w:tcBorders>
              <w:bottom w:val="single" w:sz="8" w:color="auto"/>
            </w:tcBorders>
          </w:tcPr>
          <w:p>
            <w:pPr>
              <w:jc w:val="center"/>
              <w:spacing w:after="0" w:line="262" w:lineRule="exact"/>
              <w:rPr>
                <w:sz w:val="20"/>
                <w:szCs w:val="20"/>
                <w:color w:val="auto"/>
              </w:rPr>
            </w:pPr>
            <w:r>
              <w:rPr>
                <w:rFonts w:ascii="Arial" w:cs="Arial" w:eastAsia="Arial" w:hAnsi="Arial"/>
                <w:sz w:val="18"/>
                <w:szCs w:val="18"/>
                <w:b w:val="1"/>
                <w:bCs w:val="1"/>
                <w:color w:val="auto"/>
                <w:w w:val="85"/>
              </w:rPr>
              <w:t>Purchased</w:t>
            </w:r>
            <w:r>
              <w:rPr>
                <w:rFonts w:ascii="Arial" w:cs="Arial" w:eastAsia="Arial" w:hAnsi="Arial"/>
                <w:sz w:val="25"/>
                <w:szCs w:val="25"/>
                <w:b w:val="1"/>
                <w:bCs w:val="1"/>
                <w:color w:val="auto"/>
                <w:w w:val="85"/>
                <w:vertAlign w:val="superscript"/>
              </w:rPr>
              <w:t>(1)</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Share</w:t>
            </w:r>
          </w:p>
        </w:tc>
        <w:tc>
          <w:tcPr>
            <w:tcW w:w="100" w:type="dxa"/>
            <w:vAlign w:val="bottom"/>
            <w:tcBorders>
              <w:bottom w:val="single" w:sz="8" w:color="CCEEFF"/>
            </w:tcBorders>
          </w:tcPr>
          <w:p>
            <w:pPr>
              <w:spacing w:after="0"/>
              <w:rPr>
                <w:sz w:val="22"/>
                <w:szCs w:val="22"/>
                <w:color w:val="auto"/>
              </w:rPr>
            </w:pPr>
          </w:p>
        </w:tc>
        <w:tc>
          <w:tcPr>
            <w:tcW w:w="18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Programs</w:t>
            </w:r>
          </w:p>
        </w:tc>
        <w:tc>
          <w:tcPr>
            <w:tcW w:w="100" w:type="dxa"/>
            <w:vAlign w:val="bottom"/>
            <w:tcBorders>
              <w:bottom w:val="single" w:sz="8" w:color="CCEEFF"/>
            </w:tcBorders>
          </w:tcPr>
          <w:p>
            <w:pPr>
              <w:spacing w:after="0"/>
              <w:rPr>
                <w:sz w:val="22"/>
                <w:szCs w:val="22"/>
                <w:color w:val="auto"/>
              </w:rPr>
            </w:pPr>
          </w:p>
        </w:tc>
        <w:tc>
          <w:tcPr>
            <w:tcW w:w="19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Plans or Programs</w:t>
            </w:r>
          </w:p>
        </w:tc>
        <w:tc>
          <w:tcPr>
            <w:tcW w:w="0" w:type="dxa"/>
            <w:vAlign w:val="bottom"/>
          </w:tcPr>
          <w:p>
            <w:pPr>
              <w:spacing w:after="0"/>
              <w:rPr>
                <w:sz w:val="1"/>
                <w:szCs w:val="1"/>
                <w:color w:val="auto"/>
              </w:rPr>
            </w:pPr>
          </w:p>
        </w:tc>
      </w:tr>
      <w:tr>
        <w:trPr>
          <w:trHeight w:val="244"/>
        </w:trPr>
        <w:tc>
          <w:tcPr>
            <w:tcW w:w="40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January 1, 2020 to January 31, 2020</w:t>
            </w:r>
          </w:p>
        </w:tc>
        <w:tc>
          <w:tcPr>
            <w:tcW w:w="1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199</w:t>
            </w:r>
          </w:p>
        </w:tc>
        <w:tc>
          <w:tcPr>
            <w:tcW w:w="32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16.70</w:t>
            </w:r>
          </w:p>
        </w:tc>
        <w:tc>
          <w:tcPr>
            <w:tcW w:w="10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gridSpan w:val="2"/>
            <w:shd w:val="clear" w:color="auto" w:fill="CCEEFF"/>
          </w:tcPr>
          <w:p>
            <w:pPr>
              <w:ind w:left="1520"/>
              <w:spacing w:after="0"/>
              <w:rPr>
                <w:sz w:val="20"/>
                <w:szCs w:val="20"/>
                <w:color w:val="auto"/>
              </w:rPr>
            </w:pPr>
            <w:r>
              <w:rPr>
                <w:rFonts w:ascii="Arial" w:cs="Arial" w:eastAsia="Arial" w:hAnsi="Arial"/>
                <w:sz w:val="18"/>
                <w:szCs w:val="18"/>
                <w:color w:val="auto"/>
              </w:rPr>
              <w:t>—</w:t>
            </w:r>
          </w:p>
        </w:tc>
        <w:tc>
          <w:tcPr>
            <w:tcW w:w="1920" w:type="dxa"/>
            <w:vAlign w:val="bottom"/>
            <w:tcBorders>
              <w:bottom w:val="single" w:sz="8" w:color="CCEEFF"/>
            </w:tcBorders>
            <w:shd w:val="clear" w:color="auto" w:fill="CCEEFF"/>
          </w:tcPr>
          <w:p>
            <w:pPr>
              <w:ind w:left="16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000" w:type="dxa"/>
            <w:vAlign w:val="bottom"/>
            <w:gridSpan w:val="2"/>
          </w:tcPr>
          <w:p>
            <w:pPr>
              <w:ind w:left="40"/>
              <w:spacing w:after="0"/>
              <w:rPr>
                <w:sz w:val="20"/>
                <w:szCs w:val="20"/>
                <w:color w:val="auto"/>
              </w:rPr>
            </w:pPr>
            <w:r>
              <w:rPr>
                <w:rFonts w:ascii="Arial" w:cs="Arial" w:eastAsia="Arial" w:hAnsi="Arial"/>
                <w:sz w:val="18"/>
                <w:szCs w:val="18"/>
                <w:color w:val="auto"/>
              </w:rPr>
              <w:t>February 1, 2020 to February 29, 2020</w:t>
            </w: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99,150</w:t>
            </w:r>
          </w:p>
        </w:tc>
        <w:tc>
          <w:tcPr>
            <w:tcW w:w="32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12.94</w:t>
            </w:r>
          </w:p>
        </w:tc>
        <w:tc>
          <w:tcPr>
            <w:tcW w:w="100" w:type="dxa"/>
            <w:vAlign w:val="bottom"/>
          </w:tcPr>
          <w:p>
            <w:pPr>
              <w:spacing w:after="0"/>
              <w:rPr>
                <w:sz w:val="21"/>
                <w:szCs w:val="21"/>
                <w:color w:val="auto"/>
              </w:rPr>
            </w:pPr>
          </w:p>
        </w:tc>
        <w:tc>
          <w:tcPr>
            <w:tcW w:w="1900" w:type="dxa"/>
            <w:vAlign w:val="bottom"/>
            <w:gridSpan w:val="2"/>
          </w:tcPr>
          <w:p>
            <w:pPr>
              <w:ind w:left="1520"/>
              <w:spacing w:after="0"/>
              <w:rPr>
                <w:sz w:val="20"/>
                <w:szCs w:val="20"/>
                <w:color w:val="auto"/>
              </w:rPr>
            </w:pPr>
            <w:r>
              <w:rPr>
                <w:rFonts w:ascii="Arial" w:cs="Arial" w:eastAsia="Arial" w:hAnsi="Arial"/>
                <w:sz w:val="18"/>
                <w:szCs w:val="18"/>
                <w:color w:val="auto"/>
              </w:rPr>
              <w:t>—</w:t>
            </w:r>
          </w:p>
        </w:tc>
        <w:tc>
          <w:tcPr>
            <w:tcW w:w="1920" w:type="dxa"/>
            <w:vAlign w:val="bottom"/>
          </w:tcPr>
          <w:p>
            <w:pPr>
              <w:ind w:left="16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March 1, 2020 to March 31, 2020</w:t>
            </w:r>
          </w:p>
        </w:tc>
        <w:tc>
          <w:tcPr>
            <w:tcW w:w="1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542</w:t>
            </w:r>
          </w:p>
        </w:tc>
        <w:tc>
          <w:tcPr>
            <w:tcW w:w="32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2.29</w:t>
            </w:r>
          </w:p>
        </w:tc>
        <w:tc>
          <w:tcPr>
            <w:tcW w:w="100" w:type="dxa"/>
            <w:vAlign w:val="bottom"/>
            <w:tcBorders>
              <w:bottom w:val="single" w:sz="8" w:color="CCEEFF"/>
            </w:tcBorders>
            <w:shd w:val="clear" w:color="auto" w:fill="CCEEFF"/>
          </w:tcPr>
          <w:p>
            <w:pPr>
              <w:spacing w:after="0"/>
              <w:rPr>
                <w:sz w:val="23"/>
                <w:szCs w:val="23"/>
                <w:color w:val="auto"/>
              </w:rPr>
            </w:pPr>
          </w:p>
        </w:tc>
        <w:tc>
          <w:tcPr>
            <w:tcW w:w="1900" w:type="dxa"/>
            <w:vAlign w:val="bottom"/>
            <w:tcBorders>
              <w:bottom w:val="single" w:sz="8" w:color="CCEEFF"/>
            </w:tcBorders>
            <w:gridSpan w:val="2"/>
            <w:shd w:val="clear" w:color="auto" w:fill="CCEEFF"/>
          </w:tcPr>
          <w:p>
            <w:pPr>
              <w:ind w:left="1520"/>
              <w:spacing w:after="0"/>
              <w:rPr>
                <w:sz w:val="20"/>
                <w:szCs w:val="20"/>
                <w:color w:val="auto"/>
              </w:rPr>
            </w:pPr>
            <w:r>
              <w:rPr>
                <w:rFonts w:ascii="Arial" w:cs="Arial" w:eastAsia="Arial" w:hAnsi="Arial"/>
                <w:sz w:val="18"/>
                <w:szCs w:val="18"/>
                <w:color w:val="auto"/>
              </w:rPr>
              <w:t>—</w:t>
            </w:r>
          </w:p>
        </w:tc>
        <w:tc>
          <w:tcPr>
            <w:tcW w:w="1920" w:type="dxa"/>
            <w:vAlign w:val="bottom"/>
            <w:tcBorders>
              <w:bottom w:val="single" w:sz="8" w:color="CCEEFF"/>
            </w:tcBorders>
            <w:shd w:val="clear" w:color="auto" w:fill="CCEEFF"/>
          </w:tcPr>
          <w:p>
            <w:pPr>
              <w:ind w:left="16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4000" w:type="dxa"/>
            <w:vAlign w:val="bottom"/>
            <w:gridSpan w:val="2"/>
          </w:tcPr>
          <w:p>
            <w:pPr>
              <w:ind w:left="280"/>
              <w:spacing w:after="0"/>
              <w:rPr>
                <w:sz w:val="20"/>
                <w:szCs w:val="20"/>
                <w:color w:val="auto"/>
              </w:rPr>
            </w:pPr>
            <w:r>
              <w:rPr>
                <w:rFonts w:ascii="Arial" w:cs="Arial" w:eastAsia="Arial" w:hAnsi="Arial"/>
                <w:sz w:val="18"/>
                <w:szCs w:val="18"/>
                <w:color w:val="auto"/>
              </w:rPr>
              <w:t>Total</w:t>
            </w:r>
          </w:p>
        </w:tc>
        <w:tc>
          <w:tcPr>
            <w:tcW w:w="15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99,891</w:t>
            </w:r>
          </w:p>
        </w:tc>
        <w:tc>
          <w:tcPr>
            <w:tcW w:w="32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12.89</w:t>
            </w:r>
          </w:p>
        </w:tc>
        <w:tc>
          <w:tcPr>
            <w:tcW w:w="100" w:type="dxa"/>
            <w:vAlign w:val="bottom"/>
          </w:tcPr>
          <w:p>
            <w:pPr>
              <w:spacing w:after="0"/>
              <w:rPr>
                <w:sz w:val="22"/>
                <w:szCs w:val="22"/>
                <w:color w:val="auto"/>
              </w:rPr>
            </w:pPr>
          </w:p>
        </w:tc>
        <w:tc>
          <w:tcPr>
            <w:tcW w:w="1800" w:type="dxa"/>
            <w:vAlign w:val="bottom"/>
            <w:tcBorders>
              <w:top w:val="single" w:sz="8" w:color="auto"/>
              <w:bottom w:val="single" w:sz="8" w:color="auto"/>
            </w:tcBorders>
          </w:tcPr>
          <w:p>
            <w:pPr>
              <w:ind w:left="15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1920" w:type="dxa"/>
            <w:vAlign w:val="bottom"/>
            <w:tcBorders>
              <w:top w:val="single" w:sz="8" w:color="auto"/>
              <w:bottom w:val="single" w:sz="8" w:color="auto"/>
            </w:tcBorders>
          </w:tcPr>
          <w:p>
            <w:pPr>
              <w:ind w:left="16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3860" w:type="dxa"/>
            <w:vAlign w:val="bottom"/>
            <w:vMerge w:val="restart"/>
          </w:tcPr>
          <w:p>
            <w:pPr>
              <w:spacing w:after="0"/>
              <w:rPr>
                <w:sz w:val="20"/>
                <w:szCs w:val="20"/>
                <w:color w:val="auto"/>
              </w:rPr>
            </w:pPr>
            <w:r>
              <w:rPr>
                <w:rFonts w:ascii="Arial" w:cs="Arial" w:eastAsia="Arial" w:hAnsi="Arial"/>
                <w:sz w:val="18"/>
                <w:szCs w:val="18"/>
                <w:color w:val="auto"/>
              </w:rPr>
              <w:t>_________________</w:t>
            </w:r>
          </w:p>
        </w:tc>
        <w:tc>
          <w:tcPr>
            <w:tcW w:w="140" w:type="dxa"/>
            <w:vAlign w:val="bottom"/>
            <w:vMerge w:val="restart"/>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860" w:type="dxa"/>
            <w:vAlign w:val="bottom"/>
            <w:vMerge w:val="continue"/>
          </w:tcPr>
          <w:p>
            <w:pPr>
              <w:spacing w:after="0"/>
              <w:rPr>
                <w:sz w:val="17"/>
                <w:szCs w:val="17"/>
                <w:color w:val="auto"/>
              </w:rPr>
            </w:pPr>
          </w:p>
        </w:tc>
        <w:tc>
          <w:tcPr>
            <w:tcW w:w="140" w:type="dxa"/>
            <w:vAlign w:val="bottom"/>
            <w:vMerge w:val="continue"/>
          </w:tcPr>
          <w:p>
            <w:pPr>
              <w:spacing w:after="0"/>
              <w:rPr>
                <w:sz w:val="17"/>
                <w:szCs w:val="17"/>
                <w:color w:val="auto"/>
              </w:rPr>
            </w:pPr>
          </w:p>
        </w:tc>
        <w:tc>
          <w:tcPr>
            <w:tcW w:w="1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89" w:lineRule="exact"/>
        <w:rPr>
          <w:sz w:val="20"/>
          <w:szCs w:val="20"/>
          <w:color w:val="auto"/>
        </w:rPr>
      </w:pPr>
    </w:p>
    <w:p>
      <w:pPr>
        <w:ind w:left="340" w:right="100" w:hanging="332"/>
        <w:spacing w:after="0" w:line="273" w:lineRule="auto"/>
        <w:tabs>
          <w:tab w:leader="none" w:pos="340" w:val="left"/>
        </w:tabs>
        <w:numPr>
          <w:ilvl w:val="0"/>
          <w:numId w:val="21"/>
        </w:numPr>
        <w:rPr>
          <w:rFonts w:ascii="Arial" w:cs="Arial" w:eastAsia="Arial" w:hAnsi="Arial"/>
          <w:sz w:val="14"/>
          <w:szCs w:val="14"/>
          <w:color w:val="auto"/>
        </w:rPr>
      </w:pPr>
      <w:r>
        <w:rPr>
          <w:rFonts w:ascii="Arial" w:cs="Arial" w:eastAsia="Arial" w:hAnsi="Arial"/>
          <w:sz w:val="14"/>
          <w:szCs w:val="14"/>
          <w:color w:val="auto"/>
        </w:rPr>
        <w:t>The shares were not re-acquired pursuant to any repurchase plan or program. The Company re-acquired shares of common stock from certain employees in order to satisfy the employees’ tax liability in connection with the vesting of restricted stock.</w:t>
      </w:r>
    </w:p>
    <w:p>
      <w:pPr>
        <w:spacing w:after="0" w:line="17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180"/>
          </w:cols>
          <w:pgMar w:left="320" w:top="449" w:right="399" w:bottom="1440" w:gutter="0" w:footer="0" w:header="0"/>
        </w:sectPr>
      </w:pPr>
    </w:p>
    <w:bookmarkStart w:id="41" w:name="page42"/>
    <w:bookmarkEnd w:id="4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20" w:type="dxa"/>
            <w:vAlign w:val="bottom"/>
            <w:gridSpan w:val="2"/>
          </w:tcPr>
          <w:p>
            <w:pPr>
              <w:ind w:left="40"/>
              <w:spacing w:after="0"/>
              <w:rPr>
                <w:sz w:val="20"/>
                <w:szCs w:val="20"/>
                <w:color w:val="auto"/>
              </w:rPr>
            </w:pPr>
            <w:r>
              <w:rPr>
                <w:rFonts w:ascii="Arial" w:cs="Arial" w:eastAsia="Arial" w:hAnsi="Arial"/>
                <w:sz w:val="14"/>
                <w:szCs w:val="14"/>
                <w:b w:val="1"/>
                <w:bCs w:val="1"/>
                <w:color w:val="auto"/>
              </w:rPr>
              <w:t>Exhibit</w:t>
            </w:r>
          </w:p>
        </w:tc>
        <w:tc>
          <w:tcPr>
            <w:tcW w:w="2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920" w:type="dxa"/>
            <w:vAlign w:val="bottom"/>
            <w:gridSpan w:val="12"/>
            <w:vMerge w:val="restart"/>
          </w:tcPr>
          <w:p>
            <w:pPr>
              <w:ind w:left="46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92"/>
        </w:trPr>
        <w:tc>
          <w:tcPr>
            <w:tcW w:w="1020" w:type="dxa"/>
            <w:vAlign w:val="bottom"/>
            <w:gridSpan w:val="2"/>
          </w:tcPr>
          <w:p>
            <w:pPr>
              <w:ind w:left="40"/>
              <w:spacing w:after="0"/>
              <w:rPr>
                <w:sz w:val="20"/>
                <w:szCs w:val="20"/>
                <w:color w:val="auto"/>
              </w:rPr>
            </w:pPr>
            <w:r>
              <w:rPr>
                <w:rFonts w:ascii="Arial" w:cs="Arial" w:eastAsia="Arial" w:hAnsi="Arial"/>
                <w:sz w:val="14"/>
                <w:szCs w:val="14"/>
                <w:b w:val="1"/>
                <w:bCs w:val="1"/>
                <w:color w:val="auto"/>
              </w:rPr>
              <w:t>Number</w:t>
            </w:r>
          </w:p>
        </w:tc>
        <w:tc>
          <w:tcPr>
            <w:tcW w:w="20" w:type="dxa"/>
            <w:vAlign w:val="bottom"/>
          </w:tcPr>
          <w:p>
            <w:pPr>
              <w:spacing w:after="0"/>
              <w:rPr>
                <w:sz w:val="16"/>
                <w:szCs w:val="16"/>
                <w:color w:val="auto"/>
              </w:rPr>
            </w:pPr>
          </w:p>
        </w:tc>
        <w:tc>
          <w:tcPr>
            <w:tcW w:w="24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920" w:type="dxa"/>
            <w:vAlign w:val="bottom"/>
            <w:gridSpan w:val="1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24"/>
        </w:trPr>
        <w:tc>
          <w:tcPr>
            <w:tcW w:w="920" w:type="dxa"/>
            <w:vAlign w:val="bottom"/>
            <w:tcBorders>
              <w:top w:val="single" w:sz="8" w:color="auto"/>
            </w:tcBorders>
          </w:tcPr>
          <w:p>
            <w:pPr>
              <w:jc w:val="center"/>
              <w:ind w:left="53"/>
              <w:spacing w:after="0"/>
              <w:rPr>
                <w:sz w:val="20"/>
                <w:szCs w:val="20"/>
                <w:color w:val="auto"/>
              </w:rPr>
            </w:pPr>
            <w:r>
              <w:rPr>
                <w:rFonts w:ascii="Arial" w:cs="Arial" w:eastAsia="Arial" w:hAnsi="Arial"/>
                <w:sz w:val="18"/>
                <w:szCs w:val="18"/>
                <w:color w:val="auto"/>
                <w:w w:val="87"/>
              </w:rPr>
              <w:t>3.1</w:t>
            </w:r>
          </w:p>
        </w:tc>
        <w:tc>
          <w:tcPr>
            <w:tcW w:w="100" w:type="dxa"/>
            <w:vAlign w:val="bottom"/>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0020" w:type="dxa"/>
            <w:vAlign w:val="bottom"/>
            <w:tcBorders>
              <w:top w:val="single" w:sz="8" w:color="auto"/>
              <w:bottom w:val="single" w:sz="8" w:color="0000FF"/>
            </w:tcBorders>
            <w:gridSpan w:val="12"/>
          </w:tcPr>
          <w:p>
            <w:pPr>
              <w:spacing w:after="0"/>
              <w:rPr>
                <w:rFonts w:ascii="Arial" w:cs="Arial" w:eastAsia="Arial" w:hAnsi="Arial"/>
                <w:sz w:val="18"/>
                <w:szCs w:val="18"/>
                <w:color w:val="0000FF"/>
                <w:w w:val="90"/>
              </w:rPr>
            </w:pPr>
            <w:hyperlink r:id="rId52">
              <w:r>
                <w:rPr>
                  <w:rFonts w:ascii="Arial" w:cs="Arial" w:eastAsia="Arial" w:hAnsi="Arial"/>
                  <w:sz w:val="18"/>
                  <w:szCs w:val="18"/>
                  <w:color w:val="0000FF"/>
                  <w:w w:val="90"/>
                </w:rPr>
                <w:t>Amended and Restated Certificate of Formation of Matador Resources Company (incorporated by reference to Exhibit 3.2 to the Quarterly</w:t>
              </w:r>
            </w:hyperlink>
          </w:p>
        </w:tc>
        <w:tc>
          <w:tcPr>
            <w:tcW w:w="180" w:type="dxa"/>
            <w:vAlign w:val="bottom"/>
            <w:tcBorders>
              <w:top w:val="single" w:sz="8" w:color="auto"/>
            </w:tcBorders>
            <w:gridSpan w:val="5"/>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80" w:type="dxa"/>
            <w:vAlign w:val="bottom"/>
            <w:tcBorders>
              <w:bottom w:val="single" w:sz="8" w:color="0000FF"/>
            </w:tcBorders>
            <w:gridSpan w:val="5"/>
          </w:tcPr>
          <w:p>
            <w:pPr>
              <w:spacing w:after="0" w:line="196" w:lineRule="exact"/>
              <w:rPr>
                <w:rFonts w:ascii="Arial" w:cs="Arial" w:eastAsia="Arial" w:hAnsi="Arial"/>
                <w:sz w:val="18"/>
                <w:szCs w:val="18"/>
                <w:color w:val="0000FF"/>
                <w:w w:val="89"/>
              </w:rPr>
            </w:pPr>
            <w:hyperlink r:id="rId52">
              <w:r>
                <w:rPr>
                  <w:rFonts w:ascii="Arial" w:cs="Arial" w:eastAsia="Arial" w:hAnsi="Arial"/>
                  <w:sz w:val="18"/>
                  <w:szCs w:val="18"/>
                  <w:color w:val="0000FF"/>
                  <w:w w:val="89"/>
                </w:rPr>
                <w:t>Report on Form 10-Q for the quarter ended June 30, 2017).</w:t>
              </w:r>
            </w:hyperlink>
          </w:p>
        </w:tc>
        <w:tc>
          <w:tcPr>
            <w:tcW w:w="5920" w:type="dxa"/>
            <w:vAlign w:val="bottom"/>
            <w:gridSpan w:val="12"/>
          </w:tcPr>
          <w:p>
            <w:pPr>
              <w:spacing w:after="0"/>
              <w:rPr>
                <w:sz w:val="17"/>
                <w:szCs w:val="17"/>
                <w:color w:val="auto"/>
              </w:rPr>
            </w:pPr>
          </w:p>
        </w:tc>
        <w:tc>
          <w:tcPr>
            <w:tcW w:w="0" w:type="dxa"/>
            <w:vAlign w:val="bottom"/>
          </w:tcPr>
          <w:p>
            <w:pPr>
              <w:spacing w:after="0"/>
              <w:rPr>
                <w:sz w:val="1"/>
                <w:szCs w:val="1"/>
                <w:color w:val="auto"/>
              </w:rPr>
            </w:pPr>
          </w:p>
        </w:tc>
      </w:tr>
      <w:tr>
        <w:trPr>
          <w:trHeight w:val="372"/>
        </w:trPr>
        <w:tc>
          <w:tcPr>
            <w:tcW w:w="920" w:type="dxa"/>
            <w:vAlign w:val="bottom"/>
          </w:tcPr>
          <w:p>
            <w:pPr>
              <w:jc w:val="center"/>
              <w:ind w:left="53"/>
              <w:spacing w:after="0"/>
              <w:rPr>
                <w:sz w:val="20"/>
                <w:szCs w:val="20"/>
                <w:color w:val="auto"/>
              </w:rPr>
            </w:pPr>
            <w:r>
              <w:rPr>
                <w:rFonts w:ascii="Arial" w:cs="Arial" w:eastAsia="Arial" w:hAnsi="Arial"/>
                <w:sz w:val="18"/>
                <w:szCs w:val="18"/>
                <w:color w:val="auto"/>
                <w:w w:val="87"/>
              </w:rPr>
              <w:t>3.2</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80" w:type="dxa"/>
            <w:vAlign w:val="bottom"/>
            <w:tcBorders>
              <w:bottom w:val="single" w:sz="8" w:color="0000FF"/>
            </w:tcBorders>
            <w:gridSpan w:val="7"/>
          </w:tcPr>
          <w:p>
            <w:pPr>
              <w:spacing w:after="0"/>
              <w:rPr>
                <w:rFonts w:ascii="Arial" w:cs="Arial" w:eastAsia="Arial" w:hAnsi="Arial"/>
                <w:sz w:val="18"/>
                <w:szCs w:val="18"/>
                <w:color w:val="0000FF"/>
                <w:w w:val="91"/>
              </w:rPr>
            </w:pPr>
            <w:hyperlink r:id="rId53">
              <w:r>
                <w:rPr>
                  <w:rFonts w:ascii="Arial" w:cs="Arial" w:eastAsia="Arial" w:hAnsi="Arial"/>
                  <w:sz w:val="18"/>
                  <w:szCs w:val="18"/>
                  <w:color w:val="0000FF"/>
                  <w:w w:val="91"/>
                </w:rPr>
                <w:t>Certificate of Amendment to the Amended and Restated Certificate of Formation of Matador Resources Company dated April 2, 2015</w:t>
              </w:r>
            </w:hyperlink>
          </w:p>
        </w:tc>
        <w:tc>
          <w:tcPr>
            <w:tcW w:w="520" w:type="dxa"/>
            <w:vAlign w:val="bottom"/>
            <w:gridSpan w:val="10"/>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200" w:type="dxa"/>
            <w:vAlign w:val="bottom"/>
            <w:gridSpan w:val="17"/>
          </w:tcPr>
          <w:p>
            <w:pPr>
              <w:spacing w:after="0"/>
              <w:rPr>
                <w:rFonts w:ascii="Arial" w:cs="Arial" w:eastAsia="Arial" w:hAnsi="Arial"/>
                <w:sz w:val="18"/>
                <w:szCs w:val="18"/>
                <w:u w:val="single" w:color="auto"/>
                <w:color w:val="0000FF"/>
              </w:rPr>
            </w:pPr>
            <w:hyperlink r:id="rId53">
              <w:r>
                <w:rPr>
                  <w:rFonts w:ascii="Arial" w:cs="Arial" w:eastAsia="Arial" w:hAnsi="Arial"/>
                  <w:sz w:val="18"/>
                  <w:szCs w:val="18"/>
                  <w:u w:val="single" w:color="auto"/>
                  <w:color w:val="0000FF"/>
                </w:rPr>
                <w:t>(incorporated by reference to Exhibit 3.3 to the Quarterly Report on Form 10-Q for the quarter ended June 30, 2017).</w:t>
              </w:r>
            </w:hyperlink>
          </w:p>
        </w:tc>
        <w:tc>
          <w:tcPr>
            <w:tcW w:w="0" w:type="dxa"/>
            <w:vAlign w:val="bottom"/>
          </w:tcPr>
          <w:p>
            <w:pPr>
              <w:spacing w:after="0"/>
              <w:rPr>
                <w:sz w:val="1"/>
                <w:szCs w:val="1"/>
                <w:color w:val="auto"/>
              </w:rPr>
            </w:pPr>
          </w:p>
        </w:tc>
      </w:tr>
      <w:tr>
        <w:trPr>
          <w:trHeight w:val="351"/>
        </w:trPr>
        <w:tc>
          <w:tcPr>
            <w:tcW w:w="920" w:type="dxa"/>
            <w:vAlign w:val="bottom"/>
          </w:tcPr>
          <w:p>
            <w:pPr>
              <w:jc w:val="center"/>
              <w:ind w:left="53"/>
              <w:spacing w:after="0"/>
              <w:rPr>
                <w:sz w:val="20"/>
                <w:szCs w:val="20"/>
                <w:color w:val="auto"/>
              </w:rPr>
            </w:pPr>
            <w:r>
              <w:rPr>
                <w:rFonts w:ascii="Arial" w:cs="Arial" w:eastAsia="Arial" w:hAnsi="Arial"/>
                <w:sz w:val="18"/>
                <w:szCs w:val="18"/>
                <w:color w:val="auto"/>
                <w:w w:val="87"/>
              </w:rPr>
              <w:t>3.3</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200" w:type="dxa"/>
            <w:vAlign w:val="bottom"/>
            <w:gridSpan w:val="17"/>
          </w:tcPr>
          <w:p>
            <w:pPr>
              <w:spacing w:after="0"/>
              <w:rPr>
                <w:rFonts w:ascii="Arial" w:cs="Arial" w:eastAsia="Arial" w:hAnsi="Arial"/>
                <w:sz w:val="18"/>
                <w:szCs w:val="18"/>
                <w:color w:val="0000FF"/>
                <w:w w:val="93"/>
              </w:rPr>
            </w:pPr>
            <w:hyperlink r:id="rId54">
              <w:r>
                <w:rPr>
                  <w:rFonts w:ascii="Arial" w:cs="Arial" w:eastAsia="Arial" w:hAnsi="Arial"/>
                  <w:sz w:val="18"/>
                  <w:szCs w:val="18"/>
                  <w:color w:val="0000FF"/>
                  <w:w w:val="93"/>
                </w:rPr>
                <w:t>Certificate of Amendment to the Amended and Restated Certificate of Formation of Matador Resources Company effective June 2, 2017</w:t>
              </w:r>
            </w:hyperlink>
          </w:p>
        </w:tc>
        <w:tc>
          <w:tcPr>
            <w:tcW w:w="0" w:type="dxa"/>
            <w:vAlign w:val="bottom"/>
          </w:tcPr>
          <w:p>
            <w:pPr>
              <w:spacing w:after="0"/>
              <w:rPr>
                <w:sz w:val="1"/>
                <w:szCs w:val="1"/>
                <w:color w:val="auto"/>
              </w:rPr>
            </w:pPr>
          </w:p>
        </w:tc>
      </w:tr>
      <w:tr>
        <w:trPr>
          <w:trHeight w:val="237"/>
        </w:trPr>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860" w:type="dxa"/>
            <w:vAlign w:val="bottom"/>
            <w:tcBorders>
              <w:top w:val="single" w:sz="8" w:color="0000FF"/>
            </w:tcBorders>
            <w:gridSpan w:val="9"/>
          </w:tcPr>
          <w:p>
            <w:pPr>
              <w:spacing w:after="0"/>
              <w:rPr>
                <w:rFonts w:ascii="Arial" w:cs="Arial" w:eastAsia="Arial" w:hAnsi="Arial"/>
                <w:sz w:val="18"/>
                <w:szCs w:val="18"/>
                <w:u w:val="single" w:color="auto"/>
                <w:color w:val="0000FF"/>
              </w:rPr>
            </w:pPr>
            <w:hyperlink r:id="rId54">
              <w:r>
                <w:rPr>
                  <w:rFonts w:ascii="Arial" w:cs="Arial" w:eastAsia="Arial" w:hAnsi="Arial"/>
                  <w:sz w:val="18"/>
                  <w:szCs w:val="18"/>
                  <w:u w:val="single" w:color="auto"/>
                  <w:color w:val="0000FF"/>
                </w:rPr>
                <w:t>(incorporated by reference to Exhibit 3.4 to the Quarterly Report on Form 10-Q for the quarter ended June 30, 2017).</w:t>
              </w:r>
            </w:hyperlink>
          </w:p>
        </w:tc>
        <w:tc>
          <w:tcPr>
            <w:tcW w:w="340" w:type="dxa"/>
            <w:vAlign w:val="bottom"/>
            <w:gridSpan w:val="8"/>
          </w:tcPr>
          <w:p>
            <w:pPr>
              <w:spacing w:after="0"/>
              <w:rPr>
                <w:sz w:val="20"/>
                <w:szCs w:val="20"/>
                <w:color w:val="auto"/>
              </w:rPr>
            </w:pPr>
          </w:p>
        </w:tc>
        <w:tc>
          <w:tcPr>
            <w:tcW w:w="0" w:type="dxa"/>
            <w:vAlign w:val="bottom"/>
          </w:tcPr>
          <w:p>
            <w:pPr>
              <w:spacing w:after="0"/>
              <w:rPr>
                <w:sz w:val="1"/>
                <w:szCs w:val="1"/>
                <w:color w:val="auto"/>
              </w:rPr>
            </w:pPr>
          </w:p>
        </w:tc>
      </w:tr>
      <w:tr>
        <w:trPr>
          <w:trHeight w:val="351"/>
        </w:trPr>
        <w:tc>
          <w:tcPr>
            <w:tcW w:w="920" w:type="dxa"/>
            <w:vAlign w:val="bottom"/>
          </w:tcPr>
          <w:p>
            <w:pPr>
              <w:jc w:val="center"/>
              <w:ind w:left="53"/>
              <w:spacing w:after="0"/>
              <w:rPr>
                <w:sz w:val="20"/>
                <w:szCs w:val="20"/>
                <w:color w:val="auto"/>
              </w:rPr>
            </w:pPr>
            <w:r>
              <w:rPr>
                <w:rFonts w:ascii="Arial" w:cs="Arial" w:eastAsia="Arial" w:hAnsi="Arial"/>
                <w:sz w:val="18"/>
                <w:szCs w:val="18"/>
                <w:color w:val="auto"/>
                <w:w w:val="87"/>
              </w:rPr>
              <w:t>3.4</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200" w:type="dxa"/>
            <w:vAlign w:val="bottom"/>
            <w:gridSpan w:val="17"/>
          </w:tcPr>
          <w:p>
            <w:pPr>
              <w:spacing w:after="0"/>
              <w:rPr>
                <w:rFonts w:ascii="Arial" w:cs="Arial" w:eastAsia="Arial" w:hAnsi="Arial"/>
                <w:sz w:val="18"/>
                <w:szCs w:val="18"/>
                <w:color w:val="0000FF"/>
                <w:w w:val="90"/>
              </w:rPr>
            </w:pPr>
            <w:hyperlink r:id="rId55">
              <w:r>
                <w:rPr>
                  <w:rFonts w:ascii="Arial" w:cs="Arial" w:eastAsia="Arial" w:hAnsi="Arial"/>
                  <w:sz w:val="18"/>
                  <w:szCs w:val="18"/>
                  <w:color w:val="0000FF"/>
                  <w:w w:val="90"/>
                </w:rPr>
                <w:t>Amended and Restated Bylaws of Matador Resources Company, as amended (incorporated by reference to Exhibit 3.1 to the Current Report</w:t>
              </w:r>
            </w:hyperlink>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120" w:type="dxa"/>
            <w:vAlign w:val="bottom"/>
            <w:tcBorders>
              <w:top w:val="single" w:sz="8" w:color="0000FF"/>
            </w:tcBorders>
            <w:gridSpan w:val="15"/>
          </w:tcPr>
          <w:p>
            <w:pPr>
              <w:spacing w:after="0" w:line="196" w:lineRule="exact"/>
              <w:rPr>
                <w:rFonts w:ascii="Arial" w:cs="Arial" w:eastAsia="Arial" w:hAnsi="Arial"/>
                <w:sz w:val="18"/>
                <w:szCs w:val="18"/>
                <w:color w:val="0000FF"/>
              </w:rPr>
            </w:pPr>
            <w:hyperlink r:id="rId55">
              <w:r>
                <w:rPr>
                  <w:rFonts w:ascii="Arial" w:cs="Arial" w:eastAsia="Arial" w:hAnsi="Arial"/>
                  <w:sz w:val="18"/>
                  <w:szCs w:val="18"/>
                  <w:color w:val="0000FF"/>
                </w:rPr>
                <w:t>on Form 8-K filed on February 22, 2018).</w:t>
              </w:r>
            </w:hyperlink>
          </w:p>
        </w:tc>
        <w:tc>
          <w:tcPr>
            <w:tcW w:w="8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4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0" w:type="dxa"/>
            <w:vAlign w:val="bottom"/>
            <w:gridSpan w:val="2"/>
          </w:tcPr>
          <w:p>
            <w:pPr>
              <w:spacing w:after="0" w:line="20" w:lineRule="exact"/>
              <w:rPr>
                <w:sz w:val="1"/>
                <w:szCs w:val="1"/>
                <w:color w:val="auto"/>
              </w:rPr>
            </w:pPr>
          </w:p>
        </w:tc>
        <w:tc>
          <w:tcPr>
            <w:tcW w:w="380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1020" w:type="dxa"/>
            <w:vAlign w:val="bottom"/>
            <w:gridSpan w:val="2"/>
          </w:tcPr>
          <w:p>
            <w:pPr>
              <w:jc w:val="center"/>
              <w:spacing w:after="0"/>
              <w:rPr>
                <w:sz w:val="20"/>
                <w:szCs w:val="20"/>
                <w:color w:val="auto"/>
              </w:rPr>
            </w:pPr>
            <w:r>
              <w:rPr>
                <w:rFonts w:ascii="Arial" w:cs="Arial" w:eastAsia="Arial" w:hAnsi="Arial"/>
                <w:sz w:val="18"/>
                <w:szCs w:val="18"/>
                <w:color w:val="auto"/>
                <w:w w:val="93"/>
              </w:rPr>
              <w:t>10.1†</w:t>
            </w:r>
          </w:p>
        </w:tc>
        <w:tc>
          <w:tcPr>
            <w:tcW w:w="20" w:type="dxa"/>
            <w:vAlign w:val="bottom"/>
          </w:tcPr>
          <w:p>
            <w:pPr>
              <w:spacing w:after="0"/>
              <w:rPr>
                <w:sz w:val="24"/>
                <w:szCs w:val="24"/>
                <w:color w:val="auto"/>
              </w:rPr>
            </w:pPr>
          </w:p>
        </w:tc>
        <w:tc>
          <w:tcPr>
            <w:tcW w:w="10140" w:type="dxa"/>
            <w:vAlign w:val="bottom"/>
            <w:tcBorders>
              <w:bottom w:val="single" w:sz="8" w:color="0000FF"/>
            </w:tcBorders>
            <w:gridSpan w:val="16"/>
          </w:tcPr>
          <w:p>
            <w:pPr>
              <w:spacing w:after="0"/>
              <w:rPr>
                <w:rFonts w:ascii="Arial" w:cs="Arial" w:eastAsia="Arial" w:hAnsi="Arial"/>
                <w:sz w:val="18"/>
                <w:szCs w:val="18"/>
                <w:color w:val="0000FF"/>
                <w:w w:val="90"/>
              </w:rPr>
            </w:pPr>
            <w:hyperlink w:anchor="page44">
              <w:r>
                <w:rPr>
                  <w:rFonts w:ascii="Arial" w:cs="Arial" w:eastAsia="Arial" w:hAnsi="Arial"/>
                  <w:sz w:val="18"/>
                  <w:szCs w:val="18"/>
                  <w:color w:val="0000FF"/>
                  <w:w w:val="90"/>
                </w:rPr>
                <w:t>Form of Phantom Unit Award Agreement for awards under the Matador Resources Company 2019 Long-Term Incentive Plan for employees</w:t>
              </w:r>
            </w:hyperlink>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360" w:type="dxa"/>
            <w:vAlign w:val="bottom"/>
            <w:tcBorders>
              <w:bottom w:val="single" w:sz="8" w:color="0000FF"/>
            </w:tcBorders>
            <w:gridSpan w:val="3"/>
          </w:tcPr>
          <w:p>
            <w:pPr>
              <w:spacing w:after="0" w:line="196" w:lineRule="exact"/>
              <w:rPr>
                <w:rFonts w:ascii="Arial" w:cs="Arial" w:eastAsia="Arial" w:hAnsi="Arial"/>
                <w:sz w:val="18"/>
                <w:szCs w:val="18"/>
                <w:color w:val="0000FF"/>
                <w:w w:val="91"/>
              </w:rPr>
            </w:pPr>
            <w:hyperlink w:anchor="page44">
              <w:r>
                <w:rPr>
                  <w:rFonts w:ascii="Arial" w:cs="Arial" w:eastAsia="Arial" w:hAnsi="Arial"/>
                  <w:sz w:val="18"/>
                  <w:szCs w:val="18"/>
                  <w:color w:val="0000FF"/>
                  <w:w w:val="91"/>
                </w:rPr>
                <w:t>with employment agreements (filed herewith).</w:t>
              </w:r>
            </w:hyperlink>
          </w:p>
        </w:tc>
        <w:tc>
          <w:tcPr>
            <w:tcW w:w="6840" w:type="dxa"/>
            <w:vAlign w:val="bottom"/>
            <w:gridSpan w:val="14"/>
          </w:tcPr>
          <w:p>
            <w:pPr>
              <w:spacing w:after="0"/>
              <w:rPr>
                <w:sz w:val="17"/>
                <w:szCs w:val="17"/>
                <w:color w:val="auto"/>
              </w:rPr>
            </w:pPr>
          </w:p>
        </w:tc>
        <w:tc>
          <w:tcPr>
            <w:tcW w:w="0" w:type="dxa"/>
            <w:vAlign w:val="bottom"/>
          </w:tcPr>
          <w:p>
            <w:pPr>
              <w:spacing w:after="0"/>
              <w:rPr>
                <w:sz w:val="1"/>
                <w:szCs w:val="1"/>
                <w:color w:val="auto"/>
              </w:rPr>
            </w:pPr>
          </w:p>
        </w:tc>
      </w:tr>
      <w:tr>
        <w:trPr>
          <w:trHeight w:val="371"/>
        </w:trPr>
        <w:tc>
          <w:tcPr>
            <w:tcW w:w="1020" w:type="dxa"/>
            <w:vAlign w:val="bottom"/>
            <w:gridSpan w:val="2"/>
          </w:tcPr>
          <w:p>
            <w:pPr>
              <w:jc w:val="center"/>
              <w:spacing w:after="0"/>
              <w:rPr>
                <w:sz w:val="20"/>
                <w:szCs w:val="20"/>
                <w:color w:val="auto"/>
              </w:rPr>
            </w:pPr>
            <w:r>
              <w:rPr>
                <w:rFonts w:ascii="Arial" w:cs="Arial" w:eastAsia="Arial" w:hAnsi="Arial"/>
                <w:sz w:val="18"/>
                <w:szCs w:val="18"/>
                <w:color w:val="auto"/>
                <w:w w:val="93"/>
              </w:rPr>
              <w:t>10.2†</w:t>
            </w:r>
          </w:p>
        </w:tc>
        <w:tc>
          <w:tcPr>
            <w:tcW w:w="20" w:type="dxa"/>
            <w:vAlign w:val="bottom"/>
          </w:tcPr>
          <w:p>
            <w:pPr>
              <w:spacing w:after="0"/>
              <w:rPr>
                <w:sz w:val="24"/>
                <w:szCs w:val="24"/>
                <w:color w:val="auto"/>
              </w:rPr>
            </w:pPr>
          </w:p>
        </w:tc>
        <w:tc>
          <w:tcPr>
            <w:tcW w:w="10060" w:type="dxa"/>
            <w:vAlign w:val="bottom"/>
            <w:tcBorders>
              <w:bottom w:val="single" w:sz="8" w:color="0000FF"/>
            </w:tcBorders>
            <w:gridSpan w:val="13"/>
          </w:tcPr>
          <w:p>
            <w:pPr>
              <w:spacing w:after="0"/>
              <w:rPr>
                <w:rFonts w:ascii="Arial" w:cs="Arial" w:eastAsia="Arial" w:hAnsi="Arial"/>
                <w:sz w:val="18"/>
                <w:szCs w:val="18"/>
                <w:color w:val="0000FF"/>
                <w:w w:val="91"/>
              </w:rPr>
            </w:pPr>
            <w:hyperlink w:anchor="page50">
              <w:r>
                <w:rPr>
                  <w:rFonts w:ascii="Arial" w:cs="Arial" w:eastAsia="Arial" w:hAnsi="Arial"/>
                  <w:sz w:val="18"/>
                  <w:szCs w:val="18"/>
                  <w:color w:val="0000FF"/>
                  <w:w w:val="91"/>
                </w:rPr>
                <w:t>Form of Performance Stock Unit Award Agreement for awards under the Matador Resources Company 2019 Long-Term Incentive Plan for</w:t>
              </w:r>
            </w:hyperlink>
          </w:p>
        </w:tc>
        <w:tc>
          <w:tcPr>
            <w:tcW w:w="140" w:type="dxa"/>
            <w:vAlign w:val="bottom"/>
            <w:gridSpan w:val="4"/>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200" w:type="dxa"/>
            <w:vAlign w:val="bottom"/>
            <w:gridSpan w:val="17"/>
          </w:tcPr>
          <w:p>
            <w:pPr>
              <w:spacing w:after="0" w:line="196" w:lineRule="exact"/>
              <w:rPr>
                <w:rFonts w:ascii="Arial" w:cs="Arial" w:eastAsia="Arial" w:hAnsi="Arial"/>
                <w:sz w:val="18"/>
                <w:szCs w:val="18"/>
                <w:color w:val="0000FF"/>
              </w:rPr>
            </w:pPr>
            <w:hyperlink w:anchor="page50">
              <w:r>
                <w:rPr>
                  <w:rFonts w:ascii="Arial" w:cs="Arial" w:eastAsia="Arial" w:hAnsi="Arial"/>
                  <w:sz w:val="18"/>
                  <w:szCs w:val="18"/>
                  <w:color w:val="0000FF"/>
                </w:rPr>
                <w:t>employees with employment agreements (filed herewith).</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40" w:type="dxa"/>
            <w:vAlign w:val="bottom"/>
            <w:shd w:val="clear" w:color="auto" w:fill="0000FF"/>
          </w:tcPr>
          <w:p>
            <w:pPr>
              <w:spacing w:after="0" w:line="20" w:lineRule="exact"/>
              <w:rPr>
                <w:sz w:val="1"/>
                <w:szCs w:val="1"/>
                <w:color w:val="auto"/>
              </w:rPr>
            </w:pPr>
          </w:p>
        </w:tc>
        <w:tc>
          <w:tcPr>
            <w:tcW w:w="1720" w:type="dxa"/>
            <w:vAlign w:val="bottom"/>
            <w:gridSpan w:val="3"/>
            <w:shd w:val="clear" w:color="auto" w:fill="0000FF"/>
          </w:tcPr>
          <w:p>
            <w:pPr>
              <w:spacing w:after="0" w:line="20" w:lineRule="exact"/>
              <w:rPr>
                <w:sz w:val="1"/>
                <w:szCs w:val="1"/>
                <w:color w:val="auto"/>
              </w:rPr>
            </w:pPr>
          </w:p>
        </w:tc>
        <w:tc>
          <w:tcPr>
            <w:tcW w:w="1800" w:type="dxa"/>
            <w:vAlign w:val="bottom"/>
            <w:gridSpan w:val="2"/>
          </w:tcPr>
          <w:p>
            <w:pPr>
              <w:spacing w:after="0" w:line="20" w:lineRule="exact"/>
              <w:rPr>
                <w:sz w:val="1"/>
                <w:szCs w:val="1"/>
                <w:color w:val="auto"/>
              </w:rPr>
            </w:pPr>
          </w:p>
        </w:tc>
        <w:tc>
          <w:tcPr>
            <w:tcW w:w="380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920" w:type="dxa"/>
            <w:vAlign w:val="bottom"/>
          </w:tcPr>
          <w:p>
            <w:pPr>
              <w:jc w:val="center"/>
              <w:ind w:left="53"/>
              <w:spacing w:after="0"/>
              <w:rPr>
                <w:sz w:val="20"/>
                <w:szCs w:val="20"/>
                <w:color w:val="auto"/>
              </w:rPr>
            </w:pPr>
            <w:r>
              <w:rPr>
                <w:rFonts w:ascii="Arial" w:cs="Arial" w:eastAsia="Arial" w:hAnsi="Arial"/>
                <w:sz w:val="18"/>
                <w:szCs w:val="18"/>
                <w:color w:val="auto"/>
                <w:w w:val="85"/>
              </w:rPr>
              <w:t>10.3</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760" w:type="dxa"/>
            <w:vAlign w:val="bottom"/>
            <w:tcBorders>
              <w:bottom w:val="single" w:sz="8" w:color="0000FF"/>
            </w:tcBorders>
            <w:gridSpan w:val="8"/>
          </w:tcPr>
          <w:p>
            <w:pPr>
              <w:spacing w:after="0"/>
              <w:rPr>
                <w:rFonts w:ascii="Arial" w:cs="Arial" w:eastAsia="Arial" w:hAnsi="Arial"/>
                <w:sz w:val="18"/>
                <w:szCs w:val="18"/>
                <w:color w:val="0000FF"/>
                <w:w w:val="90"/>
              </w:rPr>
            </w:pPr>
            <w:hyperlink r:id="rId56">
              <w:r>
                <w:rPr>
                  <w:rFonts w:ascii="Arial" w:cs="Arial" w:eastAsia="Arial" w:hAnsi="Arial"/>
                  <w:sz w:val="18"/>
                  <w:szCs w:val="18"/>
                  <w:color w:val="0000FF"/>
                  <w:w w:val="90"/>
                </w:rPr>
                <w:t>Fourteenth Amendment to Third Amended and Restated Credit Agreement, dated as of February 27, 2020, by and among MRC Energy</w:t>
              </w:r>
            </w:hyperlink>
          </w:p>
        </w:tc>
        <w:tc>
          <w:tcPr>
            <w:tcW w:w="440" w:type="dxa"/>
            <w:vAlign w:val="bottom"/>
            <w:gridSpan w:val="9"/>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200" w:type="dxa"/>
            <w:vAlign w:val="bottom"/>
            <w:gridSpan w:val="17"/>
          </w:tcPr>
          <w:p>
            <w:pPr>
              <w:spacing w:after="0" w:line="196" w:lineRule="exact"/>
              <w:rPr>
                <w:rFonts w:ascii="Arial" w:cs="Arial" w:eastAsia="Arial" w:hAnsi="Arial"/>
                <w:sz w:val="18"/>
                <w:szCs w:val="18"/>
                <w:color w:val="0000FF"/>
                <w:w w:val="91"/>
              </w:rPr>
            </w:pPr>
            <w:hyperlink r:id="rId56">
              <w:r>
                <w:rPr>
                  <w:rFonts w:ascii="Arial" w:cs="Arial" w:eastAsia="Arial" w:hAnsi="Arial"/>
                  <w:sz w:val="18"/>
                  <w:szCs w:val="18"/>
                  <w:color w:val="0000FF"/>
                  <w:w w:val="91"/>
                </w:rPr>
                <w:t>Company, as Borrower, the Lenders party thereto and Royal Bank of Canada, as Administrative Agent (incorporated by reference to Exhibit</w:t>
              </w:r>
            </w:hyperlink>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960" w:type="dxa"/>
            <w:vAlign w:val="bottom"/>
            <w:tcBorders>
              <w:top w:val="single" w:sz="8" w:color="0000FF"/>
              <w:bottom w:val="single" w:sz="8" w:color="0000FF"/>
            </w:tcBorders>
            <w:gridSpan w:val="6"/>
          </w:tcPr>
          <w:p>
            <w:pPr>
              <w:spacing w:after="0" w:line="196" w:lineRule="exact"/>
              <w:rPr>
                <w:rFonts w:ascii="Arial" w:cs="Arial" w:eastAsia="Arial" w:hAnsi="Arial"/>
                <w:sz w:val="18"/>
                <w:szCs w:val="18"/>
                <w:color w:val="0000FF"/>
                <w:w w:val="90"/>
              </w:rPr>
            </w:pPr>
            <w:hyperlink r:id="rId56">
              <w:r>
                <w:rPr>
                  <w:rFonts w:ascii="Arial" w:cs="Arial" w:eastAsia="Arial" w:hAnsi="Arial"/>
                  <w:sz w:val="18"/>
                  <w:szCs w:val="18"/>
                  <w:color w:val="0000FF"/>
                  <w:w w:val="90"/>
                </w:rPr>
                <w:t>10.</w:t>
              </w:r>
              <w:r>
                <w:rPr>
                  <w:rFonts w:ascii="Arial" w:cs="Arial" w:eastAsia="Arial" w:hAnsi="Arial"/>
                  <w:sz w:val="18"/>
                  <w:szCs w:val="18"/>
                  <w:u w:val="single" w:color="auto"/>
                  <w:color w:val="0000FF"/>
                  <w:w w:val="90"/>
                </w:rPr>
                <w:t>55</w:t>
              </w:r>
              <w:r>
                <w:rPr>
                  <w:rFonts w:ascii="Arial" w:cs="Arial" w:eastAsia="Arial" w:hAnsi="Arial"/>
                  <w:sz w:val="18"/>
                  <w:szCs w:val="18"/>
                  <w:color w:val="0000FF"/>
                  <w:w w:val="90"/>
                </w:rPr>
                <w:t xml:space="preserve"> to the Annual Report on Form 10-K for the year ended December 31, 2019).</w:t>
              </w:r>
            </w:hyperlink>
          </w:p>
        </w:tc>
        <w:tc>
          <w:tcPr>
            <w:tcW w:w="4140" w:type="dxa"/>
            <w:vAlign w:val="bottom"/>
            <w:tcBorders>
              <w:top w:val="single" w:sz="8" w:color="0000FF"/>
            </w:tcBorders>
            <w:gridSpan w:val="8"/>
          </w:tcPr>
          <w:p>
            <w:pPr>
              <w:spacing w:after="0"/>
              <w:rPr>
                <w:sz w:val="17"/>
                <w:szCs w:val="17"/>
                <w:color w:val="auto"/>
              </w:rPr>
            </w:pPr>
          </w:p>
        </w:tc>
        <w:tc>
          <w:tcPr>
            <w:tcW w:w="10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920" w:type="dxa"/>
            <w:vAlign w:val="bottom"/>
          </w:tcPr>
          <w:p>
            <w:pPr>
              <w:jc w:val="center"/>
              <w:ind w:left="53"/>
              <w:spacing w:after="0"/>
              <w:rPr>
                <w:sz w:val="20"/>
                <w:szCs w:val="20"/>
                <w:color w:val="auto"/>
              </w:rPr>
            </w:pPr>
            <w:r>
              <w:rPr>
                <w:rFonts w:ascii="Arial" w:cs="Arial" w:eastAsia="Arial" w:hAnsi="Arial"/>
                <w:sz w:val="18"/>
                <w:szCs w:val="18"/>
                <w:color w:val="auto"/>
                <w:w w:val="85"/>
              </w:rPr>
              <w:t>31.1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200" w:type="dxa"/>
            <w:vAlign w:val="bottom"/>
            <w:gridSpan w:val="17"/>
          </w:tcPr>
          <w:p>
            <w:pPr>
              <w:spacing w:after="0"/>
              <w:rPr>
                <w:rFonts w:ascii="Arial" w:cs="Arial" w:eastAsia="Arial" w:hAnsi="Arial"/>
                <w:sz w:val="18"/>
                <w:szCs w:val="18"/>
                <w:color w:val="0000FF"/>
              </w:rPr>
            </w:pPr>
            <w:hyperlink w:anchor="page59">
              <w:r>
                <w:rPr>
                  <w:rFonts w:ascii="Arial" w:cs="Arial" w:eastAsia="Arial" w:hAnsi="Arial"/>
                  <w:sz w:val="18"/>
                  <w:szCs w:val="18"/>
                  <w:u w:val="single" w:color="auto"/>
                  <w:color w:val="0000FF"/>
                </w:rPr>
                <w:t>Certification of Principal Executive Officer pursuant to Section 302 of the Sarbanes-Oxley Act of 2002 (filed herewith)</w:t>
              </w:r>
              <w:r>
                <w:rPr>
                  <w:rFonts w:ascii="Arial" w:cs="Arial" w:eastAsia="Arial" w:hAnsi="Arial"/>
                  <w:sz w:val="18"/>
                  <w:szCs w:val="18"/>
                  <w:color w:val="0000FF"/>
                </w:rPr>
                <w:t>.</w:t>
              </w:r>
            </w:hyperlink>
          </w:p>
        </w:tc>
        <w:tc>
          <w:tcPr>
            <w:tcW w:w="0" w:type="dxa"/>
            <w:vAlign w:val="bottom"/>
          </w:tcPr>
          <w:p>
            <w:pPr>
              <w:spacing w:after="0"/>
              <w:rPr>
                <w:sz w:val="1"/>
                <w:szCs w:val="1"/>
                <w:color w:val="auto"/>
              </w:rPr>
            </w:pPr>
          </w:p>
        </w:tc>
      </w:tr>
      <w:tr>
        <w:trPr>
          <w:trHeight w:val="392"/>
        </w:trPr>
        <w:tc>
          <w:tcPr>
            <w:tcW w:w="920" w:type="dxa"/>
            <w:vAlign w:val="bottom"/>
          </w:tcPr>
          <w:p>
            <w:pPr>
              <w:jc w:val="center"/>
              <w:ind w:left="53"/>
              <w:spacing w:after="0"/>
              <w:rPr>
                <w:sz w:val="20"/>
                <w:szCs w:val="20"/>
                <w:color w:val="auto"/>
              </w:rPr>
            </w:pPr>
            <w:r>
              <w:rPr>
                <w:rFonts w:ascii="Arial" w:cs="Arial" w:eastAsia="Arial" w:hAnsi="Arial"/>
                <w:sz w:val="18"/>
                <w:szCs w:val="18"/>
                <w:color w:val="auto"/>
                <w:w w:val="85"/>
              </w:rPr>
              <w:t>31.2</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200" w:type="dxa"/>
            <w:vAlign w:val="bottom"/>
            <w:gridSpan w:val="17"/>
          </w:tcPr>
          <w:p>
            <w:pPr>
              <w:spacing w:after="0"/>
              <w:rPr>
                <w:rFonts w:ascii="Arial" w:cs="Arial" w:eastAsia="Arial" w:hAnsi="Arial"/>
                <w:sz w:val="18"/>
                <w:szCs w:val="18"/>
                <w:u w:val="single" w:color="auto"/>
                <w:color w:val="0000FF"/>
              </w:rPr>
            </w:pPr>
            <w:hyperlink w:anchor="page60">
              <w:r>
                <w:rPr>
                  <w:rFonts w:ascii="Arial" w:cs="Arial" w:eastAsia="Arial" w:hAnsi="Arial"/>
                  <w:sz w:val="18"/>
                  <w:szCs w:val="18"/>
                  <w:u w:val="single" w:color="auto"/>
                  <w:color w:val="0000FF"/>
                </w:rPr>
                <w:t>Certification of Principal Financial Officer pursuant to Section 302 of the Sarbanes-Oxley Act of 2002 (filed herewith).</w:t>
              </w:r>
            </w:hyperlink>
          </w:p>
        </w:tc>
        <w:tc>
          <w:tcPr>
            <w:tcW w:w="0" w:type="dxa"/>
            <w:vAlign w:val="bottom"/>
          </w:tcPr>
          <w:p>
            <w:pPr>
              <w:spacing w:after="0"/>
              <w:rPr>
                <w:sz w:val="1"/>
                <w:szCs w:val="1"/>
                <w:color w:val="auto"/>
              </w:rPr>
            </w:pPr>
          </w:p>
        </w:tc>
      </w:tr>
      <w:tr>
        <w:trPr>
          <w:trHeight w:val="351"/>
        </w:trPr>
        <w:tc>
          <w:tcPr>
            <w:tcW w:w="920" w:type="dxa"/>
            <w:vAlign w:val="bottom"/>
          </w:tcPr>
          <w:p>
            <w:pPr>
              <w:jc w:val="center"/>
              <w:ind w:left="53"/>
              <w:spacing w:after="0"/>
              <w:rPr>
                <w:sz w:val="20"/>
                <w:szCs w:val="20"/>
                <w:color w:val="auto"/>
              </w:rPr>
            </w:pPr>
            <w:r>
              <w:rPr>
                <w:rFonts w:ascii="Arial" w:cs="Arial" w:eastAsia="Arial" w:hAnsi="Arial"/>
                <w:sz w:val="18"/>
                <w:szCs w:val="18"/>
                <w:color w:val="auto"/>
                <w:w w:val="85"/>
              </w:rPr>
              <w:t>32.1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200" w:type="dxa"/>
            <w:vAlign w:val="bottom"/>
            <w:gridSpan w:val="17"/>
          </w:tcPr>
          <w:p>
            <w:pPr>
              <w:spacing w:after="0"/>
              <w:rPr>
                <w:rFonts w:ascii="Arial" w:cs="Arial" w:eastAsia="Arial" w:hAnsi="Arial"/>
                <w:sz w:val="18"/>
                <w:szCs w:val="18"/>
                <w:color w:val="0000FF"/>
                <w:w w:val="92"/>
              </w:rPr>
            </w:pPr>
            <w:hyperlink w:anchor="page61">
              <w:r>
                <w:rPr>
                  <w:rFonts w:ascii="Arial" w:cs="Arial" w:eastAsia="Arial" w:hAnsi="Arial"/>
                  <w:sz w:val="18"/>
                  <w:szCs w:val="18"/>
                  <w:color w:val="0000FF"/>
                  <w:w w:val="92"/>
                </w:rPr>
                <w:t>Certification of Principal Executive Officer pursuant to 18 U.S.C. Section 1350, as adopted pursuant to Section 906 of the Sarbanes-Oxley</w:t>
              </w:r>
            </w:hyperlink>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40" w:type="dxa"/>
            <w:vAlign w:val="bottom"/>
            <w:tcBorders>
              <w:top w:val="single" w:sz="8" w:color="0000FF"/>
              <w:bottom w:val="single" w:sz="8" w:color="0000FF"/>
            </w:tcBorders>
          </w:tcPr>
          <w:p>
            <w:pPr>
              <w:spacing w:after="0" w:line="196" w:lineRule="exact"/>
              <w:rPr>
                <w:rFonts w:ascii="Arial" w:cs="Arial" w:eastAsia="Arial" w:hAnsi="Arial"/>
                <w:sz w:val="18"/>
                <w:szCs w:val="18"/>
                <w:color w:val="0000FF"/>
                <w:w w:val="93"/>
              </w:rPr>
            </w:pPr>
            <w:hyperlink w:anchor="page61">
              <w:r>
                <w:rPr>
                  <w:rFonts w:ascii="Arial" w:cs="Arial" w:eastAsia="Arial" w:hAnsi="Arial"/>
                  <w:sz w:val="18"/>
                  <w:szCs w:val="18"/>
                  <w:color w:val="0000FF"/>
                  <w:w w:val="93"/>
                </w:rPr>
                <w:t>Act of 2002 (furnished herewith).</w:t>
              </w:r>
            </w:hyperlink>
          </w:p>
        </w:tc>
        <w:tc>
          <w:tcPr>
            <w:tcW w:w="7540" w:type="dxa"/>
            <w:vAlign w:val="bottom"/>
            <w:tcBorders>
              <w:top w:val="single" w:sz="8" w:color="0000FF"/>
            </w:tcBorders>
            <w:gridSpan w:val="10"/>
          </w:tcPr>
          <w:p>
            <w:pPr>
              <w:spacing w:after="0"/>
              <w:rPr>
                <w:sz w:val="17"/>
                <w:szCs w:val="17"/>
                <w:color w:val="auto"/>
              </w:rPr>
            </w:pPr>
          </w:p>
        </w:tc>
        <w:tc>
          <w:tcPr>
            <w:tcW w:w="220" w:type="dxa"/>
            <w:vAlign w:val="bottom"/>
            <w:gridSpan w:val="6"/>
          </w:tcPr>
          <w:p>
            <w:pPr>
              <w:spacing w:after="0"/>
              <w:rPr>
                <w:sz w:val="17"/>
                <w:szCs w:val="17"/>
                <w:color w:val="auto"/>
              </w:rPr>
            </w:pPr>
          </w:p>
        </w:tc>
        <w:tc>
          <w:tcPr>
            <w:tcW w:w="0" w:type="dxa"/>
            <w:vAlign w:val="bottom"/>
          </w:tcPr>
          <w:p>
            <w:pPr>
              <w:spacing w:after="0"/>
              <w:rPr>
                <w:sz w:val="1"/>
                <w:szCs w:val="1"/>
                <w:color w:val="auto"/>
              </w:rPr>
            </w:pPr>
          </w:p>
        </w:tc>
      </w:tr>
      <w:tr>
        <w:trPr>
          <w:trHeight w:val="372"/>
        </w:trPr>
        <w:tc>
          <w:tcPr>
            <w:tcW w:w="920" w:type="dxa"/>
            <w:vAlign w:val="bottom"/>
          </w:tcPr>
          <w:p>
            <w:pPr>
              <w:jc w:val="center"/>
              <w:ind w:left="53"/>
              <w:spacing w:after="0"/>
              <w:rPr>
                <w:sz w:val="20"/>
                <w:szCs w:val="20"/>
                <w:color w:val="auto"/>
              </w:rPr>
            </w:pPr>
            <w:r>
              <w:rPr>
                <w:rFonts w:ascii="Arial" w:cs="Arial" w:eastAsia="Arial" w:hAnsi="Arial"/>
                <w:sz w:val="18"/>
                <w:szCs w:val="18"/>
                <w:color w:val="auto"/>
                <w:w w:val="85"/>
              </w:rPr>
              <w:t>32.2</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940" w:type="dxa"/>
            <w:vAlign w:val="bottom"/>
            <w:tcBorders>
              <w:bottom w:val="single" w:sz="8" w:color="0000FF"/>
            </w:tcBorders>
            <w:gridSpan w:val="10"/>
          </w:tcPr>
          <w:p>
            <w:pPr>
              <w:spacing w:after="0"/>
              <w:rPr>
                <w:rFonts w:ascii="Arial" w:cs="Arial" w:eastAsia="Arial" w:hAnsi="Arial"/>
                <w:sz w:val="18"/>
                <w:szCs w:val="18"/>
                <w:color w:val="0000FF"/>
                <w:w w:val="90"/>
              </w:rPr>
            </w:pPr>
            <w:hyperlink w:anchor="page62">
              <w:r>
                <w:rPr>
                  <w:rFonts w:ascii="Arial" w:cs="Arial" w:eastAsia="Arial" w:hAnsi="Arial"/>
                  <w:sz w:val="18"/>
                  <w:szCs w:val="18"/>
                  <w:color w:val="0000FF"/>
                  <w:w w:val="90"/>
                </w:rPr>
                <w:t>Certification of Principal Financial Officer pursuant to 18 U.S.C. Section 1350, as adopted pursuant to Section 906 of the Sarbanes-Oxley</w:t>
              </w:r>
            </w:hyperlink>
          </w:p>
        </w:tc>
        <w:tc>
          <w:tcPr>
            <w:tcW w:w="260" w:type="dxa"/>
            <w:vAlign w:val="bottom"/>
            <w:gridSpan w:val="7"/>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40" w:type="dxa"/>
            <w:vAlign w:val="bottom"/>
            <w:tcBorders>
              <w:bottom w:val="single" w:sz="8" w:color="0000FF"/>
            </w:tcBorders>
          </w:tcPr>
          <w:p>
            <w:pPr>
              <w:spacing w:after="0" w:line="196" w:lineRule="exact"/>
              <w:rPr>
                <w:rFonts w:ascii="Arial" w:cs="Arial" w:eastAsia="Arial" w:hAnsi="Arial"/>
                <w:sz w:val="18"/>
                <w:szCs w:val="18"/>
                <w:color w:val="0000FF"/>
                <w:w w:val="93"/>
              </w:rPr>
            </w:pPr>
            <w:hyperlink w:anchor="page62">
              <w:r>
                <w:rPr>
                  <w:rFonts w:ascii="Arial" w:cs="Arial" w:eastAsia="Arial" w:hAnsi="Arial"/>
                  <w:sz w:val="18"/>
                  <w:szCs w:val="18"/>
                  <w:color w:val="0000FF"/>
                  <w:w w:val="93"/>
                </w:rPr>
                <w:t>Act of 2002 (furnished herewith).</w:t>
              </w:r>
            </w:hyperlink>
          </w:p>
        </w:tc>
        <w:tc>
          <w:tcPr>
            <w:tcW w:w="7760" w:type="dxa"/>
            <w:vAlign w:val="bottom"/>
            <w:gridSpan w:val="16"/>
          </w:tcPr>
          <w:p>
            <w:pPr>
              <w:spacing w:after="0"/>
              <w:rPr>
                <w:sz w:val="17"/>
                <w:szCs w:val="17"/>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ind w:left="1040" w:right="100" w:hanging="647"/>
        <w:spacing w:after="0" w:line="275" w:lineRule="auto"/>
        <w:tabs>
          <w:tab w:leader="none" w:pos="1040"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following financial information from Matador Resources Company’s Quarterly Report on Form 10-Q for the quarter ended March 31, 2020, formatted in Inline XBRL (Inline eXtensible Business Reporting Language): (i) the Condensed Consolidated Balance Sheets - Unaudited, (ii) the Condensed Consolidated Statements of Operations - Unaudited, (iii) the Condensed Consolidated Statements of Changes in Shareholders’ Equity - Unaudited, (iv) the Condensed Consolidated Statements of Cash Flows - Unaudited and (v) the Notes to Condensed Consolidated Financial Statements - Unaudited (submitted electronically herewith).</w:t>
      </w:r>
    </w:p>
    <w:p>
      <w:pPr>
        <w:spacing w:after="0" w:line="136" w:lineRule="exact"/>
        <w:rPr>
          <w:sz w:val="20"/>
          <w:szCs w:val="20"/>
          <w:color w:val="auto"/>
        </w:rPr>
      </w:pPr>
    </w:p>
    <w:p>
      <w:pPr>
        <w:ind w:left="1040" w:hanging="647"/>
        <w:spacing w:after="0"/>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Cover Page Interactive Data File, formatted in Inline XBRL (included as Exhibit 101).</w:t>
      </w:r>
    </w:p>
    <w:p>
      <w:pPr>
        <w:spacing w:after="0" w:line="184" w:lineRule="exact"/>
        <w:rPr>
          <w:rFonts w:ascii="Arial" w:cs="Arial" w:eastAsia="Arial" w:hAnsi="Arial"/>
          <w:sz w:val="18"/>
          <w:szCs w:val="18"/>
          <w:color w:val="auto"/>
        </w:rPr>
      </w:pPr>
    </w:p>
    <w:p>
      <w:pPr>
        <w:ind w:left="480"/>
        <w:spacing w:after="0"/>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Indicates a management contract or compensatory plan or arrangement.</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240"/>
          </w:cols>
          <w:pgMar w:left="320" w:top="125" w:right="339" w:bottom="1440" w:gutter="0" w:footer="0" w:header="0"/>
        </w:sectPr>
      </w:pPr>
    </w:p>
    <w:bookmarkStart w:id="42" w:name="page43"/>
    <w:bookmarkEnd w:id="4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ind w:right="520" w:firstLine="432"/>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05" w:lineRule="exact"/>
        <w:rPr>
          <w:sz w:val="20"/>
          <w:szCs w:val="20"/>
          <w:color w:val="auto"/>
        </w:rPr>
      </w:pPr>
    </w:p>
    <w:tbl>
      <w:tblPr>
        <w:tblLayout w:type="fixed"/>
        <w:tblInd w:w="60" w:type="dxa"/>
        <w:tblCellMar>
          <w:top w:w="0" w:type="dxa"/>
          <w:left w:w="0" w:type="dxa"/>
          <w:bottom w:w="0" w:type="dxa"/>
          <w:right w:w="0" w:type="dxa"/>
        </w:tblCellMar>
      </w:tblPr>
      <w:tr>
        <w:trPr>
          <w:trHeight w:val="230"/>
        </w:trPr>
        <w:tc>
          <w:tcPr>
            <w:tcW w:w="308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600" w:type="dxa"/>
            <w:vAlign w:val="bottom"/>
          </w:tcPr>
          <w:p>
            <w:pPr>
              <w:ind w:left="20"/>
              <w:spacing w:after="0"/>
              <w:rPr>
                <w:sz w:val="20"/>
                <w:szCs w:val="20"/>
                <w:color w:val="auto"/>
              </w:rPr>
            </w:pPr>
            <w:r>
              <w:rPr>
                <w:rFonts w:ascii="Arial" w:cs="Arial" w:eastAsia="Arial" w:hAnsi="Arial"/>
                <w:sz w:val="18"/>
                <w:szCs w:val="18"/>
                <w:color w:val="auto"/>
              </w:rPr>
              <w:t>MATADOR RESOURCES COMPANY</w:t>
            </w:r>
          </w:p>
        </w:tc>
      </w:tr>
      <w:tr>
        <w:trPr>
          <w:trHeight w:val="392"/>
        </w:trPr>
        <w:tc>
          <w:tcPr>
            <w:tcW w:w="3080" w:type="dxa"/>
            <w:vAlign w:val="bottom"/>
          </w:tcPr>
          <w:p>
            <w:pPr>
              <w:spacing w:after="0"/>
              <w:rPr>
                <w:sz w:val="20"/>
                <w:szCs w:val="20"/>
                <w:color w:val="auto"/>
              </w:rPr>
            </w:pPr>
            <w:r>
              <w:rPr>
                <w:rFonts w:ascii="Arial" w:cs="Arial" w:eastAsia="Arial" w:hAnsi="Arial"/>
                <w:sz w:val="18"/>
                <w:szCs w:val="18"/>
                <w:color w:val="auto"/>
              </w:rPr>
              <w:t>Date: May 1, 2020</w:t>
            </w:r>
          </w:p>
        </w:tc>
        <w:tc>
          <w:tcPr>
            <w:tcW w:w="2200" w:type="dxa"/>
            <w:vAlign w:val="bottom"/>
          </w:tcPr>
          <w:p>
            <w:pPr>
              <w:ind w:left="1740"/>
              <w:spacing w:after="0"/>
              <w:rPr>
                <w:sz w:val="20"/>
                <w:szCs w:val="20"/>
                <w:color w:val="auto"/>
              </w:rPr>
            </w:pPr>
            <w:r>
              <w:rPr>
                <w:rFonts w:ascii="Arial" w:cs="Arial" w:eastAsia="Arial" w:hAnsi="Arial"/>
                <w:sz w:val="18"/>
                <w:szCs w:val="18"/>
                <w:color w:val="auto"/>
              </w:rPr>
              <w:t>By:</w:t>
            </w:r>
          </w:p>
        </w:tc>
        <w:tc>
          <w:tcPr>
            <w:tcW w:w="300" w:type="dxa"/>
            <w:vAlign w:val="bottom"/>
          </w:tcPr>
          <w:p>
            <w:pPr>
              <w:spacing w:after="0"/>
              <w:rPr>
                <w:sz w:val="24"/>
                <w:szCs w:val="24"/>
                <w:color w:val="auto"/>
              </w:rPr>
            </w:pPr>
          </w:p>
        </w:tc>
        <w:tc>
          <w:tcPr>
            <w:tcW w:w="5600" w:type="dxa"/>
            <w:vAlign w:val="bottom"/>
          </w:tcPr>
          <w:p>
            <w:pPr>
              <w:ind w:left="20"/>
              <w:spacing w:after="0"/>
              <w:rPr>
                <w:sz w:val="20"/>
                <w:szCs w:val="20"/>
                <w:color w:val="auto"/>
              </w:rPr>
            </w:pPr>
            <w:r>
              <w:rPr>
                <w:rFonts w:ascii="Arial" w:cs="Arial" w:eastAsia="Arial" w:hAnsi="Arial"/>
                <w:sz w:val="18"/>
                <w:szCs w:val="18"/>
                <w:color w:val="auto"/>
              </w:rPr>
              <w:t>/s/ Joseph Wm. Foran</w:t>
            </w:r>
          </w:p>
        </w:tc>
      </w:tr>
      <w:tr>
        <w:trPr>
          <w:trHeight w:val="27"/>
        </w:trPr>
        <w:tc>
          <w:tcPr>
            <w:tcW w:w="3080" w:type="dxa"/>
            <w:vAlign w:val="bottom"/>
          </w:tcPr>
          <w:p>
            <w:pPr>
              <w:spacing w:after="0"/>
              <w:rPr>
                <w:sz w:val="2"/>
                <w:szCs w:val="2"/>
                <w:color w:val="auto"/>
              </w:rPr>
            </w:pPr>
          </w:p>
        </w:tc>
        <w:tc>
          <w:tcPr>
            <w:tcW w:w="2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5600" w:type="dxa"/>
            <w:vAlign w:val="bottom"/>
            <w:tcBorders>
              <w:bottom w:val="single" w:sz="8" w:color="auto"/>
            </w:tcBorders>
          </w:tcPr>
          <w:p>
            <w:pPr>
              <w:spacing w:after="0"/>
              <w:rPr>
                <w:sz w:val="2"/>
                <w:szCs w:val="2"/>
                <w:color w:val="auto"/>
              </w:rPr>
            </w:pPr>
          </w:p>
        </w:tc>
      </w:tr>
      <w:tr>
        <w:trPr>
          <w:trHeight w:val="237"/>
        </w:trPr>
        <w:tc>
          <w:tcPr>
            <w:tcW w:w="308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600" w:type="dxa"/>
            <w:vAlign w:val="bottom"/>
          </w:tcPr>
          <w:p>
            <w:pPr>
              <w:ind w:left="20"/>
              <w:spacing w:after="0"/>
              <w:rPr>
                <w:sz w:val="20"/>
                <w:szCs w:val="20"/>
                <w:color w:val="auto"/>
              </w:rPr>
            </w:pPr>
            <w:r>
              <w:rPr>
                <w:rFonts w:ascii="Arial" w:cs="Arial" w:eastAsia="Arial" w:hAnsi="Arial"/>
                <w:sz w:val="18"/>
                <w:szCs w:val="18"/>
                <w:color w:val="auto"/>
              </w:rPr>
              <w:t>Joseph Wm. Foran</w:t>
            </w:r>
          </w:p>
        </w:tc>
      </w:tr>
      <w:tr>
        <w:trPr>
          <w:trHeight w:val="270"/>
        </w:trPr>
        <w:tc>
          <w:tcPr>
            <w:tcW w:w="3080" w:type="dxa"/>
            <w:vAlign w:val="bottom"/>
          </w:tcPr>
          <w:p>
            <w:pPr>
              <w:spacing w:after="0"/>
              <w:rPr>
                <w:sz w:val="23"/>
                <w:szCs w:val="23"/>
                <w:color w:val="auto"/>
              </w:rPr>
            </w:pPr>
          </w:p>
        </w:tc>
        <w:tc>
          <w:tcPr>
            <w:tcW w:w="22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5600" w:type="dxa"/>
            <w:vAlign w:val="bottom"/>
          </w:tcPr>
          <w:p>
            <w:pPr>
              <w:ind w:left="20"/>
              <w:spacing w:after="0"/>
              <w:rPr>
                <w:sz w:val="20"/>
                <w:szCs w:val="20"/>
                <w:color w:val="auto"/>
              </w:rPr>
            </w:pPr>
            <w:r>
              <w:rPr>
                <w:rFonts w:ascii="Arial" w:cs="Arial" w:eastAsia="Arial" w:hAnsi="Arial"/>
                <w:sz w:val="18"/>
                <w:szCs w:val="18"/>
                <w:color w:val="auto"/>
              </w:rPr>
              <w:t>Chairman and Chief Executive Officer</w:t>
            </w:r>
          </w:p>
        </w:tc>
      </w:tr>
      <w:tr>
        <w:trPr>
          <w:trHeight w:val="405"/>
        </w:trPr>
        <w:tc>
          <w:tcPr>
            <w:tcW w:w="3080" w:type="dxa"/>
            <w:vAlign w:val="bottom"/>
          </w:tcPr>
          <w:p>
            <w:pPr>
              <w:spacing w:after="0"/>
              <w:rPr>
                <w:sz w:val="20"/>
                <w:szCs w:val="20"/>
                <w:color w:val="auto"/>
              </w:rPr>
            </w:pPr>
            <w:r>
              <w:rPr>
                <w:rFonts w:ascii="Arial" w:cs="Arial" w:eastAsia="Arial" w:hAnsi="Arial"/>
                <w:sz w:val="18"/>
                <w:szCs w:val="18"/>
                <w:color w:val="auto"/>
              </w:rPr>
              <w:t>Date: May 1, 2020</w:t>
            </w:r>
          </w:p>
        </w:tc>
        <w:tc>
          <w:tcPr>
            <w:tcW w:w="2200" w:type="dxa"/>
            <w:vAlign w:val="bottom"/>
          </w:tcPr>
          <w:p>
            <w:pPr>
              <w:ind w:left="1740"/>
              <w:spacing w:after="0"/>
              <w:rPr>
                <w:sz w:val="20"/>
                <w:szCs w:val="20"/>
                <w:color w:val="auto"/>
              </w:rPr>
            </w:pPr>
            <w:r>
              <w:rPr>
                <w:rFonts w:ascii="Arial" w:cs="Arial" w:eastAsia="Arial" w:hAnsi="Arial"/>
                <w:sz w:val="18"/>
                <w:szCs w:val="18"/>
                <w:color w:val="auto"/>
              </w:rPr>
              <w:t>By:</w:t>
            </w:r>
          </w:p>
        </w:tc>
        <w:tc>
          <w:tcPr>
            <w:tcW w:w="300" w:type="dxa"/>
            <w:vAlign w:val="bottom"/>
          </w:tcPr>
          <w:p>
            <w:pPr>
              <w:spacing w:after="0"/>
              <w:rPr>
                <w:sz w:val="24"/>
                <w:szCs w:val="24"/>
                <w:color w:val="auto"/>
              </w:rPr>
            </w:pPr>
          </w:p>
        </w:tc>
        <w:tc>
          <w:tcPr>
            <w:tcW w:w="5600" w:type="dxa"/>
            <w:vAlign w:val="bottom"/>
          </w:tcPr>
          <w:p>
            <w:pPr>
              <w:ind w:left="20"/>
              <w:spacing w:after="0"/>
              <w:rPr>
                <w:sz w:val="20"/>
                <w:szCs w:val="20"/>
                <w:color w:val="auto"/>
              </w:rPr>
            </w:pPr>
            <w:r>
              <w:rPr>
                <w:rFonts w:ascii="Arial" w:cs="Arial" w:eastAsia="Arial" w:hAnsi="Arial"/>
                <w:sz w:val="18"/>
                <w:szCs w:val="18"/>
                <w:color w:val="auto"/>
              </w:rPr>
              <w:t>/s/ David E. Lancaster</w:t>
            </w:r>
          </w:p>
        </w:tc>
      </w:tr>
      <w:tr>
        <w:trPr>
          <w:trHeight w:val="27"/>
        </w:trPr>
        <w:tc>
          <w:tcPr>
            <w:tcW w:w="3080" w:type="dxa"/>
            <w:vAlign w:val="bottom"/>
          </w:tcPr>
          <w:p>
            <w:pPr>
              <w:spacing w:after="0"/>
              <w:rPr>
                <w:sz w:val="2"/>
                <w:szCs w:val="2"/>
                <w:color w:val="auto"/>
              </w:rPr>
            </w:pPr>
          </w:p>
        </w:tc>
        <w:tc>
          <w:tcPr>
            <w:tcW w:w="2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5600" w:type="dxa"/>
            <w:vAlign w:val="bottom"/>
            <w:tcBorders>
              <w:bottom w:val="single" w:sz="8" w:color="auto"/>
            </w:tcBorders>
          </w:tcPr>
          <w:p>
            <w:pPr>
              <w:spacing w:after="0"/>
              <w:rPr>
                <w:sz w:val="2"/>
                <w:szCs w:val="2"/>
                <w:color w:val="auto"/>
              </w:rPr>
            </w:pPr>
          </w:p>
        </w:tc>
      </w:tr>
      <w:tr>
        <w:trPr>
          <w:trHeight w:val="237"/>
        </w:trPr>
        <w:tc>
          <w:tcPr>
            <w:tcW w:w="308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600" w:type="dxa"/>
            <w:vAlign w:val="bottom"/>
          </w:tcPr>
          <w:p>
            <w:pPr>
              <w:ind w:left="20"/>
              <w:spacing w:after="0"/>
              <w:rPr>
                <w:sz w:val="20"/>
                <w:szCs w:val="20"/>
                <w:color w:val="auto"/>
              </w:rPr>
            </w:pPr>
            <w:r>
              <w:rPr>
                <w:rFonts w:ascii="Arial" w:cs="Arial" w:eastAsia="Arial" w:hAnsi="Arial"/>
                <w:sz w:val="18"/>
                <w:szCs w:val="18"/>
                <w:color w:val="auto"/>
              </w:rPr>
              <w:t>David E. Lancaster</w:t>
            </w:r>
          </w:p>
        </w:tc>
      </w:tr>
      <w:tr>
        <w:trPr>
          <w:trHeight w:val="270"/>
        </w:trPr>
        <w:tc>
          <w:tcPr>
            <w:tcW w:w="3080" w:type="dxa"/>
            <w:vAlign w:val="bottom"/>
          </w:tcPr>
          <w:p>
            <w:pPr>
              <w:spacing w:after="0"/>
              <w:rPr>
                <w:sz w:val="23"/>
                <w:szCs w:val="23"/>
                <w:color w:val="auto"/>
              </w:rPr>
            </w:pPr>
          </w:p>
        </w:tc>
        <w:tc>
          <w:tcPr>
            <w:tcW w:w="22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5600" w:type="dxa"/>
            <w:vAlign w:val="bottom"/>
          </w:tcPr>
          <w:p>
            <w:pPr>
              <w:ind w:left="20"/>
              <w:spacing w:after="0"/>
              <w:rPr>
                <w:sz w:val="20"/>
                <w:szCs w:val="20"/>
                <w:color w:val="auto"/>
              </w:rPr>
            </w:pPr>
            <w:r>
              <w:rPr>
                <w:rFonts w:ascii="Arial" w:cs="Arial" w:eastAsia="Arial" w:hAnsi="Arial"/>
                <w:sz w:val="18"/>
                <w:szCs w:val="18"/>
                <w:color w:val="auto"/>
              </w:rPr>
              <w:t>Executive Vice President and Chief Financial Officer</w:t>
            </w:r>
          </w:p>
        </w:tc>
      </w:tr>
      <w:tr>
        <w:trPr>
          <w:trHeight w:val="675"/>
        </w:trPr>
        <w:tc>
          <w:tcPr>
            <w:tcW w:w="308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5900" w:type="dxa"/>
            <w:vAlign w:val="bottom"/>
            <w:gridSpan w:val="2"/>
          </w:tcPr>
          <w:p>
            <w:pPr>
              <w:jc w:val="right"/>
              <w:ind w:right="5430"/>
              <w:spacing w:after="0"/>
              <w:rPr>
                <w:sz w:val="20"/>
                <w:szCs w:val="20"/>
                <w:color w:val="auto"/>
              </w:rPr>
            </w:pPr>
            <w:r>
              <w:rPr>
                <w:rFonts w:ascii="Arial" w:cs="Arial" w:eastAsia="Arial" w:hAnsi="Arial"/>
                <w:sz w:val="18"/>
                <w:szCs w:val="18"/>
                <w:color w:val="auto"/>
              </w:rPr>
              <w:t>41</w:t>
            </w:r>
          </w:p>
        </w:tc>
      </w:tr>
    </w:tbl>
    <w:p>
      <w:pPr>
        <w:sectPr>
          <w:pgSz w:w="11900" w:h="16838" w:orient="portrait"/>
          <w:cols w:equalWidth="0" w:num="1">
            <w:col w:w="11240"/>
          </w:cols>
          <w:pgMar w:left="320" w:top="125" w:right="339" w:bottom="1440" w:gutter="0" w:footer="0" w:header="0"/>
        </w:sectPr>
      </w:pPr>
    </w:p>
    <w:bookmarkStart w:id="43" w:name="page44"/>
    <w:bookmarkEnd w:id="43"/>
    <w:p>
      <w:pPr>
        <w:jc w:val="right"/>
        <w:spacing w:after="0"/>
        <w:rPr>
          <w:sz w:val="20"/>
          <w:szCs w:val="20"/>
          <w:color w:val="auto"/>
        </w:rPr>
      </w:pPr>
      <w:r>
        <w:rPr>
          <w:rFonts w:ascii="Arial" w:cs="Arial" w:eastAsia="Arial" w:hAnsi="Arial"/>
          <w:sz w:val="18"/>
          <w:szCs w:val="18"/>
          <w:b w:val="1"/>
          <w:bCs w:val="1"/>
          <w:color w:val="auto"/>
        </w:rPr>
        <w:t>Exhibit 10.1</w:t>
      </w: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PHANTOM UNIT AWARD AGREEMENT</w:t>
      </w:r>
    </w:p>
    <w:p>
      <w:pPr>
        <w:spacing w:after="0" w:line="283" w:lineRule="exact"/>
        <w:rPr>
          <w:sz w:val="20"/>
          <w:szCs w:val="20"/>
          <w:color w:val="auto"/>
        </w:rPr>
      </w:pPr>
    </w:p>
    <w:p>
      <w:pPr>
        <w:ind w:left="3960"/>
        <w:spacing w:after="0"/>
        <w:rPr>
          <w:sz w:val="20"/>
          <w:szCs w:val="20"/>
          <w:color w:val="auto"/>
        </w:rPr>
      </w:pPr>
      <w:r>
        <w:rPr>
          <w:rFonts w:ascii="Arial" w:cs="Arial" w:eastAsia="Arial" w:hAnsi="Arial"/>
          <w:sz w:val="20"/>
          <w:szCs w:val="20"/>
          <w:b w:val="1"/>
          <w:bCs w:val="1"/>
          <w:color w:val="auto"/>
        </w:rPr>
        <w:t>MATADOR RESOURCES COMPANY</w:t>
      </w:r>
    </w:p>
    <w:p>
      <w:pPr>
        <w:spacing w:after="0" w:line="27" w:lineRule="exact"/>
        <w:rPr>
          <w:sz w:val="20"/>
          <w:szCs w:val="20"/>
          <w:color w:val="auto"/>
        </w:rPr>
      </w:pPr>
    </w:p>
    <w:p>
      <w:pPr>
        <w:ind w:left="3900"/>
        <w:spacing w:after="0"/>
        <w:rPr>
          <w:sz w:val="20"/>
          <w:szCs w:val="20"/>
          <w:color w:val="auto"/>
        </w:rPr>
      </w:pPr>
      <w:r>
        <w:rPr>
          <w:rFonts w:ascii="Arial" w:cs="Arial" w:eastAsia="Arial" w:hAnsi="Arial"/>
          <w:sz w:val="20"/>
          <w:szCs w:val="20"/>
          <w:b w:val="1"/>
          <w:bCs w:val="1"/>
          <w:color w:val="auto"/>
        </w:rPr>
        <w:t>2019 LONG-TERM INCENTIVE PLAN</w:t>
      </w:r>
    </w:p>
    <w:p>
      <w:pPr>
        <w:spacing w:after="0" w:line="276" w:lineRule="exact"/>
        <w:rPr>
          <w:sz w:val="20"/>
          <w:szCs w:val="20"/>
          <w:color w:val="auto"/>
        </w:rPr>
      </w:pPr>
    </w:p>
    <w:p>
      <w:pPr>
        <w:ind w:firstLine="656"/>
        <w:spacing w:after="0" w:line="260" w:lineRule="auto"/>
        <w:tabs>
          <w:tab w:leader="none" w:pos="1048" w:val="left"/>
        </w:tabs>
        <w:numPr>
          <w:ilvl w:val="0"/>
          <w:numId w:val="24"/>
        </w:numPr>
        <w:rPr>
          <w:rFonts w:ascii="Arial" w:cs="Arial" w:eastAsia="Arial" w:hAnsi="Arial"/>
          <w:sz w:val="20"/>
          <w:szCs w:val="20"/>
          <w:color w:val="auto"/>
        </w:rPr>
      </w:pPr>
      <w:r>
        <w:rPr>
          <w:rFonts w:ascii="Arial" w:cs="Arial" w:eastAsia="Arial" w:hAnsi="Arial"/>
          <w:sz w:val="20"/>
          <w:szCs w:val="20"/>
          <w:u w:val="single" w:color="auto"/>
          <w:color w:val="auto"/>
        </w:rPr>
        <w:t>Award of Phantom Units</w:t>
      </w:r>
      <w:r>
        <w:rPr>
          <w:rFonts w:ascii="Arial" w:cs="Arial" w:eastAsia="Arial" w:hAnsi="Arial"/>
          <w:sz w:val="20"/>
          <w:szCs w:val="20"/>
          <w:color w:val="auto"/>
        </w:rPr>
        <w:t>. Pursuant to the Matador Resources Company 2019 Long-Term Incentive Plan (as the same may be amended, the “</w:t>
      </w:r>
      <w:r>
        <w:rPr>
          <w:rFonts w:ascii="Arial" w:cs="Arial" w:eastAsia="Arial" w:hAnsi="Arial"/>
          <w:sz w:val="20"/>
          <w:szCs w:val="20"/>
          <w:b w:val="1"/>
          <w:bCs w:val="1"/>
          <w:i w:val="1"/>
          <w:iCs w:val="1"/>
          <w:color w:val="auto"/>
        </w:rPr>
        <w:t>Plan</w:t>
      </w:r>
      <w:r>
        <w:rPr>
          <w:rFonts w:ascii="Arial" w:cs="Arial" w:eastAsia="Arial" w:hAnsi="Arial"/>
          <w:sz w:val="20"/>
          <w:szCs w:val="20"/>
          <w:color w:val="auto"/>
        </w:rPr>
        <w:t>”), Matador Resources Company, a Texas corporation (the “</w:t>
      </w:r>
      <w:r>
        <w:rPr>
          <w:rFonts w:ascii="Arial" w:cs="Arial" w:eastAsia="Arial" w:hAnsi="Arial"/>
          <w:sz w:val="20"/>
          <w:szCs w:val="20"/>
          <w:b w:val="1"/>
          <w:bCs w:val="1"/>
          <w:i w:val="1"/>
          <w:iCs w:val="1"/>
          <w:color w:val="auto"/>
        </w:rPr>
        <w:t>Company</w:t>
      </w:r>
      <w:r>
        <w:rPr>
          <w:rFonts w:ascii="Arial" w:cs="Arial" w:eastAsia="Arial" w:hAnsi="Arial"/>
          <w:sz w:val="20"/>
          <w:szCs w:val="20"/>
          <w:color w:val="auto"/>
        </w:rPr>
        <w:t>”), grants to</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[NAME]</w:t>
      </w:r>
    </w:p>
    <w:p>
      <w:pPr>
        <w:spacing w:after="0" w:line="3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(the “</w:t>
      </w:r>
      <w:r>
        <w:rPr>
          <w:rFonts w:ascii="Arial" w:cs="Arial" w:eastAsia="Arial" w:hAnsi="Arial"/>
          <w:sz w:val="20"/>
          <w:szCs w:val="20"/>
          <w:b w:val="1"/>
          <w:bCs w:val="1"/>
          <w:i w:val="1"/>
          <w:iCs w:val="1"/>
          <w:color w:val="auto"/>
        </w:rPr>
        <w:t>Participant</w:t>
      </w:r>
      <w:r>
        <w:rPr>
          <w:rFonts w:ascii="Arial" w:cs="Arial" w:eastAsia="Arial" w:hAnsi="Arial"/>
          <w:sz w:val="20"/>
          <w:szCs w:val="20"/>
          <w:color w:val="auto"/>
        </w:rPr>
        <w:t>”),</w:t>
      </w:r>
    </w:p>
    <w:p>
      <w:pPr>
        <w:spacing w:after="0" w:line="277" w:lineRule="exact"/>
        <w:rPr>
          <w:sz w:val="20"/>
          <w:szCs w:val="20"/>
          <w:color w:val="auto"/>
        </w:rPr>
      </w:pPr>
    </w:p>
    <w:p>
      <w:pPr>
        <w:jc w:val="both"/>
        <w:spacing w:after="0" w:line="326" w:lineRule="auto"/>
        <w:rPr>
          <w:sz w:val="20"/>
          <w:szCs w:val="20"/>
          <w:color w:val="auto"/>
        </w:rPr>
      </w:pPr>
      <w:r>
        <w:rPr>
          <w:rFonts w:ascii="Arial" w:cs="Arial" w:eastAsia="Arial" w:hAnsi="Arial"/>
          <w:sz w:val="18"/>
          <w:szCs w:val="18"/>
          <w:color w:val="auto"/>
        </w:rPr>
        <w:t>an Award of [</w:t>
      </w:r>
      <w:r>
        <w:rPr>
          <w:rFonts w:ascii="Arial" w:cs="Arial" w:eastAsia="Arial" w:hAnsi="Arial"/>
          <w:sz w:val="18"/>
          <w:szCs w:val="18"/>
          <w:b w:val="1"/>
          <w:bCs w:val="1"/>
          <w:color w:val="auto"/>
        </w:rPr>
        <w:t>NUMBER</w:t>
      </w:r>
      <w:r>
        <w:rPr>
          <w:rFonts w:ascii="Arial" w:cs="Arial" w:eastAsia="Arial" w:hAnsi="Arial"/>
          <w:sz w:val="18"/>
          <w:szCs w:val="18"/>
          <w:color w:val="auto"/>
        </w:rPr>
        <w:t>] Phantom Units (the “</w:t>
      </w:r>
      <w:r>
        <w:rPr>
          <w:rFonts w:ascii="Arial" w:cs="Arial" w:eastAsia="Arial" w:hAnsi="Arial"/>
          <w:sz w:val="18"/>
          <w:szCs w:val="18"/>
          <w:b w:val="1"/>
          <w:bCs w:val="1"/>
          <w:i w:val="1"/>
          <w:iCs w:val="1"/>
          <w:color w:val="auto"/>
        </w:rPr>
        <w:t>Awarded Units</w:t>
      </w:r>
      <w:r>
        <w:rPr>
          <w:rFonts w:ascii="Arial" w:cs="Arial" w:eastAsia="Arial" w:hAnsi="Arial"/>
          <w:sz w:val="18"/>
          <w:szCs w:val="18"/>
          <w:color w:val="auto"/>
        </w:rPr>
        <w:t>”) subject to the terms and conditions of this Phantom Unit Award Agreement (this “</w:t>
      </w:r>
      <w:r>
        <w:rPr>
          <w:rFonts w:ascii="Arial" w:cs="Arial" w:eastAsia="Arial" w:hAnsi="Arial"/>
          <w:sz w:val="18"/>
          <w:szCs w:val="18"/>
          <w:b w:val="1"/>
          <w:bCs w:val="1"/>
          <w:i w:val="1"/>
          <w:iCs w:val="1"/>
          <w:color w:val="auto"/>
        </w:rPr>
        <w:t>Agreement</w:t>
      </w:r>
      <w:r>
        <w:rPr>
          <w:rFonts w:ascii="Arial" w:cs="Arial" w:eastAsia="Arial" w:hAnsi="Arial"/>
          <w:sz w:val="18"/>
          <w:szCs w:val="18"/>
          <w:color w:val="auto"/>
        </w:rPr>
        <w:t>”) and the Plan. The “</w:t>
      </w:r>
      <w:r>
        <w:rPr>
          <w:rFonts w:ascii="Arial" w:cs="Arial" w:eastAsia="Arial" w:hAnsi="Arial"/>
          <w:sz w:val="18"/>
          <w:szCs w:val="18"/>
          <w:b w:val="1"/>
          <w:bCs w:val="1"/>
          <w:i w:val="1"/>
          <w:iCs w:val="1"/>
          <w:color w:val="auto"/>
        </w:rPr>
        <w:t>Date of Grant</w:t>
      </w:r>
      <w:r>
        <w:rPr>
          <w:rFonts w:ascii="Arial" w:cs="Arial" w:eastAsia="Arial" w:hAnsi="Arial"/>
          <w:sz w:val="18"/>
          <w:szCs w:val="18"/>
          <w:color w:val="auto"/>
        </w:rPr>
        <w:t>” of this Award is [</w:t>
      </w:r>
      <w:r>
        <w:rPr>
          <w:rFonts w:ascii="Arial" w:cs="Arial" w:eastAsia="Arial" w:hAnsi="Arial"/>
          <w:sz w:val="18"/>
          <w:szCs w:val="18"/>
          <w:b w:val="1"/>
          <w:bCs w:val="1"/>
          <w:color w:val="auto"/>
        </w:rPr>
        <w:t>DATE</w:t>
      </w:r>
      <w:r>
        <w:rPr>
          <w:rFonts w:ascii="Arial" w:cs="Arial" w:eastAsia="Arial" w:hAnsi="Arial"/>
          <w:sz w:val="18"/>
          <w:szCs w:val="18"/>
          <w:color w:val="auto"/>
        </w:rPr>
        <w:t>]. Each Awarded Unit shall represent a notional share of Common Stock, with the value of each Awarded Unit being equal to the Fair Market Value of a share of Common Stock at any given time.</w:t>
      </w:r>
    </w:p>
    <w:p>
      <w:pPr>
        <w:spacing w:after="0" w:line="175" w:lineRule="exact"/>
        <w:rPr>
          <w:sz w:val="20"/>
          <w:szCs w:val="20"/>
          <w:color w:val="auto"/>
        </w:rPr>
      </w:pPr>
    </w:p>
    <w:p>
      <w:pPr>
        <w:jc w:val="both"/>
        <w:ind w:firstLine="656"/>
        <w:spacing w:after="0" w:line="276" w:lineRule="auto"/>
        <w:tabs>
          <w:tab w:leader="none" w:pos="1035" w:val="left"/>
        </w:tabs>
        <w:numPr>
          <w:ilvl w:val="0"/>
          <w:numId w:val="25"/>
        </w:numPr>
        <w:rPr>
          <w:rFonts w:ascii="Arial" w:cs="Arial" w:eastAsia="Arial" w:hAnsi="Arial"/>
          <w:sz w:val="18"/>
          <w:szCs w:val="18"/>
          <w:color w:val="auto"/>
        </w:rPr>
      </w:pPr>
      <w:r>
        <w:rPr>
          <w:rFonts w:ascii="Arial" w:cs="Arial" w:eastAsia="Arial" w:hAnsi="Arial"/>
          <w:sz w:val="18"/>
          <w:szCs w:val="18"/>
          <w:u w:val="single" w:color="auto"/>
          <w:color w:val="auto"/>
        </w:rPr>
        <w:t>Subject to Plan; Definitions</w:t>
      </w:r>
      <w:r>
        <w:rPr>
          <w:rFonts w:ascii="Arial" w:cs="Arial" w:eastAsia="Arial" w:hAnsi="Arial"/>
          <w:sz w:val="18"/>
          <w:szCs w:val="18"/>
          <w:color w:val="auto"/>
        </w:rPr>
        <w:t>. This Agreement is subject to the terms and conditions of the Plan, and the terms of the Plan shall control to the extent not otherwise inconsistent with the provisions of this Agreement. To the extent the terms of the Plan are inconsistent with the provisions of this Agreement, this Agreement shall control. This Agreement is subject to any rules promulgated pursuant to the Plan by the Board or the Committee and communicated to the Participant in writing. Unless defined herein, the capitalized terms used herein that are defined in the Plan shall have the same meanings assigned to them in the Plan, or where indicated, as defined in that certain Employment Agreement, effective as of [</w:t>
      </w:r>
      <w:r>
        <w:rPr>
          <w:rFonts w:ascii="Arial" w:cs="Arial" w:eastAsia="Arial" w:hAnsi="Arial"/>
          <w:sz w:val="18"/>
          <w:szCs w:val="18"/>
          <w:b w:val="1"/>
          <w:bCs w:val="1"/>
          <w:color w:val="auto"/>
        </w:rPr>
        <w:t>DATE</w:t>
      </w:r>
      <w:r>
        <w:rPr>
          <w:rFonts w:ascii="Arial" w:cs="Arial" w:eastAsia="Arial" w:hAnsi="Arial"/>
          <w:sz w:val="18"/>
          <w:szCs w:val="18"/>
          <w:color w:val="auto"/>
        </w:rPr>
        <w:t>], by and between the Company and the Participant (the “</w:t>
      </w:r>
      <w:r>
        <w:rPr>
          <w:rFonts w:ascii="Arial" w:cs="Arial" w:eastAsia="Arial" w:hAnsi="Arial"/>
          <w:sz w:val="18"/>
          <w:szCs w:val="18"/>
          <w:b w:val="1"/>
          <w:bCs w:val="1"/>
          <w:i w:val="1"/>
          <w:iCs w:val="1"/>
          <w:color w:val="auto"/>
        </w:rPr>
        <w:t>Employment Agreement</w:t>
      </w:r>
      <w:r>
        <w:rPr>
          <w:rFonts w:ascii="Arial" w:cs="Arial" w:eastAsia="Arial" w:hAnsi="Arial"/>
          <w:sz w:val="18"/>
          <w:szCs w:val="18"/>
          <w:color w:val="auto"/>
        </w:rPr>
        <w:t>”).</w:t>
      </w:r>
    </w:p>
    <w:p>
      <w:pPr>
        <w:spacing w:after="0" w:line="205" w:lineRule="exact"/>
        <w:rPr>
          <w:rFonts w:ascii="Arial" w:cs="Arial" w:eastAsia="Arial" w:hAnsi="Arial"/>
          <w:sz w:val="18"/>
          <w:szCs w:val="18"/>
          <w:color w:val="auto"/>
        </w:rPr>
      </w:pPr>
    </w:p>
    <w:p>
      <w:pPr>
        <w:ind w:firstLine="656"/>
        <w:spacing w:after="0" w:line="287" w:lineRule="auto"/>
        <w:tabs>
          <w:tab w:leader="none" w:pos="1062" w:val="left"/>
        </w:tabs>
        <w:numPr>
          <w:ilvl w:val="0"/>
          <w:numId w:val="25"/>
        </w:numPr>
        <w:rPr>
          <w:rFonts w:ascii="Arial" w:cs="Arial" w:eastAsia="Arial" w:hAnsi="Arial"/>
          <w:sz w:val="19"/>
          <w:szCs w:val="19"/>
          <w:color w:val="auto"/>
        </w:rPr>
      </w:pPr>
      <w:r>
        <w:rPr>
          <w:rFonts w:ascii="Arial" w:cs="Arial" w:eastAsia="Arial" w:hAnsi="Arial"/>
          <w:sz w:val="19"/>
          <w:szCs w:val="19"/>
          <w:u w:val="single" w:color="auto"/>
          <w:color w:val="auto"/>
        </w:rPr>
        <w:t>Vesting; Settlement of Awarded Units</w:t>
      </w:r>
      <w:r>
        <w:rPr>
          <w:rFonts w:ascii="Arial" w:cs="Arial" w:eastAsia="Arial" w:hAnsi="Arial"/>
          <w:sz w:val="19"/>
          <w:szCs w:val="19"/>
          <w:color w:val="auto"/>
        </w:rPr>
        <w:t>. Awarded Units which have become vested pursuant to the terms of this Section 3 are collectively referred to herein as “</w:t>
      </w:r>
      <w:r>
        <w:rPr>
          <w:rFonts w:ascii="Arial" w:cs="Arial" w:eastAsia="Arial" w:hAnsi="Arial"/>
          <w:sz w:val="19"/>
          <w:szCs w:val="19"/>
          <w:b w:val="1"/>
          <w:bCs w:val="1"/>
          <w:i w:val="1"/>
          <w:iCs w:val="1"/>
          <w:color w:val="auto"/>
        </w:rPr>
        <w:t>Vested Units</w:t>
      </w:r>
      <w:r>
        <w:rPr>
          <w:rFonts w:ascii="Arial" w:cs="Arial" w:eastAsia="Arial" w:hAnsi="Arial"/>
          <w:sz w:val="19"/>
          <w:szCs w:val="19"/>
          <w:color w:val="auto"/>
        </w:rPr>
        <w:t>.” All other Awarded Units are collectively referred to herein as “</w:t>
      </w:r>
      <w:r>
        <w:rPr>
          <w:rFonts w:ascii="Arial" w:cs="Arial" w:eastAsia="Arial" w:hAnsi="Arial"/>
          <w:sz w:val="19"/>
          <w:szCs w:val="19"/>
          <w:b w:val="1"/>
          <w:bCs w:val="1"/>
          <w:i w:val="1"/>
          <w:iCs w:val="1"/>
          <w:color w:val="auto"/>
        </w:rPr>
        <w:t>Unvested Units</w:t>
      </w:r>
      <w:r>
        <w:rPr>
          <w:rFonts w:ascii="Arial" w:cs="Arial" w:eastAsia="Arial" w:hAnsi="Arial"/>
          <w:sz w:val="19"/>
          <w:szCs w:val="19"/>
          <w:color w:val="auto"/>
        </w:rPr>
        <w:t>.”</w:t>
      </w:r>
    </w:p>
    <w:p>
      <w:pPr>
        <w:spacing w:after="0" w:line="166" w:lineRule="exact"/>
        <w:rPr>
          <w:sz w:val="20"/>
          <w:szCs w:val="20"/>
          <w:color w:val="auto"/>
        </w:rPr>
      </w:pPr>
    </w:p>
    <w:p>
      <w:pPr>
        <w:ind w:firstLine="656"/>
        <w:spacing w:after="0" w:line="260" w:lineRule="auto"/>
        <w:tabs>
          <w:tab w:leader="none" w:pos="1068" w:val="left"/>
        </w:tabs>
        <w:numPr>
          <w:ilvl w:val="0"/>
          <w:numId w:val="26"/>
        </w:numPr>
        <w:rPr>
          <w:rFonts w:ascii="Arial" w:cs="Arial" w:eastAsia="Arial" w:hAnsi="Arial"/>
          <w:sz w:val="20"/>
          <w:szCs w:val="20"/>
          <w:color w:val="auto"/>
        </w:rPr>
      </w:pPr>
      <w:r>
        <w:rPr>
          <w:rFonts w:ascii="Arial" w:cs="Arial" w:eastAsia="Arial" w:hAnsi="Arial"/>
          <w:sz w:val="20"/>
          <w:szCs w:val="20"/>
          <w:color w:val="auto"/>
        </w:rPr>
        <w:t>Except as specifically provided in this Agreement and subject to certain restrictions and conditions set forth in the Plan, the Awarded Units shall vest as follows (each such vesting date referred to below, a “</w:t>
      </w:r>
      <w:r>
        <w:rPr>
          <w:rFonts w:ascii="Arial" w:cs="Arial" w:eastAsia="Arial" w:hAnsi="Arial"/>
          <w:sz w:val="20"/>
          <w:szCs w:val="20"/>
          <w:b w:val="1"/>
          <w:bCs w:val="1"/>
          <w:i w:val="1"/>
          <w:iCs w:val="1"/>
          <w:color w:val="auto"/>
        </w:rPr>
        <w:t>Vesting Date</w:t>
      </w:r>
      <w:r>
        <w:rPr>
          <w:rFonts w:ascii="Arial" w:cs="Arial" w:eastAsia="Arial" w:hAnsi="Arial"/>
          <w:sz w:val="20"/>
          <w:szCs w:val="20"/>
          <w:color w:val="auto"/>
        </w:rPr>
        <w:t>”):</w:t>
      </w:r>
    </w:p>
    <w:p>
      <w:pPr>
        <w:spacing w:after="0" w:line="190" w:lineRule="exact"/>
        <w:rPr>
          <w:rFonts w:ascii="Arial" w:cs="Arial" w:eastAsia="Arial" w:hAnsi="Arial"/>
          <w:sz w:val="20"/>
          <w:szCs w:val="20"/>
          <w:color w:val="auto"/>
        </w:rPr>
      </w:pPr>
    </w:p>
    <w:p>
      <w:pPr>
        <w:ind w:left="660" w:firstLine="644"/>
        <w:spacing w:after="0" w:line="316" w:lineRule="auto"/>
        <w:tabs>
          <w:tab w:leader="none" w:pos="1463" w:val="left"/>
        </w:tabs>
        <w:numPr>
          <w:ilvl w:val="1"/>
          <w:numId w:val="26"/>
        </w:numPr>
        <w:rPr>
          <w:rFonts w:ascii="Arial" w:cs="Arial" w:eastAsia="Arial" w:hAnsi="Arial"/>
          <w:sz w:val="18"/>
          <w:szCs w:val="18"/>
          <w:color w:val="auto"/>
        </w:rPr>
      </w:pPr>
      <w:r>
        <w:rPr>
          <w:rFonts w:ascii="Arial" w:cs="Arial" w:eastAsia="Arial" w:hAnsi="Arial"/>
          <w:sz w:val="18"/>
          <w:szCs w:val="18"/>
          <w:color w:val="auto"/>
        </w:rPr>
        <w:t>One-third (1/3) of the total Awarded Units shall vest on the first anniversary of the Date of Grant and become Vested Units, provided the Participant is continuously employed by or providing services to the Company or a Subsidiary through that date.</w:t>
      </w:r>
    </w:p>
    <w:p>
      <w:pPr>
        <w:spacing w:after="0" w:line="143" w:lineRule="exact"/>
        <w:rPr>
          <w:rFonts w:ascii="Arial" w:cs="Arial" w:eastAsia="Arial" w:hAnsi="Arial"/>
          <w:sz w:val="18"/>
          <w:szCs w:val="18"/>
          <w:color w:val="auto"/>
        </w:rPr>
      </w:pPr>
    </w:p>
    <w:p>
      <w:pPr>
        <w:ind w:left="660" w:firstLine="644"/>
        <w:spacing w:after="0" w:line="316" w:lineRule="auto"/>
        <w:tabs>
          <w:tab w:leader="none" w:pos="1529" w:val="left"/>
        </w:tabs>
        <w:numPr>
          <w:ilvl w:val="1"/>
          <w:numId w:val="26"/>
        </w:numPr>
        <w:rPr>
          <w:rFonts w:ascii="Arial" w:cs="Arial" w:eastAsia="Arial" w:hAnsi="Arial"/>
          <w:sz w:val="18"/>
          <w:szCs w:val="18"/>
          <w:color w:val="auto"/>
        </w:rPr>
      </w:pPr>
      <w:r>
        <w:rPr>
          <w:rFonts w:ascii="Arial" w:cs="Arial" w:eastAsia="Arial" w:hAnsi="Arial"/>
          <w:sz w:val="18"/>
          <w:szCs w:val="18"/>
          <w:color w:val="auto"/>
        </w:rPr>
        <w:t>One-third (1/3) of the total Awarded Units shall vest on the second anniversary of the Date of Grant and become Vested Units, provided the Participant is continuously employed by or providing services to the Company or a Subsidiary through that date.</w:t>
      </w:r>
    </w:p>
    <w:p>
      <w:pPr>
        <w:spacing w:after="0" w:line="143" w:lineRule="exact"/>
        <w:rPr>
          <w:rFonts w:ascii="Arial" w:cs="Arial" w:eastAsia="Arial" w:hAnsi="Arial"/>
          <w:sz w:val="18"/>
          <w:szCs w:val="18"/>
          <w:color w:val="auto"/>
        </w:rPr>
      </w:pPr>
    </w:p>
    <w:p>
      <w:pPr>
        <w:ind w:left="660" w:firstLine="644"/>
        <w:spacing w:after="0" w:line="316" w:lineRule="auto"/>
        <w:tabs>
          <w:tab w:leader="none" w:pos="1590" w:val="left"/>
        </w:tabs>
        <w:numPr>
          <w:ilvl w:val="1"/>
          <w:numId w:val="26"/>
        </w:numPr>
        <w:rPr>
          <w:rFonts w:ascii="Arial" w:cs="Arial" w:eastAsia="Arial" w:hAnsi="Arial"/>
          <w:sz w:val="18"/>
          <w:szCs w:val="18"/>
          <w:color w:val="auto"/>
        </w:rPr>
      </w:pPr>
      <w:r>
        <w:rPr>
          <w:rFonts w:ascii="Arial" w:cs="Arial" w:eastAsia="Arial" w:hAnsi="Arial"/>
          <w:sz w:val="18"/>
          <w:szCs w:val="18"/>
          <w:color w:val="auto"/>
        </w:rPr>
        <w:t>One-third (1/3) of the total Awarded Units shall vest on the third anniversary of the Date of Grant and become Vested Units, provided the Participant is continuously employed by or providing services to the Company or a Subsidiary through that date.</w:t>
      </w:r>
    </w:p>
    <w:p>
      <w:pPr>
        <w:sectPr>
          <w:pgSz w:w="11900" w:h="16838" w:orient="portrait"/>
          <w:cols w:equalWidth="0" w:num="1">
            <w:col w:w="11240"/>
          </w:cols>
          <w:pgMar w:left="320" w:top="148" w:right="339" w:bottom="1440" w:gutter="0" w:footer="0" w:header="0"/>
        </w:sectPr>
      </w:pPr>
    </w:p>
    <w:bookmarkStart w:id="44" w:name="page45"/>
    <w:bookmarkEnd w:id="44"/>
    <w:p>
      <w:pPr>
        <w:jc w:val="both"/>
        <w:ind w:firstLine="656"/>
        <w:spacing w:after="0" w:line="290" w:lineRule="auto"/>
        <w:tabs>
          <w:tab w:leader="none" w:pos="1093" w:val="left"/>
        </w:tabs>
        <w:numPr>
          <w:ilvl w:val="0"/>
          <w:numId w:val="27"/>
        </w:numPr>
        <w:rPr>
          <w:rFonts w:ascii="Arial" w:cs="Arial" w:eastAsia="Arial" w:hAnsi="Arial"/>
          <w:sz w:val="19"/>
          <w:szCs w:val="19"/>
          <w:color w:val="auto"/>
        </w:rPr>
      </w:pPr>
      <w:r>
        <w:rPr>
          <w:rFonts w:ascii="Arial" w:cs="Arial" w:eastAsia="Arial" w:hAnsi="Arial"/>
          <w:sz w:val="19"/>
          <w:szCs w:val="19"/>
          <w:color w:val="auto"/>
        </w:rPr>
        <w:t>Notwithstanding the foregoing, if within thirty (30) days prior to or twelve (12) months following a Change in Control (as defined in the Employment Agreement), the Participant incurs a Termination of Service by the Company without Just Cause (as defined in the Employment Agreement) or by the Participant with [or without] Good Reason (as defined in the Employment Agreement), then effective immediately prior to such Termination of Service, all Unvested Units shall thereupon immediately become Vested Units, and the date of such Termination of Service shall be the applicable Vesting Date for such Vested Units.</w:t>
      </w:r>
    </w:p>
    <w:p>
      <w:pPr>
        <w:spacing w:after="0" w:line="218" w:lineRule="exact"/>
        <w:rPr>
          <w:rFonts w:ascii="Arial" w:cs="Arial" w:eastAsia="Arial" w:hAnsi="Arial"/>
          <w:sz w:val="19"/>
          <w:szCs w:val="19"/>
          <w:color w:val="auto"/>
        </w:rPr>
      </w:pPr>
    </w:p>
    <w:p>
      <w:pPr>
        <w:ind w:firstLine="656"/>
        <w:spacing w:after="0" w:line="347" w:lineRule="auto"/>
        <w:tabs>
          <w:tab w:leader="none" w:pos="989" w:val="left"/>
        </w:tabs>
        <w:numPr>
          <w:ilvl w:val="0"/>
          <w:numId w:val="27"/>
        </w:numPr>
        <w:rPr>
          <w:rFonts w:ascii="Arial" w:cs="Arial" w:eastAsia="Arial" w:hAnsi="Arial"/>
          <w:sz w:val="18"/>
          <w:szCs w:val="18"/>
          <w:color w:val="auto"/>
        </w:rPr>
      </w:pPr>
      <w:r>
        <w:rPr>
          <w:rFonts w:ascii="Arial" w:cs="Arial" w:eastAsia="Arial" w:hAnsi="Arial"/>
          <w:sz w:val="18"/>
          <w:szCs w:val="18"/>
          <w:color w:val="auto"/>
        </w:rPr>
        <w:t>Following each Vesting Date, the Awarded Units that vest on such date shall be settled in cash, in an amount equal to the number of Awarded Units that vested on such Vesting Date multiplied by the Fair Market Value of the Common Stock on such Vesting Date.</w:t>
      </w:r>
    </w:p>
    <w:p>
      <w:pPr>
        <w:spacing w:after="0" w:line="170" w:lineRule="exact"/>
        <w:rPr>
          <w:rFonts w:ascii="Arial" w:cs="Arial" w:eastAsia="Arial" w:hAnsi="Arial"/>
          <w:sz w:val="18"/>
          <w:szCs w:val="18"/>
          <w:color w:val="auto"/>
        </w:rPr>
      </w:pPr>
    </w:p>
    <w:p>
      <w:pPr>
        <w:ind w:firstLine="656"/>
        <w:spacing w:after="0" w:line="316" w:lineRule="auto"/>
        <w:tabs>
          <w:tab w:leader="none" w:pos="1007" w:val="left"/>
        </w:tabs>
        <w:numPr>
          <w:ilvl w:val="0"/>
          <w:numId w:val="27"/>
        </w:numPr>
        <w:rPr>
          <w:rFonts w:ascii="Arial" w:cs="Arial" w:eastAsia="Arial" w:hAnsi="Arial"/>
          <w:sz w:val="19"/>
          <w:szCs w:val="19"/>
          <w:color w:val="auto"/>
        </w:rPr>
      </w:pPr>
      <w:r>
        <w:rPr>
          <w:rFonts w:ascii="Arial" w:cs="Arial" w:eastAsia="Arial" w:hAnsi="Arial"/>
          <w:sz w:val="19"/>
          <w:szCs w:val="19"/>
          <w:color w:val="auto"/>
        </w:rPr>
        <w:t>Payment in settlement of the Vested Units shall be made within thirty (30) days of each applicable Vesting Date, and in no event later than two and a half (2½) months following the close of the calendar year in which the applicable Vesting Date occurred.</w:t>
      </w:r>
    </w:p>
    <w:p>
      <w:pPr>
        <w:spacing w:after="0" w:line="181" w:lineRule="exact"/>
        <w:rPr>
          <w:sz w:val="20"/>
          <w:szCs w:val="20"/>
          <w:color w:val="auto"/>
        </w:rPr>
      </w:pPr>
    </w:p>
    <w:p>
      <w:pPr>
        <w:jc w:val="both"/>
        <w:ind w:firstLine="656"/>
        <w:spacing w:after="0" w:line="250" w:lineRule="auto"/>
        <w:tabs>
          <w:tab w:leader="none" w:pos="1021" w:val="left"/>
        </w:tabs>
        <w:numPr>
          <w:ilvl w:val="0"/>
          <w:numId w:val="28"/>
        </w:numPr>
        <w:rPr>
          <w:rFonts w:ascii="Arial" w:cs="Arial" w:eastAsia="Arial" w:hAnsi="Arial"/>
          <w:sz w:val="20"/>
          <w:szCs w:val="20"/>
          <w:color w:val="auto"/>
        </w:rPr>
      </w:pPr>
      <w:r>
        <w:rPr>
          <w:rFonts w:ascii="Arial" w:cs="Arial" w:eastAsia="Arial" w:hAnsi="Arial"/>
          <w:sz w:val="20"/>
          <w:szCs w:val="20"/>
          <w:u w:val="single" w:color="auto"/>
          <w:color w:val="auto"/>
        </w:rPr>
        <w:t>Forfeiture of Awarded Units</w:t>
      </w:r>
      <w:r>
        <w:rPr>
          <w:rFonts w:ascii="Arial" w:cs="Arial" w:eastAsia="Arial" w:hAnsi="Arial"/>
          <w:sz w:val="20"/>
          <w:szCs w:val="20"/>
          <w:color w:val="auto"/>
        </w:rPr>
        <w:t>. Unvested Units shall be forfeited, without the payment of any consideration therefor, immediately upon the Participant’s Termination of Service. Upon forfeiture, all of the Participant’s rights with respect to the forfeited Awarded Units shall cease and terminate, without any further obligations on the part of the Company.</w:t>
      </w:r>
    </w:p>
    <w:p>
      <w:pPr>
        <w:spacing w:after="0" w:line="239" w:lineRule="exact"/>
        <w:rPr>
          <w:rFonts w:ascii="Arial" w:cs="Arial" w:eastAsia="Arial" w:hAnsi="Arial"/>
          <w:sz w:val="20"/>
          <w:szCs w:val="20"/>
          <w:color w:val="auto"/>
        </w:rPr>
      </w:pPr>
    </w:p>
    <w:p>
      <w:pPr>
        <w:jc w:val="both"/>
        <w:ind w:firstLine="656"/>
        <w:spacing w:after="0" w:line="303" w:lineRule="auto"/>
        <w:tabs>
          <w:tab w:leader="none" w:pos="994" w:val="left"/>
        </w:tabs>
        <w:numPr>
          <w:ilvl w:val="0"/>
          <w:numId w:val="28"/>
        </w:numPr>
        <w:rPr>
          <w:rFonts w:ascii="Arial" w:cs="Arial" w:eastAsia="Arial" w:hAnsi="Arial"/>
          <w:sz w:val="18"/>
          <w:szCs w:val="18"/>
          <w:color w:val="auto"/>
        </w:rPr>
      </w:pPr>
      <w:r>
        <w:rPr>
          <w:rFonts w:ascii="Arial" w:cs="Arial" w:eastAsia="Arial" w:hAnsi="Arial"/>
          <w:sz w:val="18"/>
          <w:szCs w:val="18"/>
          <w:u w:val="single" w:color="auto"/>
          <w:color w:val="auto"/>
        </w:rPr>
        <w:t>Restrictions on Awarded Units</w:t>
      </w:r>
      <w:r>
        <w:rPr>
          <w:rFonts w:ascii="Arial" w:cs="Arial" w:eastAsia="Arial" w:hAnsi="Arial"/>
          <w:sz w:val="18"/>
          <w:szCs w:val="18"/>
          <w:color w:val="auto"/>
        </w:rPr>
        <w:t>. Subject to the provisions of the Plan and the terms of this Agreement, the Participant shall not be permitted to sell, transfer, pledge, hypothecate, margin, assign or otherwise encumber any of the Awarded Units, except that, the Participant may transfer for no consideration some or all of the Awarded Units to (a) one or more members of the Participant’s Immediate Family, (b) a trust in which the Participant or members of his or her Immediate Family have more than fifty percent of the beneficial interest, (c) a foundation in which the Participant or members of his or her Immediate Family control the management of assets or (d) any other entity in which the Participant or members of his or her Immediate Family own more than fifty percent of the voting interests. Any such transferee must agree in writing on a form prescribed by the Company to be bound by all of the provisions of this Agreement to the same extent as they apply to the Participant. Notwithstanding any such transfer, any vesting conditioned upon the Participant’s continued employment or service with the Company or its Subsidiaries shall continue to relate to the Participant’s continued employment or service and any covenants applicable to Participant hereunder shall continue to apply to Participant. In addition, the Committee may in its sole discretion, remove any or all of the restrictions on such Awarded Units whenever it may determine that, by reason of changes in applicable laws or changes in circumstances after the date of this Agreement, such action is appropriate.</w:t>
      </w:r>
    </w:p>
    <w:p>
      <w:pPr>
        <w:spacing w:after="0" w:line="198" w:lineRule="exact"/>
        <w:rPr>
          <w:rFonts w:ascii="Arial" w:cs="Arial" w:eastAsia="Arial" w:hAnsi="Arial"/>
          <w:sz w:val="18"/>
          <w:szCs w:val="18"/>
          <w:color w:val="auto"/>
        </w:rPr>
      </w:pPr>
    </w:p>
    <w:p>
      <w:pPr>
        <w:ind w:firstLine="656"/>
        <w:spacing w:after="0" w:line="260" w:lineRule="auto"/>
        <w:tabs>
          <w:tab w:leader="none" w:pos="1021" w:val="left"/>
        </w:tabs>
        <w:numPr>
          <w:ilvl w:val="0"/>
          <w:numId w:val="28"/>
        </w:numPr>
        <w:rPr>
          <w:rFonts w:ascii="Arial" w:cs="Arial" w:eastAsia="Arial" w:hAnsi="Arial"/>
          <w:sz w:val="20"/>
          <w:szCs w:val="20"/>
          <w:color w:val="auto"/>
        </w:rPr>
      </w:pPr>
      <w:r>
        <w:rPr>
          <w:rFonts w:ascii="Arial" w:cs="Arial" w:eastAsia="Arial" w:hAnsi="Arial"/>
          <w:sz w:val="20"/>
          <w:szCs w:val="20"/>
          <w:u w:val="single" w:color="auto"/>
          <w:color w:val="auto"/>
        </w:rPr>
        <w:t>Rights of a Shareholder</w:t>
      </w:r>
      <w:r>
        <w:rPr>
          <w:rFonts w:ascii="Arial" w:cs="Arial" w:eastAsia="Arial" w:hAnsi="Arial"/>
          <w:sz w:val="20"/>
          <w:szCs w:val="20"/>
          <w:color w:val="auto"/>
        </w:rPr>
        <w:t>. The Participant will have no rights as a shareholder with respect to any of the Awarded Units covered by this Agreement (including, without limitation, any voting rights or the right to receive any dividends).</w:t>
      </w:r>
    </w:p>
    <w:p>
      <w:pPr>
        <w:spacing w:after="0" w:line="190" w:lineRule="exact"/>
        <w:rPr>
          <w:rFonts w:ascii="Arial" w:cs="Arial" w:eastAsia="Arial" w:hAnsi="Arial"/>
          <w:sz w:val="20"/>
          <w:szCs w:val="20"/>
          <w:color w:val="auto"/>
        </w:rPr>
      </w:pPr>
    </w:p>
    <w:p>
      <w:pPr>
        <w:ind w:firstLine="656"/>
        <w:spacing w:after="0" w:line="260" w:lineRule="auto"/>
        <w:tabs>
          <w:tab w:leader="none" w:pos="1170" w:val="left"/>
        </w:tabs>
        <w:numPr>
          <w:ilvl w:val="0"/>
          <w:numId w:val="28"/>
        </w:numPr>
        <w:rPr>
          <w:rFonts w:ascii="Arial" w:cs="Arial" w:eastAsia="Arial" w:hAnsi="Arial"/>
          <w:sz w:val="20"/>
          <w:szCs w:val="20"/>
          <w:color w:val="auto"/>
        </w:rPr>
      </w:pPr>
      <w:r>
        <w:rPr>
          <w:rFonts w:ascii="Arial" w:cs="Arial" w:eastAsia="Arial" w:hAnsi="Arial"/>
          <w:sz w:val="20"/>
          <w:szCs w:val="20"/>
          <w:u w:val="single" w:color="auto"/>
          <w:color w:val="auto"/>
        </w:rPr>
        <w:t>Adjustment to Number of Awarded Units</w:t>
      </w:r>
      <w:r>
        <w:rPr>
          <w:rFonts w:ascii="Arial" w:cs="Arial" w:eastAsia="Arial" w:hAnsi="Arial"/>
          <w:sz w:val="20"/>
          <w:szCs w:val="20"/>
          <w:color w:val="auto"/>
        </w:rPr>
        <w:t xml:space="preserve">. The number of Awarded Units shall be subject to adjustment in accordance with </w:t>
      </w:r>
      <w:r>
        <w:rPr>
          <w:rFonts w:ascii="Arial" w:cs="Arial" w:eastAsia="Arial" w:hAnsi="Arial"/>
          <w:sz w:val="20"/>
          <w:szCs w:val="20"/>
          <w:u w:val="single" w:color="auto"/>
          <w:color w:val="auto"/>
        </w:rPr>
        <w:t>Articles 11-13</w:t>
      </w:r>
      <w:r>
        <w:rPr>
          <w:rFonts w:ascii="Arial" w:cs="Arial" w:eastAsia="Arial" w:hAnsi="Arial"/>
          <w:sz w:val="20"/>
          <w:szCs w:val="20"/>
          <w:color w:val="auto"/>
        </w:rPr>
        <w:t xml:space="preserve"> of the Plan.</w:t>
      </w:r>
    </w:p>
    <w:p>
      <w:pPr>
        <w:spacing w:after="0" w:line="217" w:lineRule="exact"/>
        <w:rPr>
          <w:rFonts w:ascii="Arial" w:cs="Arial" w:eastAsia="Arial" w:hAnsi="Arial"/>
          <w:sz w:val="20"/>
          <w:szCs w:val="20"/>
          <w:color w:val="auto"/>
        </w:rPr>
      </w:pPr>
    </w:p>
    <w:p>
      <w:pPr>
        <w:jc w:val="both"/>
        <w:ind w:firstLine="656"/>
        <w:spacing w:after="0" w:line="250" w:lineRule="auto"/>
        <w:tabs>
          <w:tab w:leader="none" w:pos="994" w:val="left"/>
        </w:tabs>
        <w:numPr>
          <w:ilvl w:val="0"/>
          <w:numId w:val="28"/>
        </w:numPr>
        <w:rPr>
          <w:rFonts w:ascii="Arial" w:cs="Arial" w:eastAsia="Arial" w:hAnsi="Arial"/>
          <w:sz w:val="20"/>
          <w:szCs w:val="20"/>
          <w:color w:val="auto"/>
        </w:rPr>
      </w:pPr>
      <w:r>
        <w:rPr>
          <w:rFonts w:ascii="Arial" w:cs="Arial" w:eastAsia="Arial" w:hAnsi="Arial"/>
          <w:sz w:val="20"/>
          <w:szCs w:val="20"/>
          <w:u w:val="single" w:color="auto"/>
          <w:color w:val="auto"/>
        </w:rPr>
        <w:t>Participant’s Representations</w:t>
      </w:r>
      <w:r>
        <w:rPr>
          <w:rFonts w:ascii="Arial" w:cs="Arial" w:eastAsia="Arial" w:hAnsi="Arial"/>
          <w:sz w:val="20"/>
          <w:szCs w:val="20"/>
          <w:color w:val="auto"/>
        </w:rPr>
        <w:t>. Notwithstanding any of the provisions hereof, the Participant hereby agrees that the Company will not be obligated to settle any Awarded Units hereunder if the settlement of such Awarded Units would constitute a violation by the Participant or the Company of any provision of</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40"/>
          </w:cols>
          <w:pgMar w:left="320" w:top="609" w:right="339" w:bottom="1440" w:gutter="0" w:footer="0" w:header="0"/>
        </w:sectPr>
      </w:pPr>
    </w:p>
    <w:bookmarkStart w:id="45" w:name="page46"/>
    <w:bookmarkEnd w:id="45"/>
    <w:p>
      <w:pPr>
        <w:jc w:val="both"/>
        <w:spacing w:after="0" w:line="246" w:lineRule="auto"/>
        <w:rPr>
          <w:sz w:val="20"/>
          <w:szCs w:val="20"/>
          <w:color w:val="auto"/>
        </w:rPr>
      </w:pPr>
      <w:r>
        <w:rPr>
          <w:rFonts w:ascii="Arial" w:cs="Arial" w:eastAsia="Arial" w:hAnsi="Arial"/>
          <w:sz w:val="20"/>
          <w:szCs w:val="20"/>
          <w:color w:val="auto"/>
        </w:rPr>
        <w:t>any law or regulation of any governmental authority or any national securities exchange or inter-dealer quotation system or other forum in which shares of Common Stock are quoted or traded. Any determination in this connection by the Company shall be final, binding, and conclusive. The rights and obligations of the Company and the rights and obligations of the Participant are subject to all Applicable Laws, rules, and regulations.</w:t>
      </w:r>
    </w:p>
    <w:p>
      <w:pPr>
        <w:spacing w:after="0" w:line="245" w:lineRule="exact"/>
        <w:rPr>
          <w:sz w:val="20"/>
          <w:szCs w:val="20"/>
          <w:color w:val="auto"/>
        </w:rPr>
      </w:pPr>
    </w:p>
    <w:p>
      <w:pPr>
        <w:jc w:val="both"/>
        <w:ind w:firstLine="656"/>
        <w:spacing w:after="0" w:line="319" w:lineRule="auto"/>
        <w:tabs>
          <w:tab w:leader="none" w:pos="1048" w:val="left"/>
        </w:tabs>
        <w:numPr>
          <w:ilvl w:val="0"/>
          <w:numId w:val="29"/>
        </w:numPr>
        <w:rPr>
          <w:rFonts w:ascii="Arial" w:cs="Arial" w:eastAsia="Arial" w:hAnsi="Arial"/>
          <w:sz w:val="18"/>
          <w:szCs w:val="18"/>
          <w:color w:val="auto"/>
        </w:rPr>
      </w:pPr>
      <w:r>
        <w:rPr>
          <w:rFonts w:ascii="Arial" w:cs="Arial" w:eastAsia="Arial" w:hAnsi="Arial"/>
          <w:sz w:val="18"/>
          <w:szCs w:val="18"/>
          <w:u w:val="single" w:color="auto"/>
          <w:color w:val="auto"/>
        </w:rPr>
        <w:t>Participant’s Acknowledgments</w:t>
      </w:r>
      <w:r>
        <w:rPr>
          <w:rFonts w:ascii="Arial" w:cs="Arial" w:eastAsia="Arial" w:hAnsi="Arial"/>
          <w:sz w:val="18"/>
          <w:szCs w:val="18"/>
          <w:color w:val="auto"/>
        </w:rPr>
        <w:t>. The Participant acknowledges that a copy of the Plan has been made available for his or her review by the Company, and represents that he or she is familiar with the terms and provisions thereof, and hereby accepts this Award subject to all the terms and provisions thereof. The Participant hereby agrees to accept as binding, conclusive, and final all decisions or interpretations of the Committee or the Board, as appropriate, upon any questions arising under the Plan or this Agreement.</w:t>
      </w:r>
    </w:p>
    <w:p>
      <w:pPr>
        <w:spacing w:after="0" w:line="182" w:lineRule="exact"/>
        <w:rPr>
          <w:rFonts w:ascii="Arial" w:cs="Arial" w:eastAsia="Arial" w:hAnsi="Arial"/>
          <w:sz w:val="18"/>
          <w:szCs w:val="18"/>
          <w:color w:val="auto"/>
        </w:rPr>
      </w:pPr>
    </w:p>
    <w:p>
      <w:pPr>
        <w:jc w:val="both"/>
        <w:ind w:firstLine="656"/>
        <w:spacing w:after="0" w:line="250" w:lineRule="auto"/>
        <w:tabs>
          <w:tab w:leader="none" w:pos="1201" w:val="left"/>
        </w:tabs>
        <w:numPr>
          <w:ilvl w:val="0"/>
          <w:numId w:val="29"/>
        </w:numPr>
        <w:rPr>
          <w:rFonts w:ascii="Arial" w:cs="Arial" w:eastAsia="Arial" w:hAnsi="Arial"/>
          <w:sz w:val="20"/>
          <w:szCs w:val="20"/>
          <w:color w:val="auto"/>
        </w:rPr>
      </w:pPr>
      <w:r>
        <w:rPr>
          <w:rFonts w:ascii="Arial" w:cs="Arial" w:eastAsia="Arial" w:hAnsi="Arial"/>
          <w:sz w:val="20"/>
          <w:szCs w:val="20"/>
          <w:u w:val="single" w:color="auto"/>
          <w:color w:val="auto"/>
        </w:rPr>
        <w:t>Law Governing</w:t>
      </w:r>
      <w:r>
        <w:rPr>
          <w:rFonts w:ascii="Arial" w:cs="Arial" w:eastAsia="Arial" w:hAnsi="Arial"/>
          <w:sz w:val="20"/>
          <w:szCs w:val="20"/>
          <w:color w:val="auto"/>
        </w:rPr>
        <w:t>. This Agreement shall be governed by, construed, and enforced in accordance with the laws of the State of Texas (excluding any conflict of laws rule or principle of Texas law that might refer the governance, construction, or interpretation of this Agreement to the laws of another state).</w:t>
      </w:r>
    </w:p>
    <w:p>
      <w:pPr>
        <w:spacing w:after="0" w:line="226" w:lineRule="exact"/>
        <w:rPr>
          <w:rFonts w:ascii="Arial" w:cs="Arial" w:eastAsia="Arial" w:hAnsi="Arial"/>
          <w:sz w:val="20"/>
          <w:szCs w:val="20"/>
          <w:color w:val="auto"/>
        </w:rPr>
      </w:pPr>
    </w:p>
    <w:p>
      <w:pPr>
        <w:jc w:val="both"/>
        <w:ind w:firstLine="656"/>
        <w:spacing w:after="0" w:line="246" w:lineRule="auto"/>
        <w:tabs>
          <w:tab w:leader="none" w:pos="1153" w:val="left"/>
        </w:tabs>
        <w:numPr>
          <w:ilvl w:val="0"/>
          <w:numId w:val="29"/>
        </w:numPr>
        <w:rPr>
          <w:rFonts w:ascii="Arial" w:cs="Arial" w:eastAsia="Arial" w:hAnsi="Arial"/>
          <w:sz w:val="20"/>
          <w:szCs w:val="20"/>
          <w:color w:val="auto"/>
        </w:rPr>
      </w:pPr>
      <w:r>
        <w:rPr>
          <w:rFonts w:ascii="Arial" w:cs="Arial" w:eastAsia="Arial" w:hAnsi="Arial"/>
          <w:sz w:val="20"/>
          <w:szCs w:val="20"/>
          <w:u w:val="single" w:color="auto"/>
          <w:color w:val="auto"/>
        </w:rPr>
        <w:t>No Right to Continue Service or Employment</w:t>
      </w:r>
      <w:r>
        <w:rPr>
          <w:rFonts w:ascii="Arial" w:cs="Arial" w:eastAsia="Arial" w:hAnsi="Arial"/>
          <w:sz w:val="20"/>
          <w:szCs w:val="20"/>
          <w:color w:val="auto"/>
        </w:rPr>
        <w:t>. Nothing herein shall be construed to confer upon the Participant the right to continue in the employ or to provide services to the Company or any Subsidiary, whether as an Employee or as a Contractor or as an Outside Director, or interfere with or restrict in any way the right of the Company or any Subsidiary to discharge the Participant as an Employee, Contractor, or Outside Director at any time.</w:t>
      </w:r>
    </w:p>
    <w:p>
      <w:pPr>
        <w:spacing w:after="0" w:line="231" w:lineRule="exact"/>
        <w:rPr>
          <w:rFonts w:ascii="Arial" w:cs="Arial" w:eastAsia="Arial" w:hAnsi="Arial"/>
          <w:sz w:val="20"/>
          <w:szCs w:val="20"/>
          <w:color w:val="auto"/>
        </w:rPr>
      </w:pPr>
    </w:p>
    <w:p>
      <w:pPr>
        <w:jc w:val="both"/>
        <w:ind w:firstLine="656"/>
        <w:spacing w:after="0" w:line="244" w:lineRule="auto"/>
        <w:tabs>
          <w:tab w:leader="none" w:pos="1215" w:val="left"/>
        </w:tabs>
        <w:numPr>
          <w:ilvl w:val="0"/>
          <w:numId w:val="29"/>
        </w:numPr>
        <w:rPr>
          <w:rFonts w:ascii="Arial" w:cs="Arial" w:eastAsia="Arial" w:hAnsi="Arial"/>
          <w:sz w:val="20"/>
          <w:szCs w:val="20"/>
          <w:color w:val="auto"/>
        </w:rPr>
      </w:pPr>
      <w:r>
        <w:rPr>
          <w:rFonts w:ascii="Arial" w:cs="Arial" w:eastAsia="Arial" w:hAnsi="Arial"/>
          <w:sz w:val="20"/>
          <w:szCs w:val="20"/>
          <w:u w:val="single" w:color="auto"/>
          <w:color w:val="auto"/>
        </w:rPr>
        <w:t>Legal Construction.</w:t>
      </w:r>
      <w:r>
        <w:rPr>
          <w:rFonts w:ascii="Arial" w:cs="Arial" w:eastAsia="Arial" w:hAnsi="Arial"/>
          <w:sz w:val="20"/>
          <w:szCs w:val="20"/>
          <w:color w:val="auto"/>
        </w:rPr>
        <w:t xml:space="preserve"> In the event that any one or more of the terms, provisions, or agreements that are contained in this Agreement shall be held by a court of competent jurisdiction to be invalid, illegal, or unenforceable in any respect for any reason, the invalid, illegal, or unenforceable term, provision, or agreement shall not affect any other term, provision, or agreement that is contained in this Agreement and this Agreement shall be construed in all respects as if the invalid, illegal, or unenforceable term, provision, or agreement had never been contained herein.</w:t>
      </w:r>
    </w:p>
    <w:p>
      <w:pPr>
        <w:spacing w:after="0" w:line="234" w:lineRule="exact"/>
        <w:rPr>
          <w:rFonts w:ascii="Arial" w:cs="Arial" w:eastAsia="Arial" w:hAnsi="Arial"/>
          <w:sz w:val="20"/>
          <w:szCs w:val="20"/>
          <w:color w:val="auto"/>
        </w:rPr>
      </w:pPr>
    </w:p>
    <w:p>
      <w:pPr>
        <w:jc w:val="both"/>
        <w:ind w:right="20" w:firstLine="656"/>
        <w:spacing w:after="0" w:line="282" w:lineRule="auto"/>
        <w:tabs>
          <w:tab w:leader="none" w:pos="1242" w:val="left"/>
        </w:tabs>
        <w:numPr>
          <w:ilvl w:val="0"/>
          <w:numId w:val="29"/>
        </w:numPr>
        <w:rPr>
          <w:rFonts w:ascii="Arial" w:cs="Arial" w:eastAsia="Arial" w:hAnsi="Arial"/>
          <w:sz w:val="18"/>
          <w:szCs w:val="18"/>
          <w:color w:val="auto"/>
        </w:rPr>
      </w:pPr>
      <w:r>
        <w:rPr>
          <w:rFonts w:ascii="Arial" w:cs="Arial" w:eastAsia="Arial" w:hAnsi="Arial"/>
          <w:sz w:val="18"/>
          <w:szCs w:val="18"/>
          <w:u w:val="single" w:color="auto"/>
          <w:color w:val="auto"/>
        </w:rPr>
        <w:t>Covenants and Agreements as Independent Agreements</w:t>
      </w:r>
      <w:r>
        <w:rPr>
          <w:rFonts w:ascii="Arial" w:cs="Arial" w:eastAsia="Arial" w:hAnsi="Arial"/>
          <w:sz w:val="18"/>
          <w:szCs w:val="18"/>
          <w:color w:val="auto"/>
        </w:rPr>
        <w:t>. Each of the covenants and agreements that is set forth in this Agreement shall be construed as a covenant and agreement independent of any other provision of this Agreement. The existence of any claim or cause of action of the Participant against the Company, whether predicated on this Agreement or otherwise, shall not constitute a defense to the enforcement by the Company of the covenants and agreements that are set forth in this Agreement.</w:t>
      </w:r>
    </w:p>
    <w:p>
      <w:pPr>
        <w:spacing w:after="0" w:line="201" w:lineRule="exact"/>
        <w:rPr>
          <w:rFonts w:ascii="Arial" w:cs="Arial" w:eastAsia="Arial" w:hAnsi="Arial"/>
          <w:sz w:val="18"/>
          <w:szCs w:val="18"/>
          <w:color w:val="auto"/>
        </w:rPr>
      </w:pPr>
    </w:p>
    <w:p>
      <w:pPr>
        <w:jc w:val="both"/>
        <w:ind w:firstLine="656"/>
        <w:spacing w:after="0" w:line="274" w:lineRule="auto"/>
        <w:tabs>
          <w:tab w:leader="none" w:pos="1120" w:val="left"/>
        </w:tabs>
        <w:numPr>
          <w:ilvl w:val="0"/>
          <w:numId w:val="29"/>
        </w:numPr>
        <w:rPr>
          <w:rFonts w:ascii="Arial" w:cs="Arial" w:eastAsia="Arial" w:hAnsi="Arial"/>
          <w:sz w:val="18"/>
          <w:szCs w:val="18"/>
          <w:color w:val="auto"/>
        </w:rPr>
      </w:pPr>
      <w:r>
        <w:rPr>
          <w:rFonts w:ascii="Arial" w:cs="Arial" w:eastAsia="Arial" w:hAnsi="Arial"/>
          <w:sz w:val="18"/>
          <w:szCs w:val="18"/>
          <w:u w:val="single" w:color="auto"/>
          <w:color w:val="auto"/>
        </w:rPr>
        <w:t>Entire Agreement</w:t>
      </w:r>
      <w:r>
        <w:rPr>
          <w:rFonts w:ascii="Arial" w:cs="Arial" w:eastAsia="Arial" w:hAnsi="Arial"/>
          <w:sz w:val="18"/>
          <w:szCs w:val="18"/>
          <w:color w:val="auto"/>
        </w:rPr>
        <w:t>. This Agreement together with the Plan (as each may be amended from time to time) supersede any and all other prior understandings and agreements, either oral or in writing, between the parties with respect to the subject matter hereof and constitute the sole and only agreements between the parties with respect to the said subject matter. All prior negotiations and agreements between the parties with respect to the subject matter hereof are merged into this Agreement and the Plan. Each party to this Agreement acknowledges that no representations, inducements, promises, or agreements, orally or otherwise, have been made by any party or by anyone acting on behalf of any party, which are not embodied in this Agreement or the Plan and that any agreement, statement or promise that is not contained in this Agreement or the Plan shall not be valid or binding or of any force or effect.</w:t>
      </w:r>
    </w:p>
    <w:p>
      <w:pPr>
        <w:spacing w:after="0" w:line="208" w:lineRule="exact"/>
        <w:rPr>
          <w:rFonts w:ascii="Arial" w:cs="Arial" w:eastAsia="Arial" w:hAnsi="Arial"/>
          <w:sz w:val="18"/>
          <w:szCs w:val="18"/>
          <w:color w:val="auto"/>
        </w:rPr>
      </w:pPr>
    </w:p>
    <w:p>
      <w:pPr>
        <w:ind w:firstLine="656"/>
        <w:spacing w:after="0" w:line="260" w:lineRule="auto"/>
        <w:tabs>
          <w:tab w:leader="none" w:pos="1093" w:val="left"/>
        </w:tabs>
        <w:numPr>
          <w:ilvl w:val="0"/>
          <w:numId w:val="29"/>
        </w:numPr>
        <w:rPr>
          <w:rFonts w:ascii="Arial" w:cs="Arial" w:eastAsia="Arial" w:hAnsi="Arial"/>
          <w:sz w:val="20"/>
          <w:szCs w:val="20"/>
          <w:color w:val="auto"/>
        </w:rPr>
      </w:pPr>
      <w:r>
        <w:rPr>
          <w:rFonts w:ascii="Arial" w:cs="Arial" w:eastAsia="Arial" w:hAnsi="Arial"/>
          <w:sz w:val="20"/>
          <w:szCs w:val="20"/>
          <w:u w:val="single" w:color="auto"/>
          <w:color w:val="auto"/>
        </w:rPr>
        <w:t>Parties Bound</w:t>
      </w:r>
      <w:r>
        <w:rPr>
          <w:rFonts w:ascii="Arial" w:cs="Arial" w:eastAsia="Arial" w:hAnsi="Arial"/>
          <w:sz w:val="20"/>
          <w:szCs w:val="20"/>
          <w:color w:val="auto"/>
        </w:rPr>
        <w:t>. The terms, provisions, and agreements that are contained in this Agreement shall apply to, be binding upon, and inure to the benefit of the parties and their respective heirs, executors,</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40"/>
          </w:cols>
          <w:pgMar w:left="320" w:top="595" w:right="339" w:bottom="1440" w:gutter="0" w:footer="0" w:header="0"/>
        </w:sectPr>
      </w:pPr>
    </w:p>
    <w:bookmarkStart w:id="46" w:name="page47"/>
    <w:bookmarkEnd w:id="46"/>
    <w:p>
      <w:pPr>
        <w:jc w:val="both"/>
        <w:ind w:right="20"/>
        <w:spacing w:after="0" w:line="250" w:lineRule="auto"/>
        <w:rPr>
          <w:sz w:val="20"/>
          <w:szCs w:val="20"/>
          <w:color w:val="auto"/>
        </w:rPr>
      </w:pPr>
      <w:r>
        <w:rPr>
          <w:rFonts w:ascii="Arial" w:cs="Arial" w:eastAsia="Arial" w:hAnsi="Arial"/>
          <w:sz w:val="20"/>
          <w:szCs w:val="20"/>
          <w:color w:val="auto"/>
        </w:rPr>
        <w:t>administrators, legal representatives, and permitted successors and assigns, subject to the limitation on assignment expressly set forth herein. No person shall be permitted to acquire any Awarded Units without first executing and delivering an agreement in a form satisfactory to the Company making such person subject to the restrictions on transfer contained herein.</w:t>
      </w:r>
    </w:p>
    <w:p>
      <w:pPr>
        <w:spacing w:after="0" w:line="226" w:lineRule="exact"/>
        <w:rPr>
          <w:sz w:val="20"/>
          <w:szCs w:val="20"/>
          <w:color w:val="auto"/>
        </w:rPr>
      </w:pPr>
    </w:p>
    <w:p>
      <w:pPr>
        <w:jc w:val="both"/>
        <w:ind w:firstLine="656"/>
        <w:spacing w:after="0" w:line="271" w:lineRule="auto"/>
        <w:tabs>
          <w:tab w:leader="none" w:pos="1215" w:val="left"/>
        </w:tabs>
        <w:numPr>
          <w:ilvl w:val="0"/>
          <w:numId w:val="30"/>
        </w:numPr>
        <w:rPr>
          <w:rFonts w:ascii="Arial" w:cs="Arial" w:eastAsia="Arial" w:hAnsi="Arial"/>
          <w:sz w:val="18"/>
          <w:szCs w:val="18"/>
          <w:color w:val="auto"/>
        </w:rPr>
      </w:pPr>
      <w:r>
        <w:rPr>
          <w:rFonts w:ascii="Arial" w:cs="Arial" w:eastAsia="Arial" w:hAnsi="Arial"/>
          <w:sz w:val="18"/>
          <w:szCs w:val="18"/>
          <w:u w:val="single" w:color="auto"/>
          <w:color w:val="auto"/>
        </w:rPr>
        <w:t>Modification</w:t>
      </w:r>
      <w:r>
        <w:rPr>
          <w:rFonts w:ascii="Arial" w:cs="Arial" w:eastAsia="Arial" w:hAnsi="Arial"/>
          <w:sz w:val="18"/>
          <w:szCs w:val="18"/>
          <w:color w:val="auto"/>
        </w:rPr>
        <w:t xml:space="preserve">. The Committee may amend this Agreement at any time and from time to time without the consent of the Participant; provided, however that no such amendment may materially and adversely affect the rights of the Participant without his or her consent; and provided, further, that the Company may change or modify this Agreement without the Participant’s consent or signature if the Company determines, in its sole discretion, that such change or modification is necessary for purposes of compliance with or exemption from the requirements of Code Section 409A or any regulations or other guidance issued thereunder. To the extent that any provision hereof is modified in order to comply with Code Section 409A, such modification shall be made in good faith and shall, to the maximum extent reasonably possible, maintain the original intent and economic benefit to the Participant and the Company of the applicable provision without violating the provisions of Code Section 409A, and in no event may any such amendment modify the time or form of payment of any amount payable pursuant to this Agreement if such modification would be in violation of Code Section 409A. Notwithstanding the provisions of this </w:t>
      </w:r>
      <w:r>
        <w:rPr>
          <w:rFonts w:ascii="Arial" w:cs="Arial" w:eastAsia="Arial" w:hAnsi="Arial"/>
          <w:sz w:val="18"/>
          <w:szCs w:val="18"/>
          <w:u w:val="single" w:color="auto"/>
          <w:color w:val="auto"/>
        </w:rPr>
        <w:t>Section 16</w:t>
      </w:r>
      <w:r>
        <w:rPr>
          <w:rFonts w:ascii="Arial" w:cs="Arial" w:eastAsia="Arial" w:hAnsi="Arial"/>
          <w:sz w:val="18"/>
          <w:szCs w:val="18"/>
          <w:color w:val="auto"/>
        </w:rPr>
        <w:t>, the Company may amend the Plan to the extent permitted by the Plan.</w:t>
      </w:r>
    </w:p>
    <w:p>
      <w:pPr>
        <w:spacing w:after="0" w:line="187" w:lineRule="exact"/>
        <w:rPr>
          <w:rFonts w:ascii="Arial" w:cs="Arial" w:eastAsia="Arial" w:hAnsi="Arial"/>
          <w:sz w:val="18"/>
          <w:szCs w:val="18"/>
          <w:color w:val="auto"/>
        </w:rPr>
      </w:pPr>
    </w:p>
    <w:p>
      <w:pPr>
        <w:ind w:firstLine="656"/>
        <w:spacing w:after="0" w:line="260" w:lineRule="auto"/>
        <w:tabs>
          <w:tab w:leader="none" w:pos="1174" w:val="left"/>
        </w:tabs>
        <w:numPr>
          <w:ilvl w:val="0"/>
          <w:numId w:val="30"/>
        </w:numPr>
        <w:rPr>
          <w:rFonts w:ascii="Arial" w:cs="Arial" w:eastAsia="Arial" w:hAnsi="Arial"/>
          <w:sz w:val="20"/>
          <w:szCs w:val="20"/>
          <w:color w:val="auto"/>
        </w:rPr>
      </w:pPr>
      <w:r>
        <w:rPr>
          <w:rFonts w:ascii="Arial" w:cs="Arial" w:eastAsia="Arial" w:hAnsi="Arial"/>
          <w:sz w:val="20"/>
          <w:szCs w:val="20"/>
          <w:u w:val="single" w:color="auto"/>
          <w:color w:val="auto"/>
        </w:rPr>
        <w:t>Headings</w:t>
      </w:r>
      <w:r>
        <w:rPr>
          <w:rFonts w:ascii="Arial" w:cs="Arial" w:eastAsia="Arial" w:hAnsi="Arial"/>
          <w:sz w:val="20"/>
          <w:szCs w:val="20"/>
          <w:color w:val="auto"/>
        </w:rPr>
        <w:t>. The headings that are used in this Agreement are used for reference and convenience purposes only and do not constitute substantive matters to be considered in construing the terms and provisions of this Agreement.</w:t>
      </w:r>
    </w:p>
    <w:p>
      <w:pPr>
        <w:spacing w:after="0" w:line="217" w:lineRule="exact"/>
        <w:rPr>
          <w:rFonts w:ascii="Arial" w:cs="Arial" w:eastAsia="Arial" w:hAnsi="Arial"/>
          <w:sz w:val="20"/>
          <w:szCs w:val="20"/>
          <w:color w:val="auto"/>
        </w:rPr>
      </w:pPr>
    </w:p>
    <w:p>
      <w:pPr>
        <w:ind w:firstLine="656"/>
        <w:spacing w:after="0" w:line="287" w:lineRule="auto"/>
        <w:tabs>
          <w:tab w:leader="none" w:pos="1107" w:val="left"/>
        </w:tabs>
        <w:numPr>
          <w:ilvl w:val="0"/>
          <w:numId w:val="30"/>
        </w:numPr>
        <w:rPr>
          <w:rFonts w:ascii="Arial" w:cs="Arial" w:eastAsia="Arial" w:hAnsi="Arial"/>
          <w:sz w:val="19"/>
          <w:szCs w:val="19"/>
          <w:color w:val="auto"/>
        </w:rPr>
      </w:pPr>
      <w:r>
        <w:rPr>
          <w:rFonts w:ascii="Arial" w:cs="Arial" w:eastAsia="Arial" w:hAnsi="Arial"/>
          <w:sz w:val="19"/>
          <w:szCs w:val="19"/>
          <w:u w:val="single" w:color="auto"/>
          <w:color w:val="auto"/>
        </w:rPr>
        <w:t>Gender and Number</w:t>
      </w:r>
      <w:r>
        <w:rPr>
          <w:rFonts w:ascii="Arial" w:cs="Arial" w:eastAsia="Arial" w:hAnsi="Arial"/>
          <w:sz w:val="19"/>
          <w:szCs w:val="19"/>
          <w:color w:val="auto"/>
        </w:rPr>
        <w:t>. Words of any gender used in this Agreement shall be held and construed to include any other gender, and words in the singular number shall be held to include the plural, and vice versa, unless the context requires otherwise.</w:t>
      </w:r>
    </w:p>
    <w:p>
      <w:pPr>
        <w:spacing w:after="0" w:line="192" w:lineRule="exact"/>
        <w:rPr>
          <w:rFonts w:ascii="Arial" w:cs="Arial" w:eastAsia="Arial" w:hAnsi="Arial"/>
          <w:sz w:val="19"/>
          <w:szCs w:val="19"/>
          <w:color w:val="auto"/>
        </w:rPr>
      </w:pPr>
    </w:p>
    <w:p>
      <w:pPr>
        <w:jc w:val="both"/>
        <w:ind w:firstLine="656"/>
        <w:spacing w:after="0" w:line="250" w:lineRule="auto"/>
        <w:tabs>
          <w:tab w:leader="none" w:pos="1093" w:val="left"/>
        </w:tabs>
        <w:numPr>
          <w:ilvl w:val="0"/>
          <w:numId w:val="30"/>
        </w:numPr>
        <w:rPr>
          <w:rFonts w:ascii="Arial" w:cs="Arial" w:eastAsia="Arial" w:hAnsi="Arial"/>
          <w:sz w:val="20"/>
          <w:szCs w:val="20"/>
          <w:color w:val="auto"/>
        </w:rPr>
      </w:pPr>
      <w:r>
        <w:rPr>
          <w:rFonts w:ascii="Arial" w:cs="Arial" w:eastAsia="Arial" w:hAnsi="Arial"/>
          <w:sz w:val="20"/>
          <w:szCs w:val="20"/>
          <w:u w:val="single" w:color="auto"/>
          <w:color w:val="auto"/>
        </w:rPr>
        <w:t>Notice</w:t>
      </w:r>
      <w:r>
        <w:rPr>
          <w:rFonts w:ascii="Arial" w:cs="Arial" w:eastAsia="Arial" w:hAnsi="Arial"/>
          <w:sz w:val="20"/>
          <w:szCs w:val="20"/>
          <w:color w:val="auto"/>
        </w:rPr>
        <w:t>. Any notice required or permitted to be delivered hereunder shall be deemed to be delivered only when actually received by the Company or by the Participant, as the case may be, at the addresses set forth below, or at such other addresses as they have theretofore specified by written notice delivered in accordance herewith:</w:t>
      </w:r>
    </w:p>
    <w:p>
      <w:pPr>
        <w:spacing w:after="0" w:line="240" w:lineRule="exact"/>
        <w:rPr>
          <w:sz w:val="20"/>
          <w:szCs w:val="20"/>
          <w:color w:val="auto"/>
        </w:rPr>
      </w:pPr>
    </w:p>
    <w:p>
      <w:pPr>
        <w:ind w:left="1000" w:hanging="344"/>
        <w:spacing w:after="0"/>
        <w:tabs>
          <w:tab w:leader="none" w:pos="1000" w:val="left"/>
        </w:tabs>
        <w:numPr>
          <w:ilvl w:val="0"/>
          <w:numId w:val="31"/>
        </w:numPr>
        <w:rPr>
          <w:rFonts w:ascii="Arial" w:cs="Arial" w:eastAsia="Arial" w:hAnsi="Arial"/>
          <w:sz w:val="20"/>
          <w:szCs w:val="20"/>
          <w:color w:val="auto"/>
        </w:rPr>
      </w:pPr>
      <w:r>
        <w:rPr>
          <w:rFonts w:ascii="Arial" w:cs="Arial" w:eastAsia="Arial" w:hAnsi="Arial"/>
          <w:sz w:val="20"/>
          <w:szCs w:val="20"/>
          <w:color w:val="auto"/>
        </w:rPr>
        <w:t>Notice to the Company shall be addressed and delivered as follows:</w:t>
      </w:r>
    </w:p>
    <w:p>
      <w:pPr>
        <w:spacing w:after="0" w:line="283" w:lineRule="exact"/>
        <w:rPr>
          <w:sz w:val="20"/>
          <w:szCs w:val="20"/>
          <w:color w:val="auto"/>
        </w:rPr>
      </w:pPr>
    </w:p>
    <w:p>
      <w:pPr>
        <w:ind w:left="1960"/>
        <w:spacing w:after="0"/>
        <w:rPr>
          <w:sz w:val="20"/>
          <w:szCs w:val="20"/>
          <w:color w:val="auto"/>
        </w:rPr>
      </w:pPr>
      <w:r>
        <w:rPr>
          <w:rFonts w:ascii="Arial" w:cs="Arial" w:eastAsia="Arial" w:hAnsi="Arial"/>
          <w:sz w:val="20"/>
          <w:szCs w:val="20"/>
          <w:color w:val="auto"/>
        </w:rPr>
        <w:t>Matador Resources Company</w:t>
      </w:r>
    </w:p>
    <w:p>
      <w:pPr>
        <w:spacing w:after="0" w:line="27" w:lineRule="exact"/>
        <w:rPr>
          <w:sz w:val="20"/>
          <w:szCs w:val="20"/>
          <w:color w:val="auto"/>
        </w:rPr>
      </w:pPr>
    </w:p>
    <w:p>
      <w:pPr>
        <w:ind w:left="1960"/>
        <w:spacing w:after="0"/>
        <w:rPr>
          <w:sz w:val="20"/>
          <w:szCs w:val="20"/>
          <w:color w:val="auto"/>
        </w:rPr>
      </w:pPr>
      <w:r>
        <w:rPr>
          <w:rFonts w:ascii="Arial" w:cs="Arial" w:eastAsia="Arial" w:hAnsi="Arial"/>
          <w:sz w:val="20"/>
          <w:szCs w:val="20"/>
          <w:color w:val="auto"/>
        </w:rPr>
        <w:t>5400 LBJ Fwy, Suite 1500</w:t>
      </w:r>
    </w:p>
    <w:p>
      <w:pPr>
        <w:spacing w:after="0" w:line="27" w:lineRule="exact"/>
        <w:rPr>
          <w:sz w:val="20"/>
          <w:szCs w:val="20"/>
          <w:color w:val="auto"/>
        </w:rPr>
      </w:pPr>
    </w:p>
    <w:p>
      <w:pPr>
        <w:ind w:left="1960"/>
        <w:spacing w:after="0"/>
        <w:rPr>
          <w:sz w:val="20"/>
          <w:szCs w:val="20"/>
          <w:color w:val="auto"/>
        </w:rPr>
      </w:pPr>
      <w:r>
        <w:rPr>
          <w:rFonts w:ascii="Arial" w:cs="Arial" w:eastAsia="Arial" w:hAnsi="Arial"/>
          <w:sz w:val="20"/>
          <w:szCs w:val="20"/>
          <w:color w:val="auto"/>
        </w:rPr>
        <w:t>Dallas, TX 75240</w:t>
      </w:r>
    </w:p>
    <w:p>
      <w:pPr>
        <w:spacing w:after="0" w:line="27" w:lineRule="exact"/>
        <w:rPr>
          <w:sz w:val="20"/>
          <w:szCs w:val="20"/>
          <w:color w:val="auto"/>
        </w:rPr>
      </w:pPr>
    </w:p>
    <w:p>
      <w:pPr>
        <w:ind w:left="1960"/>
        <w:spacing w:after="0"/>
        <w:rPr>
          <w:sz w:val="20"/>
          <w:szCs w:val="20"/>
          <w:color w:val="auto"/>
        </w:rPr>
      </w:pPr>
      <w:r>
        <w:rPr>
          <w:rFonts w:ascii="Arial" w:cs="Arial" w:eastAsia="Arial" w:hAnsi="Arial"/>
          <w:sz w:val="20"/>
          <w:szCs w:val="20"/>
          <w:color w:val="auto"/>
        </w:rPr>
        <w:t>Attn: General Counsel</w:t>
      </w:r>
    </w:p>
    <w:p>
      <w:pPr>
        <w:spacing w:after="0" w:line="27" w:lineRule="exact"/>
        <w:rPr>
          <w:sz w:val="20"/>
          <w:szCs w:val="20"/>
          <w:color w:val="auto"/>
        </w:rPr>
      </w:pPr>
    </w:p>
    <w:p>
      <w:pPr>
        <w:ind w:left="1960"/>
        <w:spacing w:after="0"/>
        <w:rPr>
          <w:sz w:val="20"/>
          <w:szCs w:val="20"/>
          <w:color w:val="auto"/>
        </w:rPr>
      </w:pPr>
      <w:r>
        <w:rPr>
          <w:rFonts w:ascii="Arial" w:cs="Arial" w:eastAsia="Arial" w:hAnsi="Arial"/>
          <w:sz w:val="20"/>
          <w:szCs w:val="20"/>
          <w:color w:val="auto"/>
        </w:rPr>
        <w:t>Facsimile: (972) 371-5201</w:t>
      </w:r>
    </w:p>
    <w:p>
      <w:pPr>
        <w:spacing w:after="0" w:line="283" w:lineRule="exact"/>
        <w:rPr>
          <w:sz w:val="20"/>
          <w:szCs w:val="20"/>
          <w:color w:val="auto"/>
        </w:rPr>
      </w:pPr>
    </w:p>
    <w:p>
      <w:pPr>
        <w:ind w:left="1000" w:hanging="344"/>
        <w:spacing w:after="0"/>
        <w:tabs>
          <w:tab w:leader="none" w:pos="10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Notice to the Participant shall be addressed and delivered to the Participant’s address as set forth in the Company’s records.</w:t>
      </w:r>
    </w:p>
    <w:p>
      <w:pPr>
        <w:spacing w:after="0" w:line="200" w:lineRule="exact"/>
        <w:rPr>
          <w:rFonts w:ascii="Arial" w:cs="Arial" w:eastAsia="Arial" w:hAnsi="Arial"/>
          <w:sz w:val="18"/>
          <w:szCs w:val="18"/>
          <w:color w:val="auto"/>
        </w:rPr>
      </w:pPr>
    </w:p>
    <w:p>
      <w:pPr>
        <w:spacing w:after="0" w:line="311" w:lineRule="exact"/>
        <w:rPr>
          <w:rFonts w:ascii="Arial" w:cs="Arial" w:eastAsia="Arial" w:hAnsi="Arial"/>
          <w:sz w:val="18"/>
          <w:szCs w:val="18"/>
          <w:color w:val="auto"/>
        </w:rPr>
      </w:pPr>
    </w:p>
    <w:p>
      <w:pPr>
        <w:ind w:left="5580"/>
        <w:spacing w:after="0"/>
        <w:rPr>
          <w:rFonts w:ascii="Arial" w:cs="Arial" w:eastAsia="Arial" w:hAnsi="Arial"/>
          <w:sz w:val="18"/>
          <w:szCs w:val="18"/>
          <w:color w:val="auto"/>
        </w:rPr>
      </w:pPr>
      <w:r>
        <w:rPr>
          <w:rFonts w:ascii="Arial" w:cs="Arial" w:eastAsia="Arial" w:hAnsi="Arial"/>
          <w:sz w:val="18"/>
          <w:szCs w:val="18"/>
          <w:color w:val="auto"/>
        </w:rPr>
        <w:t>4</w:t>
      </w:r>
    </w:p>
    <w:p>
      <w:pPr>
        <w:sectPr>
          <w:pgSz w:w="11900" w:h="16838" w:orient="portrait"/>
          <w:cols w:equalWidth="0" w:num="1">
            <w:col w:w="11240"/>
          </w:cols>
          <w:pgMar w:left="320" w:top="595" w:right="339" w:bottom="1440" w:gutter="0" w:footer="0" w:header="0"/>
        </w:sectPr>
      </w:pPr>
    </w:p>
    <w:bookmarkStart w:id="47" w:name="page48"/>
    <w:bookmarkEnd w:id="47"/>
    <w:p>
      <w:pPr>
        <w:jc w:val="both"/>
        <w:ind w:firstLine="656"/>
        <w:spacing w:after="0" w:line="270" w:lineRule="auto"/>
        <w:tabs>
          <w:tab w:leader="none" w:pos="1120" w:val="left"/>
        </w:tabs>
        <w:numPr>
          <w:ilvl w:val="0"/>
          <w:numId w:val="33"/>
        </w:numPr>
        <w:rPr>
          <w:rFonts w:ascii="Arial" w:cs="Arial" w:eastAsia="Arial" w:hAnsi="Arial"/>
          <w:sz w:val="18"/>
          <w:szCs w:val="18"/>
          <w:color w:val="auto"/>
        </w:rPr>
      </w:pPr>
      <w:r>
        <w:rPr>
          <w:rFonts w:ascii="Arial" w:cs="Arial" w:eastAsia="Arial" w:hAnsi="Arial"/>
          <w:sz w:val="18"/>
          <w:szCs w:val="18"/>
          <w:u w:val="single" w:color="auto"/>
          <w:color w:val="auto"/>
        </w:rPr>
        <w:t>Tax Requirements</w:t>
      </w:r>
      <w:r>
        <w:rPr>
          <w:rFonts w:ascii="Arial" w:cs="Arial" w:eastAsia="Arial" w:hAnsi="Arial"/>
          <w:sz w:val="18"/>
          <w:szCs w:val="18"/>
          <w:color w:val="auto"/>
        </w:rPr>
        <w:t xml:space="preserve">. The Participant is hereby advised to consult immediately with his or her own tax advisor regarding the tax consequences of this Agreement. The Company or, if applicable, any Subsidiary (for purposes of this </w:t>
      </w:r>
      <w:r>
        <w:rPr>
          <w:rFonts w:ascii="Arial" w:cs="Arial" w:eastAsia="Arial" w:hAnsi="Arial"/>
          <w:sz w:val="18"/>
          <w:szCs w:val="18"/>
          <w:u w:val="single" w:color="auto"/>
          <w:color w:val="auto"/>
        </w:rPr>
        <w:t>Section 20</w:t>
      </w:r>
      <w:r>
        <w:rPr>
          <w:rFonts w:ascii="Arial" w:cs="Arial" w:eastAsia="Arial" w:hAnsi="Arial"/>
          <w:sz w:val="18"/>
          <w:szCs w:val="18"/>
          <w:color w:val="auto"/>
        </w:rPr>
        <w:t>, the term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xml:space="preserve">” shall be deemed to include any applicable Subsidiary), shall have the right to deduct from all amounts paid or payable to the Participant in cash or other form in connection with the Plan, any Federal, state, local, or other taxes permitted by law to be withheld in connection with this Award. Such payments shall be required to be made when requested by Company and may be required to be made prior to the delivery of the payment discussed in </w:t>
      </w:r>
      <w:r>
        <w:rPr>
          <w:rFonts w:ascii="Arial" w:cs="Arial" w:eastAsia="Arial" w:hAnsi="Arial"/>
          <w:sz w:val="18"/>
          <w:szCs w:val="18"/>
          <w:u w:val="single" w:color="auto"/>
          <w:color w:val="auto"/>
        </w:rPr>
        <w:t>Section 3</w:t>
      </w:r>
      <w:r>
        <w:rPr>
          <w:rFonts w:ascii="Arial" w:cs="Arial" w:eastAsia="Arial" w:hAnsi="Arial"/>
          <w:sz w:val="18"/>
          <w:szCs w:val="18"/>
          <w:color w:val="auto"/>
        </w:rPr>
        <w:t xml:space="preserve"> above. Such payments may be made, in the sole discretion of the Company, (i) by the delivery of cash to the Company in an amount that equals the applicable tax withholding obligations of the Company; (ii) the actual delivery by the Participant to the Company of shares of Common Stock that the Participant has not acquired from the Company within six (6) months prior thereto, which shares so delivered have an aggregate Fair Market Value that equals or exceeds the applicable tax withholding payment; (iii) the Company’s withholding an amount upon the vesting of the Awarded Units with aggregate Fair Market Value that equals the applicable tax withholding payment; or (iv) any combination of the foregoing or any other method consented to by the Company in writing. The Company may, in its sole discretion, withhold any such taxes from any other cash remuneration otherwise paid by the Company to the Participant.</w:t>
      </w:r>
    </w:p>
    <w:p>
      <w:pPr>
        <w:spacing w:after="0" w:line="216" w:lineRule="exact"/>
        <w:rPr>
          <w:rFonts w:ascii="Arial" w:cs="Arial" w:eastAsia="Arial" w:hAnsi="Arial"/>
          <w:sz w:val="18"/>
          <w:szCs w:val="18"/>
          <w:color w:val="auto"/>
        </w:rPr>
      </w:pPr>
    </w:p>
    <w:p>
      <w:pPr>
        <w:jc w:val="both"/>
        <w:ind w:firstLine="656"/>
        <w:spacing w:after="0" w:line="255" w:lineRule="auto"/>
        <w:tabs>
          <w:tab w:leader="none" w:pos="1093" w:val="left"/>
        </w:tabs>
        <w:numPr>
          <w:ilvl w:val="0"/>
          <w:numId w:val="33"/>
        </w:numPr>
        <w:rPr>
          <w:rFonts w:ascii="Arial" w:cs="Arial" w:eastAsia="Arial" w:hAnsi="Arial"/>
          <w:sz w:val="19"/>
          <w:szCs w:val="19"/>
          <w:color w:val="auto"/>
        </w:rPr>
      </w:pPr>
      <w:r>
        <w:rPr>
          <w:rFonts w:ascii="Arial" w:cs="Arial" w:eastAsia="Arial" w:hAnsi="Arial"/>
          <w:sz w:val="19"/>
          <w:szCs w:val="19"/>
          <w:u w:val="single" w:color="auto"/>
          <w:color w:val="auto"/>
        </w:rPr>
        <w:t>Code Section 409A</w:t>
      </w:r>
      <w:r>
        <w:rPr>
          <w:rFonts w:ascii="Arial" w:cs="Arial" w:eastAsia="Arial" w:hAnsi="Arial"/>
          <w:sz w:val="19"/>
          <w:szCs w:val="19"/>
          <w:color w:val="auto"/>
        </w:rPr>
        <w:t>. This Agreement is intended to be interpreted and applied so that the payments and benefits set forth herein shall comply with or be exempt from the requirements of Code Section 409A, and, accordingly, to the maximum extent permitted, this Agreement shall be interpreted to the fullest extent possible to reflect and implement such intent. Notwithstanding anything in this Agreement and in the event the payments and benefits set forth herein are subject to Code Section 409A, a Termination of Service shall not be deemed to have occurred for purposes of any provision of this Agreement unless such termination is also a “separation from service” within the meaning of Code Section 409A. Notwithstanding any provision in this Agreement to the contrary, if on his or her Termination of Service, the Participant is deemed to be a “specified employee” within the meaning of Code Section 409A, any payments or benefits due upon such Termination of Service that constitutes a “deferral of compensation” within the meaning of Code Section 409A and which do not otherwise qualify under the exemptions under Treas. Reg. § 1.409A-1 (including without limitation, the short-term deferral exemption and the permitted payments under Treas. Reg. § 1.409A-1(b)(9)(iii)(A)), shall be delayed and paid or provided to the Participant on the earlier of the date which immediately follows six (6) months after the Participant’s separation from service or, if earlier, the date of the Participant’s death.</w:t>
      </w:r>
    </w:p>
    <w:p>
      <w:pPr>
        <w:spacing w:after="0" w:line="197" w:lineRule="exact"/>
        <w:rPr>
          <w:rFonts w:ascii="Arial" w:cs="Arial" w:eastAsia="Arial" w:hAnsi="Arial"/>
          <w:sz w:val="19"/>
          <w:szCs w:val="19"/>
          <w:color w:val="auto"/>
        </w:rPr>
      </w:pPr>
    </w:p>
    <w:p>
      <w:pPr>
        <w:jc w:val="both"/>
        <w:ind w:firstLine="656"/>
        <w:spacing w:after="0" w:line="291" w:lineRule="auto"/>
        <w:tabs>
          <w:tab w:leader="none" w:pos="1174" w:val="left"/>
        </w:tabs>
        <w:numPr>
          <w:ilvl w:val="0"/>
          <w:numId w:val="33"/>
        </w:numPr>
        <w:rPr>
          <w:rFonts w:ascii="Arial" w:cs="Arial" w:eastAsia="Arial" w:hAnsi="Arial"/>
          <w:sz w:val="18"/>
          <w:szCs w:val="18"/>
          <w:color w:val="auto"/>
        </w:rPr>
      </w:pPr>
      <w:r>
        <w:rPr>
          <w:rFonts w:ascii="Arial" w:cs="Arial" w:eastAsia="Arial" w:hAnsi="Arial"/>
          <w:sz w:val="18"/>
          <w:szCs w:val="18"/>
          <w:u w:val="single" w:color="auto"/>
          <w:color w:val="auto"/>
        </w:rPr>
        <w:t>Electronic Delivery</w:t>
      </w:r>
      <w:r>
        <w:rPr>
          <w:rFonts w:ascii="Arial" w:cs="Arial" w:eastAsia="Arial" w:hAnsi="Arial"/>
          <w:sz w:val="18"/>
          <w:szCs w:val="18"/>
          <w:color w:val="auto"/>
        </w:rPr>
        <w:t>. By executing this Agreement (including via digital acceptance), the Participant hereby consents to the delivery of information (including, without limitation, information required to be delivered to the Participant pursuant to applicable securities laws) regarding the Company and its Subsidiaries, the Plan, and the Awarded Units via Company web site or other electronic delivery.</w:t>
      </w:r>
    </w:p>
    <w:p>
      <w:pPr>
        <w:spacing w:after="0" w:line="205" w:lineRule="exact"/>
        <w:rPr>
          <w:rFonts w:ascii="Arial" w:cs="Arial" w:eastAsia="Arial" w:hAnsi="Arial"/>
          <w:sz w:val="18"/>
          <w:szCs w:val="18"/>
          <w:color w:val="auto"/>
        </w:rPr>
      </w:pPr>
    </w:p>
    <w:p>
      <w:pPr>
        <w:ind w:left="4900"/>
        <w:spacing w:after="0"/>
        <w:rPr>
          <w:rFonts w:ascii="Arial" w:cs="Arial" w:eastAsia="Arial" w:hAnsi="Arial"/>
          <w:sz w:val="18"/>
          <w:szCs w:val="18"/>
          <w:color w:val="auto"/>
        </w:rPr>
      </w:pPr>
      <w:r>
        <w:rPr>
          <w:rFonts w:ascii="Arial" w:cs="Arial" w:eastAsia="Arial" w:hAnsi="Arial"/>
          <w:sz w:val="20"/>
          <w:szCs w:val="20"/>
          <w:color w:val="auto"/>
        </w:rPr>
        <w:t>**********</w:t>
      </w:r>
    </w:p>
    <w:p>
      <w:pPr>
        <w:spacing w:after="0" w:line="28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Remainder of Page Intentionally Left Blank.</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0"/>
          <w:szCs w:val="20"/>
          <w:i w:val="1"/>
          <w:iCs w:val="1"/>
          <w:color w:val="auto"/>
        </w:rPr>
        <w:t>Signature Page Follows</w:t>
      </w:r>
      <w:r>
        <w:rPr>
          <w:rFonts w:ascii="Arial" w:cs="Arial" w:eastAsia="Arial" w:hAnsi="Arial"/>
          <w:sz w:val="20"/>
          <w:szCs w:val="20"/>
          <w:color w:val="auto"/>
        </w:rPr>
        <w:t>]</w:t>
      </w: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40"/>
          </w:cols>
          <w:pgMar w:left="320" w:top="595" w:right="339" w:bottom="1440" w:gutter="0" w:footer="0" w:header="0"/>
        </w:sectPr>
      </w:pPr>
    </w:p>
    <w:bookmarkStart w:id="48" w:name="page49"/>
    <w:bookmarkEnd w:id="48"/>
    <w:p>
      <w:pPr>
        <w:jc w:val="both"/>
        <w:ind w:firstLine="648"/>
        <w:spacing w:after="0" w:line="278" w:lineRule="auto"/>
        <w:rPr>
          <w:sz w:val="20"/>
          <w:szCs w:val="20"/>
          <w:color w:val="auto"/>
        </w:rPr>
      </w:pPr>
      <w:r>
        <w:rPr>
          <w:rFonts w:ascii="Arial" w:cs="Arial" w:eastAsia="Arial" w:hAnsi="Arial"/>
          <w:sz w:val="20"/>
          <w:szCs w:val="20"/>
          <w:color w:val="auto"/>
        </w:rPr>
        <w:t xml:space="preserve">IN WITNESS WHEREOF, the Company has caused this Agreement to be executed by its duly authorized officer, and the Participant, to evidence his or her consent and approval of all the terms hereof, has duly executed this Agreement, as of the Date of Grant specified in </w:t>
      </w:r>
      <w:r>
        <w:rPr>
          <w:rFonts w:ascii="Arial" w:cs="Arial" w:eastAsia="Arial" w:hAnsi="Arial"/>
          <w:sz w:val="20"/>
          <w:szCs w:val="20"/>
          <w:u w:val="single" w:color="auto"/>
          <w:color w:val="auto"/>
        </w:rPr>
        <w:t>Section 1</w:t>
      </w:r>
      <w:r>
        <w:rPr>
          <w:rFonts w:ascii="Arial" w:cs="Arial" w:eastAsia="Arial" w:hAnsi="Arial"/>
          <w:sz w:val="20"/>
          <w:szCs w:val="20"/>
          <w:color w:val="auto"/>
        </w:rPr>
        <w:t xml:space="preserve"> hereof.</w:t>
      </w:r>
    </w:p>
    <w:p>
      <w:pPr>
        <w:spacing w:after="0" w:line="207" w:lineRule="exact"/>
        <w:rPr>
          <w:sz w:val="20"/>
          <w:szCs w:val="20"/>
          <w:color w:val="auto"/>
        </w:rPr>
      </w:pPr>
    </w:p>
    <w:p>
      <w:pPr>
        <w:ind w:left="3900"/>
        <w:spacing w:after="0"/>
        <w:rPr>
          <w:sz w:val="20"/>
          <w:szCs w:val="20"/>
          <w:color w:val="auto"/>
        </w:rPr>
      </w:pPr>
      <w:r>
        <w:rPr>
          <w:rFonts w:ascii="Arial" w:cs="Arial" w:eastAsia="Arial" w:hAnsi="Arial"/>
          <w:sz w:val="20"/>
          <w:szCs w:val="20"/>
          <w:b w:val="1"/>
          <w:bCs w:val="1"/>
          <w:color w:val="auto"/>
        </w:rPr>
        <w:t>COMPANY:</w:t>
      </w:r>
    </w:p>
    <w:p>
      <w:pPr>
        <w:spacing w:after="0" w:line="235" w:lineRule="exact"/>
        <w:rPr>
          <w:sz w:val="20"/>
          <w:szCs w:val="20"/>
          <w:color w:val="auto"/>
        </w:rPr>
      </w:pPr>
    </w:p>
    <w:p>
      <w:pPr>
        <w:jc w:val="center"/>
        <w:ind w:right="280"/>
        <w:spacing w:after="0"/>
        <w:rPr>
          <w:sz w:val="20"/>
          <w:szCs w:val="20"/>
          <w:color w:val="auto"/>
        </w:rPr>
      </w:pPr>
      <w:r>
        <w:rPr>
          <w:rFonts w:ascii="Arial" w:cs="Arial" w:eastAsia="Arial" w:hAnsi="Arial"/>
          <w:sz w:val="20"/>
          <w:szCs w:val="20"/>
          <w:color w:val="auto"/>
        </w:rPr>
        <w:t>MATADOR RESOURCES COMPANY</w:t>
      </w:r>
    </w:p>
    <w:p>
      <w:pPr>
        <w:spacing w:after="0" w:line="200" w:lineRule="exact"/>
        <w:rPr>
          <w:sz w:val="20"/>
          <w:szCs w:val="20"/>
          <w:color w:val="auto"/>
        </w:rPr>
      </w:pPr>
    </w:p>
    <w:p>
      <w:pPr>
        <w:spacing w:after="0" w:line="259" w:lineRule="exact"/>
        <w:rPr>
          <w:sz w:val="20"/>
          <w:szCs w:val="20"/>
          <w:color w:val="auto"/>
        </w:rPr>
      </w:pPr>
    </w:p>
    <w:p>
      <w:pPr>
        <w:ind w:left="3900"/>
        <w:spacing w:after="0"/>
        <w:tabs>
          <w:tab w:leader="none" w:pos="436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16"/>
          <w:szCs w:val="16"/>
          <w:color w:val="auto"/>
        </w:rPr>
        <w:t>_______________________________________</w:t>
      </w:r>
    </w:p>
    <w:p>
      <w:pPr>
        <w:spacing w:after="0" w:line="15" w:lineRule="exact"/>
        <w:rPr>
          <w:sz w:val="20"/>
          <w:szCs w:val="20"/>
          <w:color w:val="auto"/>
        </w:rPr>
      </w:pPr>
    </w:p>
    <w:p>
      <w:pPr>
        <w:ind w:left="3900"/>
        <w:spacing w:after="0"/>
        <w:tabs>
          <w:tab w:leader="none" w:pos="4600" w:val="left"/>
        </w:tabs>
        <w:rPr>
          <w:sz w:val="20"/>
          <w:szCs w:val="20"/>
          <w:color w:val="auto"/>
        </w:rPr>
      </w:pPr>
      <w:r>
        <w:rPr>
          <w:rFonts w:ascii="Arial" w:cs="Arial" w:eastAsia="Arial" w:hAnsi="Arial"/>
          <w:sz w:val="20"/>
          <w:szCs w:val="20"/>
          <w:color w:val="auto"/>
        </w:rPr>
        <w:t>Name:</w:t>
      </w:r>
      <w:r>
        <w:rPr>
          <w:sz w:val="20"/>
          <w:szCs w:val="20"/>
          <w:color w:val="auto"/>
        </w:rPr>
        <w:tab/>
      </w:r>
      <w:r>
        <w:rPr>
          <w:rFonts w:ascii="Arial" w:cs="Arial" w:eastAsia="Arial" w:hAnsi="Arial"/>
          <w:sz w:val="16"/>
          <w:szCs w:val="16"/>
          <w:color w:val="auto"/>
        </w:rPr>
        <w:t>David E. Lancaster</w:t>
      </w:r>
    </w:p>
    <w:p>
      <w:pPr>
        <w:ind w:left="3900"/>
        <w:spacing w:after="0"/>
        <w:tabs>
          <w:tab w:leader="none" w:pos="4500" w:val="left"/>
        </w:tabs>
        <w:rPr>
          <w:sz w:val="20"/>
          <w:szCs w:val="20"/>
          <w:color w:val="auto"/>
        </w:rPr>
      </w:pPr>
      <w:r>
        <w:rPr>
          <w:rFonts w:ascii="Arial" w:cs="Arial" w:eastAsia="Arial" w:hAnsi="Arial"/>
          <w:sz w:val="20"/>
          <w:szCs w:val="20"/>
          <w:color w:val="auto"/>
        </w:rPr>
        <w:t>Title:</w:t>
      </w:r>
      <w:r>
        <w:rPr>
          <w:sz w:val="20"/>
          <w:szCs w:val="20"/>
          <w:color w:val="auto"/>
        </w:rPr>
        <w:tab/>
      </w:r>
      <w:r>
        <w:rPr>
          <w:rFonts w:ascii="Arial" w:cs="Arial" w:eastAsia="Arial" w:hAnsi="Arial"/>
          <w:sz w:val="16"/>
          <w:szCs w:val="16"/>
          <w:color w:val="auto"/>
        </w:rPr>
        <w:t>Executive Vice President</w:t>
      </w:r>
    </w:p>
    <w:p>
      <w:pPr>
        <w:spacing w:after="0" w:line="200" w:lineRule="exact"/>
        <w:rPr>
          <w:sz w:val="20"/>
          <w:szCs w:val="20"/>
          <w:color w:val="auto"/>
        </w:rPr>
      </w:pPr>
    </w:p>
    <w:p>
      <w:pPr>
        <w:spacing w:after="0" w:line="237" w:lineRule="exact"/>
        <w:rPr>
          <w:sz w:val="20"/>
          <w:szCs w:val="20"/>
          <w:color w:val="auto"/>
        </w:rPr>
      </w:pPr>
    </w:p>
    <w:p>
      <w:pPr>
        <w:ind w:left="3900"/>
        <w:spacing w:after="0"/>
        <w:rPr>
          <w:sz w:val="20"/>
          <w:szCs w:val="20"/>
          <w:color w:val="auto"/>
        </w:rPr>
      </w:pPr>
      <w:r>
        <w:rPr>
          <w:rFonts w:ascii="Arial" w:cs="Arial" w:eastAsia="Arial" w:hAnsi="Arial"/>
          <w:sz w:val="20"/>
          <w:szCs w:val="20"/>
          <w:b w:val="1"/>
          <w:bCs w:val="1"/>
          <w:color w:val="auto"/>
        </w:rPr>
        <w:t>PARTICIPANT:</w:t>
      </w:r>
    </w:p>
    <w:p>
      <w:pPr>
        <w:spacing w:after="0" w:line="200" w:lineRule="exact"/>
        <w:rPr>
          <w:sz w:val="20"/>
          <w:szCs w:val="20"/>
          <w:color w:val="auto"/>
        </w:rPr>
      </w:pPr>
    </w:p>
    <w:p>
      <w:pPr>
        <w:spacing w:after="0" w:line="265"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_____________________________________________</w:t>
      </w:r>
    </w:p>
    <w:p>
      <w:pPr>
        <w:spacing w:after="0" w:line="16"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Signature</w:t>
      </w:r>
    </w:p>
    <w:p>
      <w:pPr>
        <w:spacing w:after="0" w:line="213" w:lineRule="exact"/>
        <w:rPr>
          <w:sz w:val="20"/>
          <w:szCs w:val="20"/>
          <w:color w:val="auto"/>
        </w:rPr>
      </w:pPr>
    </w:p>
    <w:p>
      <w:pPr>
        <w:ind w:left="3900"/>
        <w:spacing w:after="0"/>
        <w:tabs>
          <w:tab w:leader="none" w:pos="4600" w:val="left"/>
        </w:tabs>
        <w:rPr>
          <w:sz w:val="20"/>
          <w:szCs w:val="20"/>
          <w:color w:val="auto"/>
        </w:rPr>
      </w:pPr>
      <w:r>
        <w:rPr>
          <w:rFonts w:ascii="Arial" w:cs="Arial" w:eastAsia="Arial" w:hAnsi="Arial"/>
          <w:sz w:val="20"/>
          <w:szCs w:val="20"/>
          <w:color w:val="auto"/>
        </w:rPr>
        <w:t>Name:</w:t>
        <w:tab/>
        <w:t>[NAME]</w:t>
      </w:r>
    </w:p>
    <w:p>
      <w:pPr>
        <w:spacing w:after="0" w:line="200" w:lineRule="exact"/>
        <w:rPr>
          <w:sz w:val="20"/>
          <w:szCs w:val="20"/>
          <w:color w:val="auto"/>
        </w:rPr>
      </w:pPr>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40"/>
          </w:cols>
          <w:pgMar w:left="320" w:top="838" w:right="339" w:bottom="1440" w:gutter="0" w:footer="0" w:header="0"/>
        </w:sectPr>
      </w:pPr>
    </w:p>
    <w:bookmarkStart w:id="49" w:name="page50"/>
    <w:bookmarkEnd w:id="49"/>
    <w:p>
      <w:pPr>
        <w:jc w:val="right"/>
        <w:spacing w:after="0"/>
        <w:rPr>
          <w:sz w:val="20"/>
          <w:szCs w:val="20"/>
          <w:color w:val="auto"/>
        </w:rPr>
      </w:pPr>
      <w:r>
        <w:rPr>
          <w:rFonts w:ascii="Arial" w:cs="Arial" w:eastAsia="Arial" w:hAnsi="Arial"/>
          <w:sz w:val="18"/>
          <w:szCs w:val="18"/>
          <w:b w:val="1"/>
          <w:bCs w:val="1"/>
          <w:color w:val="auto"/>
        </w:rPr>
        <w:t>Exhibit 10.2</w:t>
      </w: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PERFORMANCE STOCK UNIT AWARD AGREEMENT</w:t>
      </w:r>
    </w:p>
    <w:p>
      <w:pPr>
        <w:spacing w:after="0" w:line="283" w:lineRule="exact"/>
        <w:rPr>
          <w:sz w:val="20"/>
          <w:szCs w:val="20"/>
          <w:color w:val="auto"/>
        </w:rPr>
      </w:pPr>
    </w:p>
    <w:p>
      <w:pPr>
        <w:ind w:left="3960"/>
        <w:spacing w:after="0"/>
        <w:rPr>
          <w:sz w:val="20"/>
          <w:szCs w:val="20"/>
          <w:color w:val="auto"/>
        </w:rPr>
      </w:pPr>
      <w:r>
        <w:rPr>
          <w:rFonts w:ascii="Arial" w:cs="Arial" w:eastAsia="Arial" w:hAnsi="Arial"/>
          <w:sz w:val="20"/>
          <w:szCs w:val="20"/>
          <w:b w:val="1"/>
          <w:bCs w:val="1"/>
          <w:color w:val="auto"/>
        </w:rPr>
        <w:t>MATADOR RESOURCES COMPANY</w:t>
      </w:r>
    </w:p>
    <w:p>
      <w:pPr>
        <w:spacing w:after="0" w:line="27" w:lineRule="exact"/>
        <w:rPr>
          <w:sz w:val="20"/>
          <w:szCs w:val="20"/>
          <w:color w:val="auto"/>
        </w:rPr>
      </w:pPr>
    </w:p>
    <w:p>
      <w:pPr>
        <w:ind w:left="3900"/>
        <w:spacing w:after="0"/>
        <w:rPr>
          <w:sz w:val="20"/>
          <w:szCs w:val="20"/>
          <w:color w:val="auto"/>
        </w:rPr>
      </w:pPr>
      <w:r>
        <w:rPr>
          <w:rFonts w:ascii="Arial" w:cs="Arial" w:eastAsia="Arial" w:hAnsi="Arial"/>
          <w:sz w:val="20"/>
          <w:szCs w:val="20"/>
          <w:b w:val="1"/>
          <w:bCs w:val="1"/>
          <w:color w:val="auto"/>
        </w:rPr>
        <w:t>2019 LONG-TERM INCENTIVE PLAN</w:t>
      </w:r>
    </w:p>
    <w:p>
      <w:pPr>
        <w:spacing w:after="0" w:line="276" w:lineRule="exact"/>
        <w:rPr>
          <w:sz w:val="20"/>
          <w:szCs w:val="20"/>
          <w:color w:val="auto"/>
        </w:rPr>
      </w:pPr>
    </w:p>
    <w:p>
      <w:pPr>
        <w:ind w:firstLine="656"/>
        <w:spacing w:after="0" w:line="260" w:lineRule="auto"/>
        <w:tabs>
          <w:tab w:leader="none" w:pos="1021" w:val="left"/>
        </w:tabs>
        <w:numPr>
          <w:ilvl w:val="0"/>
          <w:numId w:val="34"/>
        </w:numPr>
        <w:rPr>
          <w:rFonts w:ascii="Arial" w:cs="Arial" w:eastAsia="Arial" w:hAnsi="Arial"/>
          <w:sz w:val="20"/>
          <w:szCs w:val="20"/>
          <w:color w:val="auto"/>
        </w:rPr>
      </w:pPr>
      <w:r>
        <w:rPr>
          <w:rFonts w:ascii="Arial" w:cs="Arial" w:eastAsia="Arial" w:hAnsi="Arial"/>
          <w:sz w:val="20"/>
          <w:szCs w:val="20"/>
          <w:u w:val="single" w:color="auto"/>
          <w:color w:val="auto"/>
        </w:rPr>
        <w:t>Award of Performance Stock Units</w:t>
      </w:r>
      <w:r>
        <w:rPr>
          <w:rFonts w:ascii="Arial" w:cs="Arial" w:eastAsia="Arial" w:hAnsi="Arial"/>
          <w:sz w:val="20"/>
          <w:szCs w:val="20"/>
          <w:color w:val="auto"/>
        </w:rPr>
        <w:t>. Pursuant to the Matador Resources Company 2019 Long-Term Incentive Plan (as the same may be amended, the “</w:t>
      </w:r>
      <w:r>
        <w:rPr>
          <w:rFonts w:ascii="Arial" w:cs="Arial" w:eastAsia="Arial" w:hAnsi="Arial"/>
          <w:sz w:val="20"/>
          <w:szCs w:val="20"/>
          <w:b w:val="1"/>
          <w:bCs w:val="1"/>
          <w:i w:val="1"/>
          <w:iCs w:val="1"/>
          <w:color w:val="auto"/>
        </w:rPr>
        <w:t>Plan</w:t>
      </w:r>
      <w:r>
        <w:rPr>
          <w:rFonts w:ascii="Arial" w:cs="Arial" w:eastAsia="Arial" w:hAnsi="Arial"/>
          <w:sz w:val="20"/>
          <w:szCs w:val="20"/>
          <w:color w:val="auto"/>
        </w:rPr>
        <w:t>”), Matador Resources Company, a Texas corporation (the “</w:t>
      </w:r>
      <w:r>
        <w:rPr>
          <w:rFonts w:ascii="Arial" w:cs="Arial" w:eastAsia="Arial" w:hAnsi="Arial"/>
          <w:sz w:val="20"/>
          <w:szCs w:val="20"/>
          <w:b w:val="1"/>
          <w:bCs w:val="1"/>
          <w:i w:val="1"/>
          <w:iCs w:val="1"/>
          <w:color w:val="auto"/>
        </w:rPr>
        <w:t>Company</w:t>
      </w:r>
      <w:r>
        <w:rPr>
          <w:rFonts w:ascii="Arial" w:cs="Arial" w:eastAsia="Arial" w:hAnsi="Arial"/>
          <w:sz w:val="20"/>
          <w:szCs w:val="20"/>
          <w:color w:val="auto"/>
        </w:rPr>
        <w:t>”), grants to</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[NAME]</w:t>
      </w:r>
    </w:p>
    <w:p>
      <w:pPr>
        <w:spacing w:after="0" w:line="3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(the “</w:t>
      </w:r>
      <w:r>
        <w:rPr>
          <w:rFonts w:ascii="Arial" w:cs="Arial" w:eastAsia="Arial" w:hAnsi="Arial"/>
          <w:sz w:val="20"/>
          <w:szCs w:val="20"/>
          <w:b w:val="1"/>
          <w:bCs w:val="1"/>
          <w:i w:val="1"/>
          <w:iCs w:val="1"/>
          <w:color w:val="auto"/>
        </w:rPr>
        <w:t>Participant</w:t>
      </w:r>
      <w:r>
        <w:rPr>
          <w:rFonts w:ascii="Arial" w:cs="Arial" w:eastAsia="Arial" w:hAnsi="Arial"/>
          <w:sz w:val="20"/>
          <w:szCs w:val="20"/>
          <w:color w:val="auto"/>
        </w:rPr>
        <w:t>”),</w:t>
      </w:r>
    </w:p>
    <w:p>
      <w:pPr>
        <w:spacing w:after="0" w:line="283" w:lineRule="exact"/>
        <w:rPr>
          <w:sz w:val="20"/>
          <w:szCs w:val="20"/>
          <w:color w:val="auto"/>
        </w:rPr>
      </w:pPr>
    </w:p>
    <w:p>
      <w:pPr>
        <w:jc w:val="both"/>
        <w:spacing w:after="0" w:line="290" w:lineRule="auto"/>
        <w:rPr>
          <w:sz w:val="20"/>
          <w:szCs w:val="20"/>
          <w:color w:val="auto"/>
        </w:rPr>
      </w:pPr>
      <w:r>
        <w:rPr>
          <w:rFonts w:ascii="Arial" w:cs="Arial" w:eastAsia="Arial" w:hAnsi="Arial"/>
          <w:sz w:val="19"/>
          <w:szCs w:val="19"/>
          <w:color w:val="auto"/>
        </w:rPr>
        <w:t>an Award of Performance Stock Units (the “</w:t>
      </w:r>
      <w:r>
        <w:rPr>
          <w:rFonts w:ascii="Arial" w:cs="Arial" w:eastAsia="Arial" w:hAnsi="Arial"/>
          <w:sz w:val="19"/>
          <w:szCs w:val="19"/>
          <w:b w:val="1"/>
          <w:bCs w:val="1"/>
          <w:i w:val="1"/>
          <w:iCs w:val="1"/>
          <w:color w:val="auto"/>
        </w:rPr>
        <w:t>Performance Stock Units</w:t>
      </w:r>
      <w:r>
        <w:rPr>
          <w:rFonts w:ascii="Arial" w:cs="Arial" w:eastAsia="Arial" w:hAnsi="Arial"/>
          <w:sz w:val="19"/>
          <w:szCs w:val="19"/>
          <w:color w:val="auto"/>
        </w:rPr>
        <w:t xml:space="preserve">”) subject to the terms and conditions of this Performance Stock Unit Award Agreement (including </w:t>
      </w:r>
      <w:r>
        <w:rPr>
          <w:rFonts w:ascii="Arial" w:cs="Arial" w:eastAsia="Arial" w:hAnsi="Arial"/>
          <w:sz w:val="19"/>
          <w:szCs w:val="19"/>
          <w:u w:val="single" w:color="auto"/>
          <w:color w:val="auto"/>
        </w:rPr>
        <w:t>Appendix A</w:t>
      </w:r>
      <w:r>
        <w:rPr>
          <w:rFonts w:ascii="Arial" w:cs="Arial" w:eastAsia="Arial" w:hAnsi="Arial"/>
          <w:sz w:val="19"/>
          <w:szCs w:val="19"/>
          <w:color w:val="auto"/>
        </w:rPr>
        <w:t xml:space="preserve"> attached hereto, this “</w:t>
      </w:r>
      <w:r>
        <w:rPr>
          <w:rFonts w:ascii="Arial" w:cs="Arial" w:eastAsia="Arial" w:hAnsi="Arial"/>
          <w:sz w:val="19"/>
          <w:szCs w:val="19"/>
          <w:b w:val="1"/>
          <w:bCs w:val="1"/>
          <w:i w:val="1"/>
          <w:iCs w:val="1"/>
          <w:color w:val="auto"/>
        </w:rPr>
        <w:t>Agreement</w:t>
      </w:r>
      <w:r>
        <w:rPr>
          <w:rFonts w:ascii="Arial" w:cs="Arial" w:eastAsia="Arial" w:hAnsi="Arial"/>
          <w:sz w:val="19"/>
          <w:szCs w:val="19"/>
          <w:color w:val="auto"/>
        </w:rPr>
        <w:t>”) and the Plan. The target number of Performance Stock Units awarded under this Agreement is [</w:t>
      </w:r>
      <w:r>
        <w:rPr>
          <w:rFonts w:ascii="Arial" w:cs="Arial" w:eastAsia="Arial" w:hAnsi="Arial"/>
          <w:sz w:val="19"/>
          <w:szCs w:val="19"/>
          <w:b w:val="1"/>
          <w:bCs w:val="1"/>
          <w:color w:val="auto"/>
        </w:rPr>
        <w:t>NUMBER</w:t>
      </w:r>
      <w:r>
        <w:rPr>
          <w:rFonts w:ascii="Arial" w:cs="Arial" w:eastAsia="Arial" w:hAnsi="Arial"/>
          <w:sz w:val="19"/>
          <w:szCs w:val="19"/>
          <w:color w:val="auto"/>
        </w:rPr>
        <w:t>] (the “</w:t>
      </w:r>
      <w:r>
        <w:rPr>
          <w:rFonts w:ascii="Arial" w:cs="Arial" w:eastAsia="Arial" w:hAnsi="Arial"/>
          <w:sz w:val="19"/>
          <w:szCs w:val="19"/>
          <w:b w:val="1"/>
          <w:bCs w:val="1"/>
          <w:i w:val="1"/>
          <w:iCs w:val="1"/>
          <w:color w:val="auto"/>
        </w:rPr>
        <w:t>Target Units</w:t>
      </w:r>
      <w:r>
        <w:rPr>
          <w:rFonts w:ascii="Arial" w:cs="Arial" w:eastAsia="Arial" w:hAnsi="Arial"/>
          <w:sz w:val="19"/>
          <w:szCs w:val="19"/>
          <w:color w:val="auto"/>
        </w:rPr>
        <w:t>”). The “</w:t>
      </w:r>
      <w:r>
        <w:rPr>
          <w:rFonts w:ascii="Arial" w:cs="Arial" w:eastAsia="Arial" w:hAnsi="Arial"/>
          <w:sz w:val="19"/>
          <w:szCs w:val="19"/>
          <w:b w:val="1"/>
          <w:bCs w:val="1"/>
          <w:i w:val="1"/>
          <w:iCs w:val="1"/>
          <w:color w:val="auto"/>
        </w:rPr>
        <w:t>Date of Grant</w:t>
      </w:r>
      <w:r>
        <w:rPr>
          <w:rFonts w:ascii="Arial" w:cs="Arial" w:eastAsia="Arial" w:hAnsi="Arial"/>
          <w:sz w:val="19"/>
          <w:szCs w:val="19"/>
          <w:color w:val="auto"/>
        </w:rPr>
        <w:t>” of this Award is [</w:t>
      </w:r>
      <w:r>
        <w:rPr>
          <w:rFonts w:ascii="Arial" w:cs="Arial" w:eastAsia="Arial" w:hAnsi="Arial"/>
          <w:sz w:val="19"/>
          <w:szCs w:val="19"/>
          <w:b w:val="1"/>
          <w:bCs w:val="1"/>
          <w:color w:val="auto"/>
        </w:rPr>
        <w:t>DATE</w:t>
      </w:r>
      <w:r>
        <w:rPr>
          <w:rFonts w:ascii="Arial" w:cs="Arial" w:eastAsia="Arial" w:hAnsi="Arial"/>
          <w:sz w:val="19"/>
          <w:szCs w:val="19"/>
          <w:color w:val="auto"/>
        </w:rPr>
        <w:t>]. Each Performance Stock Unit subject to this Award shall represent a notional share of Common Stock, with the value of each Performance Stock Unit being equal to the Fair Market Value of a share of Common Stock at any given time.</w:t>
      </w:r>
    </w:p>
    <w:p>
      <w:pPr>
        <w:spacing w:after="0" w:line="205" w:lineRule="exact"/>
        <w:rPr>
          <w:sz w:val="20"/>
          <w:szCs w:val="20"/>
          <w:color w:val="auto"/>
        </w:rPr>
      </w:pPr>
    </w:p>
    <w:p>
      <w:pPr>
        <w:jc w:val="both"/>
        <w:ind w:firstLine="656"/>
        <w:spacing w:after="0" w:line="276" w:lineRule="auto"/>
        <w:tabs>
          <w:tab w:leader="none" w:pos="1035" w:val="left"/>
        </w:tabs>
        <w:numPr>
          <w:ilvl w:val="0"/>
          <w:numId w:val="35"/>
        </w:numPr>
        <w:rPr>
          <w:rFonts w:ascii="Arial" w:cs="Arial" w:eastAsia="Arial" w:hAnsi="Arial"/>
          <w:sz w:val="18"/>
          <w:szCs w:val="18"/>
          <w:color w:val="auto"/>
        </w:rPr>
      </w:pPr>
      <w:r>
        <w:rPr>
          <w:rFonts w:ascii="Arial" w:cs="Arial" w:eastAsia="Arial" w:hAnsi="Arial"/>
          <w:sz w:val="18"/>
          <w:szCs w:val="18"/>
          <w:u w:val="single" w:color="auto"/>
          <w:color w:val="auto"/>
        </w:rPr>
        <w:t>Subject to Plan; Definitions</w:t>
      </w:r>
      <w:r>
        <w:rPr>
          <w:rFonts w:ascii="Arial" w:cs="Arial" w:eastAsia="Arial" w:hAnsi="Arial"/>
          <w:sz w:val="18"/>
          <w:szCs w:val="18"/>
          <w:color w:val="auto"/>
        </w:rPr>
        <w:t>. This Agreement is subject to the terms and conditions of the Plan, and the terms of the Plan shall control to the extent not otherwise inconsistent with the provisions of this Agreement. To the extent the terms of the Plan are inconsistent with the provisions of this Agreement, this Agreement shall control. This Agreement is subject to any rules promulgated pursuant to the Plan by the Board or the Committee and communicated to the Participant in writing. Unless defined herein, the capitalized terms used herein that are defined in the Plan shall have the same meanings assigned to them in the Plan, or where indicated, as defined in that certain Employment Agreement, effective as of [</w:t>
      </w:r>
      <w:r>
        <w:rPr>
          <w:rFonts w:ascii="Arial" w:cs="Arial" w:eastAsia="Arial" w:hAnsi="Arial"/>
          <w:sz w:val="18"/>
          <w:szCs w:val="18"/>
          <w:b w:val="1"/>
          <w:bCs w:val="1"/>
          <w:color w:val="auto"/>
        </w:rPr>
        <w:t>DATE</w:t>
      </w:r>
      <w:r>
        <w:rPr>
          <w:rFonts w:ascii="Arial" w:cs="Arial" w:eastAsia="Arial" w:hAnsi="Arial"/>
          <w:sz w:val="18"/>
          <w:szCs w:val="18"/>
          <w:color w:val="auto"/>
        </w:rPr>
        <w:t>], by and between the Company and the Participant (the “</w:t>
      </w:r>
      <w:r>
        <w:rPr>
          <w:rFonts w:ascii="Arial" w:cs="Arial" w:eastAsia="Arial" w:hAnsi="Arial"/>
          <w:sz w:val="18"/>
          <w:szCs w:val="18"/>
          <w:b w:val="1"/>
          <w:bCs w:val="1"/>
          <w:i w:val="1"/>
          <w:iCs w:val="1"/>
          <w:color w:val="auto"/>
        </w:rPr>
        <w:t>Employment Agreement</w:t>
      </w:r>
      <w:r>
        <w:rPr>
          <w:rFonts w:ascii="Arial" w:cs="Arial" w:eastAsia="Arial" w:hAnsi="Arial"/>
          <w:sz w:val="18"/>
          <w:szCs w:val="18"/>
          <w:color w:val="auto"/>
        </w:rPr>
        <w:t>”).</w:t>
      </w:r>
    </w:p>
    <w:p>
      <w:pPr>
        <w:spacing w:after="0" w:line="205" w:lineRule="exact"/>
        <w:rPr>
          <w:rFonts w:ascii="Arial" w:cs="Arial" w:eastAsia="Arial" w:hAnsi="Arial"/>
          <w:sz w:val="18"/>
          <w:szCs w:val="18"/>
          <w:color w:val="auto"/>
        </w:rPr>
      </w:pPr>
    </w:p>
    <w:p>
      <w:pPr>
        <w:ind w:left="1000" w:hanging="344"/>
        <w:spacing w:after="0"/>
        <w:tabs>
          <w:tab w:leader="none" w:pos="1000" w:val="left"/>
        </w:tabs>
        <w:numPr>
          <w:ilvl w:val="0"/>
          <w:numId w:val="35"/>
        </w:numPr>
        <w:rPr>
          <w:rFonts w:ascii="Arial" w:cs="Arial" w:eastAsia="Arial" w:hAnsi="Arial"/>
          <w:sz w:val="20"/>
          <w:szCs w:val="20"/>
          <w:color w:val="auto"/>
        </w:rPr>
      </w:pPr>
      <w:r>
        <w:rPr>
          <w:rFonts w:ascii="Arial" w:cs="Arial" w:eastAsia="Arial" w:hAnsi="Arial"/>
          <w:sz w:val="20"/>
          <w:szCs w:val="20"/>
          <w:u w:val="single" w:color="auto"/>
          <w:color w:val="auto"/>
        </w:rPr>
        <w:t>Vesting; Settlement of Performance Stock Units</w:t>
      </w:r>
      <w:r>
        <w:rPr>
          <w:rFonts w:ascii="Arial" w:cs="Arial" w:eastAsia="Arial" w:hAnsi="Arial"/>
          <w:sz w:val="20"/>
          <w:szCs w:val="20"/>
          <w:color w:val="auto"/>
        </w:rPr>
        <w:t>.</w:t>
      </w:r>
    </w:p>
    <w:p>
      <w:pPr>
        <w:spacing w:after="0" w:line="229" w:lineRule="exact"/>
        <w:rPr>
          <w:sz w:val="20"/>
          <w:szCs w:val="20"/>
          <w:color w:val="auto"/>
        </w:rPr>
      </w:pPr>
    </w:p>
    <w:p>
      <w:pPr>
        <w:jc w:val="both"/>
        <w:ind w:firstLine="656"/>
        <w:spacing w:after="0" w:line="278" w:lineRule="auto"/>
        <w:tabs>
          <w:tab w:leader="none" w:pos="1084" w:val="left"/>
        </w:tabs>
        <w:numPr>
          <w:ilvl w:val="0"/>
          <w:numId w:val="36"/>
        </w:numPr>
        <w:rPr>
          <w:rFonts w:ascii="Arial" w:cs="Arial" w:eastAsia="Arial" w:hAnsi="Arial"/>
          <w:sz w:val="18"/>
          <w:szCs w:val="18"/>
          <w:color w:val="auto"/>
        </w:rPr>
      </w:pPr>
      <w:r>
        <w:rPr>
          <w:rFonts w:ascii="Arial" w:cs="Arial" w:eastAsia="Arial" w:hAnsi="Arial"/>
          <w:sz w:val="18"/>
          <w:szCs w:val="18"/>
          <w:color w:val="auto"/>
        </w:rPr>
        <w:t xml:space="preserve">Subject to the Participant’s continuous employment with or service to the Company or a Subsidiary through the end of the Performance Period (as defined in </w:t>
      </w:r>
      <w:r>
        <w:rPr>
          <w:rFonts w:ascii="Arial" w:cs="Arial" w:eastAsia="Arial" w:hAnsi="Arial"/>
          <w:sz w:val="18"/>
          <w:szCs w:val="18"/>
          <w:u w:val="single" w:color="auto"/>
          <w:color w:val="auto"/>
        </w:rPr>
        <w:t>Appendix A</w:t>
      </w:r>
      <w:r>
        <w:rPr>
          <w:rFonts w:ascii="Arial" w:cs="Arial" w:eastAsia="Arial" w:hAnsi="Arial"/>
          <w:sz w:val="18"/>
          <w:szCs w:val="18"/>
          <w:color w:val="auto"/>
        </w:rPr>
        <w:t xml:space="preserve">), the actual number of shares of Common Stock that may become issuable pursuant to the Performance Stock Units shall be determined in accordance with the performance-based vesting requirements set forth in </w:t>
      </w:r>
      <w:r>
        <w:rPr>
          <w:rFonts w:ascii="Arial" w:cs="Arial" w:eastAsia="Arial" w:hAnsi="Arial"/>
          <w:sz w:val="18"/>
          <w:szCs w:val="18"/>
          <w:u w:val="single" w:color="auto"/>
          <w:color w:val="auto"/>
        </w:rPr>
        <w:t>Appendix A</w:t>
      </w:r>
      <w:r>
        <w:rPr>
          <w:rFonts w:ascii="Arial" w:cs="Arial" w:eastAsia="Arial" w:hAnsi="Arial"/>
          <w:sz w:val="18"/>
          <w:szCs w:val="18"/>
          <w:color w:val="auto"/>
        </w:rPr>
        <w:t xml:space="preserve"> attached hereto and this </w:t>
      </w:r>
      <w:r>
        <w:rPr>
          <w:rFonts w:ascii="Arial" w:cs="Arial" w:eastAsia="Arial" w:hAnsi="Arial"/>
          <w:sz w:val="18"/>
          <w:szCs w:val="18"/>
          <w:u w:val="single" w:color="auto"/>
          <w:color w:val="auto"/>
        </w:rPr>
        <w:t>Section 3</w:t>
      </w:r>
      <w:r>
        <w:rPr>
          <w:rFonts w:ascii="Arial" w:cs="Arial" w:eastAsia="Arial" w:hAnsi="Arial"/>
          <w:sz w:val="18"/>
          <w:szCs w:val="18"/>
          <w:color w:val="auto"/>
        </w:rPr>
        <w:t xml:space="preserve">. Performance Stock Units that become vested pursuant to the terms of </w:t>
      </w:r>
      <w:r>
        <w:rPr>
          <w:rFonts w:ascii="Arial" w:cs="Arial" w:eastAsia="Arial" w:hAnsi="Arial"/>
          <w:sz w:val="18"/>
          <w:szCs w:val="18"/>
          <w:u w:val="single" w:color="auto"/>
          <w:color w:val="auto"/>
        </w:rPr>
        <w:t>Appendix A</w:t>
      </w:r>
      <w:r>
        <w:rPr>
          <w:rFonts w:ascii="Arial" w:cs="Arial" w:eastAsia="Arial" w:hAnsi="Arial"/>
          <w:sz w:val="18"/>
          <w:szCs w:val="18"/>
          <w:color w:val="auto"/>
        </w:rPr>
        <w:t xml:space="preserve"> or this Section 3 are collectively referred to herein as “</w:t>
      </w:r>
      <w:r>
        <w:rPr>
          <w:rFonts w:ascii="Arial" w:cs="Arial" w:eastAsia="Arial" w:hAnsi="Arial"/>
          <w:sz w:val="18"/>
          <w:szCs w:val="18"/>
          <w:b w:val="1"/>
          <w:bCs w:val="1"/>
          <w:i w:val="1"/>
          <w:iCs w:val="1"/>
          <w:color w:val="auto"/>
        </w:rPr>
        <w:t>Vested Units</w:t>
      </w:r>
      <w:r>
        <w:rPr>
          <w:rFonts w:ascii="Arial" w:cs="Arial" w:eastAsia="Arial" w:hAnsi="Arial"/>
          <w:sz w:val="18"/>
          <w:szCs w:val="18"/>
          <w:color w:val="auto"/>
        </w:rPr>
        <w:t>.” All other Performance Stock Units are collectively referred to herein as “</w:t>
      </w:r>
      <w:r>
        <w:rPr>
          <w:rFonts w:ascii="Arial" w:cs="Arial" w:eastAsia="Arial" w:hAnsi="Arial"/>
          <w:sz w:val="18"/>
          <w:szCs w:val="18"/>
          <w:b w:val="1"/>
          <w:bCs w:val="1"/>
          <w:i w:val="1"/>
          <w:iCs w:val="1"/>
          <w:color w:val="auto"/>
        </w:rPr>
        <w:t>Unvested Units</w:t>
      </w:r>
      <w:r>
        <w:rPr>
          <w:rFonts w:ascii="Arial" w:cs="Arial" w:eastAsia="Arial" w:hAnsi="Arial"/>
          <w:sz w:val="18"/>
          <w:szCs w:val="18"/>
          <w:color w:val="auto"/>
        </w:rPr>
        <w:t>.”</w:t>
      </w:r>
    </w:p>
    <w:p>
      <w:pPr>
        <w:spacing w:after="0" w:line="178" w:lineRule="exact"/>
        <w:rPr>
          <w:rFonts w:ascii="Arial" w:cs="Arial" w:eastAsia="Arial" w:hAnsi="Arial"/>
          <w:sz w:val="18"/>
          <w:szCs w:val="18"/>
          <w:color w:val="auto"/>
        </w:rPr>
      </w:pPr>
    </w:p>
    <w:p>
      <w:pPr>
        <w:jc w:val="both"/>
        <w:ind w:firstLine="656"/>
        <w:spacing w:after="0" w:line="274" w:lineRule="auto"/>
        <w:tabs>
          <w:tab w:leader="none" w:pos="1015" w:val="left"/>
        </w:tabs>
        <w:numPr>
          <w:ilvl w:val="0"/>
          <w:numId w:val="36"/>
        </w:numPr>
        <w:rPr>
          <w:rFonts w:ascii="Arial" w:cs="Arial" w:eastAsia="Arial" w:hAnsi="Arial"/>
          <w:sz w:val="18"/>
          <w:szCs w:val="18"/>
          <w:color w:val="auto"/>
        </w:rPr>
      </w:pPr>
      <w:r>
        <w:rPr>
          <w:rFonts w:ascii="Arial" w:cs="Arial" w:eastAsia="Arial" w:hAnsi="Arial"/>
          <w:sz w:val="18"/>
          <w:szCs w:val="18"/>
          <w:color w:val="auto"/>
        </w:rPr>
        <w:t xml:space="preserve">The Vested Units, as determined pursuant to </w:t>
      </w:r>
      <w:r>
        <w:rPr>
          <w:rFonts w:ascii="Arial" w:cs="Arial" w:eastAsia="Arial" w:hAnsi="Arial"/>
          <w:sz w:val="18"/>
          <w:szCs w:val="18"/>
          <w:u w:val="single" w:color="auto"/>
          <w:color w:val="auto"/>
        </w:rPr>
        <w:t>Appendix A</w:t>
      </w:r>
      <w:r>
        <w:rPr>
          <w:rFonts w:ascii="Arial" w:cs="Arial" w:eastAsia="Arial" w:hAnsi="Arial"/>
          <w:sz w:val="18"/>
          <w:szCs w:val="18"/>
          <w:color w:val="auto"/>
        </w:rPr>
        <w:t xml:space="preserve">, shall vest on the Vesting Date (as defined in </w:t>
      </w:r>
      <w:r>
        <w:rPr>
          <w:rFonts w:ascii="Arial" w:cs="Arial" w:eastAsia="Arial" w:hAnsi="Arial"/>
          <w:sz w:val="18"/>
          <w:szCs w:val="18"/>
          <w:u w:val="single" w:color="auto"/>
          <w:color w:val="auto"/>
        </w:rPr>
        <w:t>Appendix A</w:t>
      </w:r>
      <w:r>
        <w:rPr>
          <w:rFonts w:ascii="Arial" w:cs="Arial" w:eastAsia="Arial" w:hAnsi="Arial"/>
          <w:sz w:val="18"/>
          <w:szCs w:val="18"/>
          <w:color w:val="auto"/>
        </w:rPr>
        <w:t xml:space="preserve">). Subject to the provisions of the Plan and this Agreement, within thirty (30) days following the Vesting Date, and in no event later than two and a half (2½) months following the close of the calendar year in which the Performance Period (as defined in </w:t>
      </w:r>
      <w:r>
        <w:rPr>
          <w:rFonts w:ascii="Arial" w:cs="Arial" w:eastAsia="Arial" w:hAnsi="Arial"/>
          <w:sz w:val="18"/>
          <w:szCs w:val="18"/>
          <w:u w:val="single" w:color="auto"/>
          <w:color w:val="auto"/>
        </w:rPr>
        <w:t>Appendix A</w:t>
      </w:r>
      <w:r>
        <w:rPr>
          <w:rFonts w:ascii="Arial" w:cs="Arial" w:eastAsia="Arial" w:hAnsi="Arial"/>
          <w:sz w:val="18"/>
          <w:szCs w:val="18"/>
          <w:color w:val="auto"/>
        </w:rPr>
        <w:t>) ends, the Company shall deliver to the Participant or the Participant’s personal representative a number of shares of Common Stock equal to the number of Vested Units credited to the Participant. Vested Units may be converted only with respect to full shares, and no fractional share of Common Stock shall be issued. Notwithstanding anything herein to the contrary, if the Participant incurs a Termination of Service for any reason after the last day of the Performance Period, but prior to the Vesting Date, the Participant shall not forfeit the Performance Stock</w:t>
      </w:r>
    </w:p>
    <w:p>
      <w:pPr>
        <w:sectPr>
          <w:pgSz w:w="11900" w:h="16838" w:orient="portrait"/>
          <w:cols w:equalWidth="0" w:num="1">
            <w:col w:w="11240"/>
          </w:cols>
          <w:pgMar w:left="320" w:top="148" w:right="339" w:bottom="1440" w:gutter="0" w:footer="0" w:header="0"/>
        </w:sectPr>
      </w:pPr>
    </w:p>
    <w:bookmarkStart w:id="50" w:name="page51"/>
    <w:bookmarkEnd w:id="50"/>
    <w:p>
      <w:pPr>
        <w:spacing w:after="0" w:line="260" w:lineRule="auto"/>
        <w:rPr>
          <w:sz w:val="20"/>
          <w:szCs w:val="20"/>
          <w:color w:val="auto"/>
        </w:rPr>
      </w:pPr>
      <w:r>
        <w:rPr>
          <w:rFonts w:ascii="Arial" w:cs="Arial" w:eastAsia="Arial" w:hAnsi="Arial"/>
          <w:sz w:val="20"/>
          <w:szCs w:val="20"/>
          <w:color w:val="auto"/>
        </w:rPr>
        <w:t xml:space="preserve">Units by reason of such Termination of Service to the extent such Performance Stock Units would have otherwise vested in accordance with this </w:t>
      </w:r>
      <w:r>
        <w:rPr>
          <w:rFonts w:ascii="Arial" w:cs="Arial" w:eastAsia="Arial" w:hAnsi="Arial"/>
          <w:sz w:val="20"/>
          <w:szCs w:val="20"/>
          <w:u w:val="single" w:color="auto"/>
          <w:color w:val="auto"/>
        </w:rPr>
        <w:t>Section 3</w:t>
      </w:r>
      <w:r>
        <w:rPr>
          <w:rFonts w:ascii="Arial" w:cs="Arial" w:eastAsia="Arial" w:hAnsi="Arial"/>
          <w:sz w:val="20"/>
          <w:szCs w:val="20"/>
          <w:color w:val="auto"/>
        </w:rPr>
        <w:t>.</w:t>
      </w:r>
    </w:p>
    <w:p>
      <w:pPr>
        <w:spacing w:after="0" w:line="190" w:lineRule="exact"/>
        <w:rPr>
          <w:sz w:val="20"/>
          <w:szCs w:val="20"/>
          <w:color w:val="auto"/>
        </w:rPr>
      </w:pPr>
    </w:p>
    <w:p>
      <w:pPr>
        <w:jc w:val="both"/>
        <w:ind w:firstLine="656"/>
        <w:spacing w:after="0" w:line="276" w:lineRule="auto"/>
        <w:tabs>
          <w:tab w:leader="none" w:pos="1165" w:val="left"/>
        </w:tabs>
        <w:numPr>
          <w:ilvl w:val="0"/>
          <w:numId w:val="37"/>
        </w:numPr>
        <w:rPr>
          <w:rFonts w:ascii="Arial" w:cs="Arial" w:eastAsia="Arial" w:hAnsi="Arial"/>
          <w:sz w:val="18"/>
          <w:szCs w:val="18"/>
          <w:color w:val="auto"/>
        </w:rPr>
      </w:pPr>
      <w:r>
        <w:rPr>
          <w:rFonts w:ascii="Arial" w:cs="Arial" w:eastAsia="Arial" w:hAnsi="Arial"/>
          <w:sz w:val="18"/>
          <w:szCs w:val="18"/>
          <w:color w:val="auto"/>
        </w:rPr>
        <w:t>Notwithstanding the foregoing, if within thirty (30) days prior to a Change in Control (as defined in the Employment Agreement), the Participant incurs a Termination of Service by the Company without Just Cause (as defined in the Employment Agreement) or by the Participant with [or without] Good Reason (as defined in the Employment Agreement), then effective immediately prior to such Termination of Service, Participant shall vest in a number of shares of Common Stock equal to the number of Performance Stock Units that would have otherwise vested based on the Company’s performance, as determined by the Committee, through an abbreviated Performance Period that ends as of immediately prior to the effective date of such Termination of Service.</w:t>
      </w:r>
    </w:p>
    <w:p>
      <w:pPr>
        <w:spacing w:after="0" w:line="178" w:lineRule="exact"/>
        <w:rPr>
          <w:rFonts w:ascii="Arial" w:cs="Arial" w:eastAsia="Arial" w:hAnsi="Arial"/>
          <w:sz w:val="18"/>
          <w:szCs w:val="18"/>
          <w:color w:val="auto"/>
        </w:rPr>
      </w:pPr>
    </w:p>
    <w:p>
      <w:pPr>
        <w:jc w:val="both"/>
        <w:ind w:firstLine="656"/>
        <w:spacing w:after="0" w:line="260" w:lineRule="auto"/>
        <w:tabs>
          <w:tab w:leader="none" w:pos="1007" w:val="left"/>
        </w:tabs>
        <w:numPr>
          <w:ilvl w:val="0"/>
          <w:numId w:val="37"/>
        </w:numPr>
        <w:rPr>
          <w:rFonts w:ascii="Arial" w:cs="Arial" w:eastAsia="Arial" w:hAnsi="Arial"/>
          <w:sz w:val="19"/>
          <w:szCs w:val="19"/>
          <w:color w:val="auto"/>
        </w:rPr>
      </w:pPr>
      <w:r>
        <w:rPr>
          <w:rFonts w:ascii="Arial" w:cs="Arial" w:eastAsia="Arial" w:hAnsi="Arial"/>
          <w:sz w:val="19"/>
          <w:szCs w:val="19"/>
          <w:color w:val="auto"/>
        </w:rPr>
        <w:t>In the event a Change in Control occurs prior to the completion of the Performance Period and Participant has not experienced a Termination of Service prior to the effective date of the Change in Control, Participant shall vest immediately prior to the consummation of such Change in Control in a number of shares of Common Stock equal to the number of Performance Stock Units that would have otherwise vested based on the Company’s performance, as determined by the Committee, through an abbreviated Performance Period that ends as of immediately prior to the effective date of the Change in Control.</w:t>
      </w:r>
    </w:p>
    <w:p>
      <w:pPr>
        <w:spacing w:after="0" w:line="194" w:lineRule="exact"/>
        <w:rPr>
          <w:sz w:val="20"/>
          <w:szCs w:val="20"/>
          <w:color w:val="auto"/>
        </w:rPr>
      </w:pPr>
    </w:p>
    <w:p>
      <w:pPr>
        <w:jc w:val="both"/>
        <w:ind w:firstLine="656"/>
        <w:spacing w:after="0" w:line="244" w:lineRule="auto"/>
        <w:tabs>
          <w:tab w:leader="none" w:pos="1062" w:val="left"/>
        </w:tabs>
        <w:numPr>
          <w:ilvl w:val="0"/>
          <w:numId w:val="38"/>
        </w:numPr>
        <w:rPr>
          <w:rFonts w:ascii="Arial" w:cs="Arial" w:eastAsia="Arial" w:hAnsi="Arial"/>
          <w:sz w:val="20"/>
          <w:szCs w:val="20"/>
          <w:color w:val="auto"/>
        </w:rPr>
      </w:pPr>
      <w:r>
        <w:rPr>
          <w:rFonts w:ascii="Arial" w:cs="Arial" w:eastAsia="Arial" w:hAnsi="Arial"/>
          <w:sz w:val="20"/>
          <w:szCs w:val="20"/>
          <w:u w:val="single" w:color="auto"/>
          <w:color w:val="auto"/>
        </w:rPr>
        <w:t>Forfeiture of Performance Stock Units</w:t>
      </w:r>
      <w:r>
        <w:rPr>
          <w:rFonts w:ascii="Arial" w:cs="Arial" w:eastAsia="Arial" w:hAnsi="Arial"/>
          <w:sz w:val="20"/>
          <w:szCs w:val="20"/>
          <w:color w:val="auto"/>
        </w:rPr>
        <w:t xml:space="preserve">. Unvested Units shall be forfeited, without the payment of any consideration therefor, immediately upon the earlier of (i) the Vesting Date, to the extent the performance-based vesting conditions have not been satisfied and the Performance Stock Units have not vested in accordance with </w:t>
      </w:r>
      <w:r>
        <w:rPr>
          <w:rFonts w:ascii="Arial" w:cs="Arial" w:eastAsia="Arial" w:hAnsi="Arial"/>
          <w:sz w:val="20"/>
          <w:szCs w:val="20"/>
          <w:u w:val="single" w:color="auto"/>
          <w:color w:val="auto"/>
        </w:rPr>
        <w:t>Section 3</w:t>
      </w:r>
      <w:r>
        <w:rPr>
          <w:rFonts w:ascii="Arial" w:cs="Arial" w:eastAsia="Arial" w:hAnsi="Arial"/>
          <w:sz w:val="20"/>
          <w:szCs w:val="20"/>
          <w:color w:val="auto"/>
        </w:rPr>
        <w:t xml:space="preserve">, and (ii) subject to </w:t>
      </w:r>
      <w:r>
        <w:rPr>
          <w:rFonts w:ascii="Arial" w:cs="Arial" w:eastAsia="Arial" w:hAnsi="Arial"/>
          <w:sz w:val="20"/>
          <w:szCs w:val="20"/>
          <w:u w:val="single" w:color="auto"/>
          <w:color w:val="auto"/>
        </w:rPr>
        <w:t>Section 3</w:t>
      </w:r>
      <w:r>
        <w:rPr>
          <w:rFonts w:ascii="Arial" w:cs="Arial" w:eastAsia="Arial" w:hAnsi="Arial"/>
          <w:sz w:val="20"/>
          <w:szCs w:val="20"/>
          <w:color w:val="auto"/>
        </w:rPr>
        <w:t>, the Participant’s Termination of Service. Upon forfeiture, all of the Participant’s rights with respect to the forfeited Unvested Units shall cease and terminate, without any further obligations on the part of the Company.</w:t>
      </w:r>
    </w:p>
    <w:p>
      <w:pPr>
        <w:spacing w:after="0" w:line="248" w:lineRule="exact"/>
        <w:rPr>
          <w:rFonts w:ascii="Arial" w:cs="Arial" w:eastAsia="Arial" w:hAnsi="Arial"/>
          <w:sz w:val="20"/>
          <w:szCs w:val="20"/>
          <w:color w:val="auto"/>
        </w:rPr>
      </w:pPr>
    </w:p>
    <w:p>
      <w:pPr>
        <w:jc w:val="both"/>
        <w:ind w:firstLine="656"/>
        <w:spacing w:after="0" w:line="303" w:lineRule="auto"/>
        <w:tabs>
          <w:tab w:leader="none" w:pos="1021" w:val="left"/>
        </w:tabs>
        <w:numPr>
          <w:ilvl w:val="0"/>
          <w:numId w:val="38"/>
        </w:numPr>
        <w:rPr>
          <w:rFonts w:ascii="Arial" w:cs="Arial" w:eastAsia="Arial" w:hAnsi="Arial"/>
          <w:sz w:val="18"/>
          <w:szCs w:val="18"/>
          <w:color w:val="auto"/>
        </w:rPr>
      </w:pPr>
      <w:r>
        <w:rPr>
          <w:rFonts w:ascii="Arial" w:cs="Arial" w:eastAsia="Arial" w:hAnsi="Arial"/>
          <w:sz w:val="18"/>
          <w:szCs w:val="18"/>
          <w:u w:val="single" w:color="auto"/>
          <w:color w:val="auto"/>
        </w:rPr>
        <w:t>Restrictions on Performance Stock Units</w:t>
      </w:r>
      <w:r>
        <w:rPr>
          <w:rFonts w:ascii="Arial" w:cs="Arial" w:eastAsia="Arial" w:hAnsi="Arial"/>
          <w:sz w:val="18"/>
          <w:szCs w:val="18"/>
          <w:color w:val="auto"/>
        </w:rPr>
        <w:t>. Subject to the provisions of the Plan and the terms of this Agreement, the Participant shall not be permitted to sell, transfer, pledge, hypothecate, margin, assign or otherwise encumber any of the Performance Stock Units, except that, the Participant may transfer for no consideration some or all of the Performance Stock Units to (a) one or more members of the Participant’s Immediate Family, (b) a trust in which the Participant or members of his or her Immediate Family have more than fifty percent of the beneficial interest, (c) a foundation in which the Participant or members of his or her Immediate Family control the management of assets or (d) any other entity in which the Participant or members of his or her Immediate Family own more than fifty percent of the voting interests. Any such transferee must agree in writing on a form prescribed by the Company to be bound by all of the provisions of this Agreement to the same extent as they apply to the Participant. Notwithstanding any such transfer, any vesting conditioned upon the Participant’s continued employment or service with the Company or its Subsidiaries shall continue to relate to the Participant’s continued employment or service and any covenants applicable to Participant hereunder shall continue to apply to Participant. In addition, the Committee may in its sole discretion, remove any or all of the restrictions on such Performance Stock Units whenever it may determine that, by reason of changes in applicable laws or changes in circumstances after the date of this Agreement, such action is appropriate.</w:t>
      </w:r>
    </w:p>
    <w:p>
      <w:pPr>
        <w:spacing w:after="0" w:line="198" w:lineRule="exact"/>
        <w:rPr>
          <w:rFonts w:ascii="Arial" w:cs="Arial" w:eastAsia="Arial" w:hAnsi="Arial"/>
          <w:sz w:val="18"/>
          <w:szCs w:val="18"/>
          <w:color w:val="auto"/>
        </w:rPr>
      </w:pPr>
    </w:p>
    <w:p>
      <w:pPr>
        <w:jc w:val="both"/>
        <w:ind w:firstLine="656"/>
        <w:spacing w:after="0" w:line="260" w:lineRule="auto"/>
        <w:tabs>
          <w:tab w:leader="none" w:pos="1089" w:val="left"/>
        </w:tabs>
        <w:numPr>
          <w:ilvl w:val="0"/>
          <w:numId w:val="38"/>
        </w:numPr>
        <w:rPr>
          <w:rFonts w:ascii="Arial" w:cs="Arial" w:eastAsia="Arial" w:hAnsi="Arial"/>
          <w:sz w:val="19"/>
          <w:szCs w:val="19"/>
          <w:color w:val="auto"/>
        </w:rPr>
      </w:pPr>
      <w:r>
        <w:rPr>
          <w:rFonts w:ascii="Arial" w:cs="Arial" w:eastAsia="Arial" w:hAnsi="Arial"/>
          <w:sz w:val="19"/>
          <w:szCs w:val="19"/>
          <w:u w:val="single" w:color="auto"/>
          <w:color w:val="auto"/>
        </w:rPr>
        <w:t>Rights of a Shareholder</w:t>
      </w:r>
      <w:r>
        <w:rPr>
          <w:rFonts w:ascii="Arial" w:cs="Arial" w:eastAsia="Arial" w:hAnsi="Arial"/>
          <w:sz w:val="19"/>
          <w:szCs w:val="19"/>
          <w:color w:val="auto"/>
        </w:rPr>
        <w:t xml:space="preserve">. The Participant will have no rights as a shareholder with respect to any Performance Stock Units covered by this Agreement (including, without limitation, any voting rights or the right to receive any dividends) until the issuance of a certificate or certificates to the Participant or the registration of such shares in the Participant’s name for shares of Common Stock. Except as otherwise provided in </w:t>
      </w:r>
      <w:r>
        <w:rPr>
          <w:rFonts w:ascii="Arial" w:cs="Arial" w:eastAsia="Arial" w:hAnsi="Arial"/>
          <w:sz w:val="19"/>
          <w:szCs w:val="19"/>
          <w:u w:val="single" w:color="auto"/>
          <w:color w:val="auto"/>
        </w:rPr>
        <w:t>Section 7</w:t>
      </w:r>
      <w:r>
        <w:rPr>
          <w:rFonts w:ascii="Arial" w:cs="Arial" w:eastAsia="Arial" w:hAnsi="Arial"/>
          <w:sz w:val="19"/>
          <w:szCs w:val="19"/>
          <w:color w:val="auto"/>
        </w:rPr>
        <w:t xml:space="preserve"> hereof, no adjustment shall be made for dividends or other rights for which the record date is prior to the issuance of such shares of Common Stock. The Participant, by his or her execution of</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40"/>
          </w:cols>
          <w:pgMar w:left="320" w:top="595" w:right="339" w:bottom="1440" w:gutter="0" w:footer="0" w:header="0"/>
        </w:sectPr>
      </w:pPr>
    </w:p>
    <w:bookmarkStart w:id="51" w:name="page52"/>
    <w:bookmarkEnd w:id="51"/>
    <w:p>
      <w:pPr>
        <w:spacing w:after="0" w:line="260" w:lineRule="auto"/>
        <w:rPr>
          <w:sz w:val="20"/>
          <w:szCs w:val="20"/>
          <w:color w:val="auto"/>
        </w:rPr>
      </w:pPr>
      <w:r>
        <w:rPr>
          <w:rFonts w:ascii="Arial" w:cs="Arial" w:eastAsia="Arial" w:hAnsi="Arial"/>
          <w:sz w:val="20"/>
          <w:szCs w:val="20"/>
          <w:color w:val="auto"/>
        </w:rPr>
        <w:t>this Agreement, agrees to execute any documents requested by the Company in connection with the issuance of such shares of Common Stock.</w:t>
      </w:r>
    </w:p>
    <w:p>
      <w:pPr>
        <w:spacing w:after="0" w:line="190" w:lineRule="exact"/>
        <w:rPr>
          <w:sz w:val="20"/>
          <w:szCs w:val="20"/>
          <w:color w:val="auto"/>
        </w:rPr>
      </w:pPr>
    </w:p>
    <w:p>
      <w:pPr>
        <w:ind w:firstLine="656"/>
        <w:spacing w:after="0" w:line="260" w:lineRule="auto"/>
        <w:tabs>
          <w:tab w:leader="none" w:pos="1048" w:val="left"/>
        </w:tabs>
        <w:numPr>
          <w:ilvl w:val="0"/>
          <w:numId w:val="39"/>
        </w:numPr>
        <w:rPr>
          <w:rFonts w:ascii="Arial" w:cs="Arial" w:eastAsia="Arial" w:hAnsi="Arial"/>
          <w:sz w:val="20"/>
          <w:szCs w:val="20"/>
          <w:color w:val="auto"/>
        </w:rPr>
      </w:pPr>
      <w:r>
        <w:rPr>
          <w:rFonts w:ascii="Arial" w:cs="Arial" w:eastAsia="Arial" w:hAnsi="Arial"/>
          <w:sz w:val="20"/>
          <w:szCs w:val="20"/>
          <w:u w:val="single" w:color="auto"/>
          <w:color w:val="auto"/>
        </w:rPr>
        <w:t>Adjustment to Number of Performance Stock Units</w:t>
      </w:r>
      <w:r>
        <w:rPr>
          <w:rFonts w:ascii="Arial" w:cs="Arial" w:eastAsia="Arial" w:hAnsi="Arial"/>
          <w:sz w:val="20"/>
          <w:szCs w:val="20"/>
          <w:color w:val="auto"/>
        </w:rPr>
        <w:t xml:space="preserve">. The number of Target Units shall be subject to adjustment in accordance with </w:t>
      </w:r>
      <w:r>
        <w:rPr>
          <w:rFonts w:ascii="Arial" w:cs="Arial" w:eastAsia="Arial" w:hAnsi="Arial"/>
          <w:sz w:val="20"/>
          <w:szCs w:val="20"/>
          <w:u w:val="single" w:color="auto"/>
          <w:color w:val="auto"/>
        </w:rPr>
        <w:t>Articles 11-13</w:t>
      </w:r>
      <w:r>
        <w:rPr>
          <w:rFonts w:ascii="Arial" w:cs="Arial" w:eastAsia="Arial" w:hAnsi="Arial"/>
          <w:sz w:val="20"/>
          <w:szCs w:val="20"/>
          <w:color w:val="auto"/>
        </w:rPr>
        <w:t xml:space="preserve"> of the Plan.</w:t>
      </w:r>
    </w:p>
    <w:p>
      <w:pPr>
        <w:spacing w:after="0" w:line="217" w:lineRule="exact"/>
        <w:rPr>
          <w:rFonts w:ascii="Arial" w:cs="Arial" w:eastAsia="Arial" w:hAnsi="Arial"/>
          <w:sz w:val="20"/>
          <w:szCs w:val="20"/>
          <w:color w:val="auto"/>
        </w:rPr>
      </w:pPr>
    </w:p>
    <w:p>
      <w:pPr>
        <w:jc w:val="both"/>
        <w:ind w:firstLine="656"/>
        <w:spacing w:after="0" w:line="243" w:lineRule="auto"/>
        <w:tabs>
          <w:tab w:leader="none" w:pos="1008" w:val="left"/>
        </w:tabs>
        <w:numPr>
          <w:ilvl w:val="0"/>
          <w:numId w:val="39"/>
        </w:numPr>
        <w:rPr>
          <w:rFonts w:ascii="Arial" w:cs="Arial" w:eastAsia="Arial" w:hAnsi="Arial"/>
          <w:sz w:val="20"/>
          <w:szCs w:val="20"/>
          <w:color w:val="auto"/>
        </w:rPr>
      </w:pPr>
      <w:r>
        <w:rPr>
          <w:rFonts w:ascii="Arial" w:cs="Arial" w:eastAsia="Arial" w:hAnsi="Arial"/>
          <w:sz w:val="20"/>
          <w:szCs w:val="20"/>
          <w:u w:val="single" w:color="auto"/>
          <w:color w:val="auto"/>
        </w:rPr>
        <w:t>Participant’s Representations</w:t>
      </w:r>
      <w:r>
        <w:rPr>
          <w:rFonts w:ascii="Arial" w:cs="Arial" w:eastAsia="Arial" w:hAnsi="Arial"/>
          <w:sz w:val="20"/>
          <w:szCs w:val="20"/>
          <w:color w:val="auto"/>
        </w:rPr>
        <w:t>. Notwithstanding any of the provisions hereof, the Participant hereby agrees that he or she will not acquire any shares of Common Stock, and that the Company will not be obligated to issue any shares of Common Stock to the Participant hereunder if the issuance of such shares would constitute a violation by the Participant or the Company of any provision of any law or regulation of any governmental authority or any national securities exchange or inter-dealer quotation system or other forum in which shares of Common Stock are quoted or traded. Any determination in this connection by the Company shall be final, binding, and conclusive. The rights and obligations of the Company and the rights and obligations of the Participant are subject to all Applicable Laws, rules, and regulations.</w:t>
      </w:r>
    </w:p>
    <w:p>
      <w:pPr>
        <w:spacing w:after="0" w:line="246" w:lineRule="exact"/>
        <w:rPr>
          <w:rFonts w:ascii="Arial" w:cs="Arial" w:eastAsia="Arial" w:hAnsi="Arial"/>
          <w:sz w:val="20"/>
          <w:szCs w:val="20"/>
          <w:color w:val="auto"/>
        </w:rPr>
      </w:pPr>
    </w:p>
    <w:p>
      <w:pPr>
        <w:jc w:val="both"/>
        <w:ind w:firstLine="656"/>
        <w:spacing w:after="0" w:line="319" w:lineRule="auto"/>
        <w:tabs>
          <w:tab w:leader="none" w:pos="1048" w:val="left"/>
        </w:tabs>
        <w:numPr>
          <w:ilvl w:val="0"/>
          <w:numId w:val="39"/>
        </w:numPr>
        <w:rPr>
          <w:rFonts w:ascii="Arial" w:cs="Arial" w:eastAsia="Arial" w:hAnsi="Arial"/>
          <w:sz w:val="18"/>
          <w:szCs w:val="18"/>
          <w:color w:val="auto"/>
        </w:rPr>
      </w:pPr>
      <w:r>
        <w:rPr>
          <w:rFonts w:ascii="Arial" w:cs="Arial" w:eastAsia="Arial" w:hAnsi="Arial"/>
          <w:sz w:val="18"/>
          <w:szCs w:val="18"/>
          <w:u w:val="single" w:color="auto"/>
          <w:color w:val="auto"/>
        </w:rPr>
        <w:t>Participant’s Acknowledgments</w:t>
      </w:r>
      <w:r>
        <w:rPr>
          <w:rFonts w:ascii="Arial" w:cs="Arial" w:eastAsia="Arial" w:hAnsi="Arial"/>
          <w:sz w:val="18"/>
          <w:szCs w:val="18"/>
          <w:color w:val="auto"/>
        </w:rPr>
        <w:t>. The Participant acknowledges that a copy of the Plan has been made available for his or her review by the Company, and represents that he or she is familiar with the terms and provisions thereof, and hereby accepts this Award subject to all the terms and provisions thereof. The Participant hereby agrees to accept as binding, conclusive, and final all decisions or interpretations of the Committee or the Board, as appropriate, upon any questions arising under the Plan or this Agreement.</w:t>
      </w:r>
    </w:p>
    <w:p>
      <w:pPr>
        <w:spacing w:after="0" w:line="182" w:lineRule="exact"/>
        <w:rPr>
          <w:rFonts w:ascii="Arial" w:cs="Arial" w:eastAsia="Arial" w:hAnsi="Arial"/>
          <w:sz w:val="18"/>
          <w:szCs w:val="18"/>
          <w:color w:val="auto"/>
        </w:rPr>
      </w:pPr>
    </w:p>
    <w:p>
      <w:pPr>
        <w:jc w:val="both"/>
        <w:ind w:firstLine="656"/>
        <w:spacing w:after="0" w:line="250" w:lineRule="auto"/>
        <w:tabs>
          <w:tab w:leader="none" w:pos="1201" w:val="left"/>
        </w:tabs>
        <w:numPr>
          <w:ilvl w:val="0"/>
          <w:numId w:val="39"/>
        </w:numPr>
        <w:rPr>
          <w:rFonts w:ascii="Arial" w:cs="Arial" w:eastAsia="Arial" w:hAnsi="Arial"/>
          <w:sz w:val="20"/>
          <w:szCs w:val="20"/>
          <w:color w:val="auto"/>
        </w:rPr>
      </w:pPr>
      <w:r>
        <w:rPr>
          <w:rFonts w:ascii="Arial" w:cs="Arial" w:eastAsia="Arial" w:hAnsi="Arial"/>
          <w:sz w:val="20"/>
          <w:szCs w:val="20"/>
          <w:u w:val="single" w:color="auto"/>
          <w:color w:val="auto"/>
        </w:rPr>
        <w:t>Law Governing</w:t>
      </w:r>
      <w:r>
        <w:rPr>
          <w:rFonts w:ascii="Arial" w:cs="Arial" w:eastAsia="Arial" w:hAnsi="Arial"/>
          <w:sz w:val="20"/>
          <w:szCs w:val="20"/>
          <w:color w:val="auto"/>
        </w:rPr>
        <w:t>. This Agreement shall be governed by, construed, and enforced in accordance with the laws of the State of Texas (excluding any conflict of laws rule or principle of Texas law that might refer the governance, construction, or interpretation of this Agreement to the laws of another state).</w:t>
      </w:r>
    </w:p>
    <w:p>
      <w:pPr>
        <w:spacing w:after="0" w:line="226" w:lineRule="exact"/>
        <w:rPr>
          <w:rFonts w:ascii="Arial" w:cs="Arial" w:eastAsia="Arial" w:hAnsi="Arial"/>
          <w:sz w:val="20"/>
          <w:szCs w:val="20"/>
          <w:color w:val="auto"/>
        </w:rPr>
      </w:pPr>
    </w:p>
    <w:p>
      <w:pPr>
        <w:jc w:val="both"/>
        <w:ind w:firstLine="656"/>
        <w:spacing w:after="0" w:line="246" w:lineRule="auto"/>
        <w:tabs>
          <w:tab w:leader="none" w:pos="1153" w:val="left"/>
        </w:tabs>
        <w:numPr>
          <w:ilvl w:val="0"/>
          <w:numId w:val="39"/>
        </w:numPr>
        <w:rPr>
          <w:rFonts w:ascii="Arial" w:cs="Arial" w:eastAsia="Arial" w:hAnsi="Arial"/>
          <w:sz w:val="20"/>
          <w:szCs w:val="20"/>
          <w:color w:val="auto"/>
        </w:rPr>
      </w:pPr>
      <w:r>
        <w:rPr>
          <w:rFonts w:ascii="Arial" w:cs="Arial" w:eastAsia="Arial" w:hAnsi="Arial"/>
          <w:sz w:val="20"/>
          <w:szCs w:val="20"/>
          <w:u w:val="single" w:color="auto"/>
          <w:color w:val="auto"/>
        </w:rPr>
        <w:t>No Right to Continue Service or Employment</w:t>
      </w:r>
      <w:r>
        <w:rPr>
          <w:rFonts w:ascii="Arial" w:cs="Arial" w:eastAsia="Arial" w:hAnsi="Arial"/>
          <w:sz w:val="20"/>
          <w:szCs w:val="20"/>
          <w:color w:val="auto"/>
        </w:rPr>
        <w:t>. Nothing herein shall be construed to confer upon the Participant the right to continue in the employ or to provide services to the Company or any Subsidiary, whether as an Employee or as a Contractor or as an Outside Director, or interfere with or restrict in any way the right of the Company or any Subsidiary to discharge the Participant as an Employee, Contractor, or Outside Director at any time.</w:t>
      </w:r>
    </w:p>
    <w:p>
      <w:pPr>
        <w:spacing w:after="0" w:line="231" w:lineRule="exact"/>
        <w:rPr>
          <w:rFonts w:ascii="Arial" w:cs="Arial" w:eastAsia="Arial" w:hAnsi="Arial"/>
          <w:sz w:val="20"/>
          <w:szCs w:val="20"/>
          <w:color w:val="auto"/>
        </w:rPr>
      </w:pPr>
    </w:p>
    <w:p>
      <w:pPr>
        <w:jc w:val="both"/>
        <w:ind w:firstLine="656"/>
        <w:spacing w:after="0" w:line="244" w:lineRule="auto"/>
        <w:tabs>
          <w:tab w:leader="none" w:pos="1215" w:val="left"/>
        </w:tabs>
        <w:numPr>
          <w:ilvl w:val="0"/>
          <w:numId w:val="39"/>
        </w:numPr>
        <w:rPr>
          <w:rFonts w:ascii="Arial" w:cs="Arial" w:eastAsia="Arial" w:hAnsi="Arial"/>
          <w:sz w:val="20"/>
          <w:szCs w:val="20"/>
          <w:color w:val="auto"/>
        </w:rPr>
      </w:pPr>
      <w:r>
        <w:rPr>
          <w:rFonts w:ascii="Arial" w:cs="Arial" w:eastAsia="Arial" w:hAnsi="Arial"/>
          <w:sz w:val="20"/>
          <w:szCs w:val="20"/>
          <w:u w:val="single" w:color="auto"/>
          <w:color w:val="auto"/>
        </w:rPr>
        <w:t>Legal Construction.</w:t>
      </w:r>
      <w:r>
        <w:rPr>
          <w:rFonts w:ascii="Arial" w:cs="Arial" w:eastAsia="Arial" w:hAnsi="Arial"/>
          <w:sz w:val="20"/>
          <w:szCs w:val="20"/>
          <w:color w:val="auto"/>
        </w:rPr>
        <w:t xml:space="preserve"> In the event that any one or more of the terms, provisions, or agreements that are contained in this Agreement shall be held by a court of competent jurisdiction to be invalid, illegal, or unenforceable in any respect for any reason, the invalid, illegal, or unenforceable term, provision, or agreement shall not affect any other term, provision, or agreement that is contained in this Agreement and this Agreement shall be construed in all respects as if the invalid, illegal, or unenforceable term, provision, or agreement had never been contained herein.</w:t>
      </w:r>
    </w:p>
    <w:p>
      <w:pPr>
        <w:spacing w:after="0" w:line="234" w:lineRule="exact"/>
        <w:rPr>
          <w:rFonts w:ascii="Arial" w:cs="Arial" w:eastAsia="Arial" w:hAnsi="Arial"/>
          <w:sz w:val="20"/>
          <w:szCs w:val="20"/>
          <w:color w:val="auto"/>
        </w:rPr>
      </w:pPr>
    </w:p>
    <w:p>
      <w:pPr>
        <w:jc w:val="both"/>
        <w:ind w:right="20" w:firstLine="656"/>
        <w:spacing w:after="0" w:line="282" w:lineRule="auto"/>
        <w:tabs>
          <w:tab w:leader="none" w:pos="1242" w:val="left"/>
        </w:tabs>
        <w:numPr>
          <w:ilvl w:val="0"/>
          <w:numId w:val="39"/>
        </w:numPr>
        <w:rPr>
          <w:rFonts w:ascii="Arial" w:cs="Arial" w:eastAsia="Arial" w:hAnsi="Arial"/>
          <w:sz w:val="18"/>
          <w:szCs w:val="18"/>
          <w:color w:val="auto"/>
        </w:rPr>
      </w:pPr>
      <w:r>
        <w:rPr>
          <w:rFonts w:ascii="Arial" w:cs="Arial" w:eastAsia="Arial" w:hAnsi="Arial"/>
          <w:sz w:val="18"/>
          <w:szCs w:val="18"/>
          <w:u w:val="single" w:color="auto"/>
          <w:color w:val="auto"/>
        </w:rPr>
        <w:t>Covenants and Agreements as Independent Agreements</w:t>
      </w:r>
      <w:r>
        <w:rPr>
          <w:rFonts w:ascii="Arial" w:cs="Arial" w:eastAsia="Arial" w:hAnsi="Arial"/>
          <w:sz w:val="18"/>
          <w:szCs w:val="18"/>
          <w:color w:val="auto"/>
        </w:rPr>
        <w:t>. Each of the covenants and agreements that is set forth in this Agreement shall be construed as a covenant and agreement independent of any other provision of this Agreement. The existence of any claim or cause of action of the Participant against the Company, whether predicated on this Agreement or otherwise, shall not constitute a defense to the enforcement by the Company of the covenants and agreements that are set forth in this Agreement.</w:t>
      </w:r>
    </w:p>
    <w:p>
      <w:pPr>
        <w:spacing w:after="0" w:line="201" w:lineRule="exact"/>
        <w:rPr>
          <w:rFonts w:ascii="Arial" w:cs="Arial" w:eastAsia="Arial" w:hAnsi="Arial"/>
          <w:sz w:val="18"/>
          <w:szCs w:val="18"/>
          <w:color w:val="auto"/>
        </w:rPr>
      </w:pPr>
    </w:p>
    <w:p>
      <w:pPr>
        <w:jc w:val="both"/>
        <w:ind w:firstLine="656"/>
        <w:spacing w:after="0" w:line="250" w:lineRule="auto"/>
        <w:tabs>
          <w:tab w:leader="none" w:pos="1120" w:val="left"/>
        </w:tabs>
        <w:numPr>
          <w:ilvl w:val="0"/>
          <w:numId w:val="39"/>
        </w:numPr>
        <w:rPr>
          <w:rFonts w:ascii="Arial" w:cs="Arial" w:eastAsia="Arial" w:hAnsi="Arial"/>
          <w:sz w:val="20"/>
          <w:szCs w:val="20"/>
          <w:color w:val="auto"/>
        </w:rPr>
      </w:pPr>
      <w:r>
        <w:rPr>
          <w:rFonts w:ascii="Arial" w:cs="Arial" w:eastAsia="Arial" w:hAnsi="Arial"/>
          <w:sz w:val="20"/>
          <w:szCs w:val="20"/>
          <w:u w:val="single" w:color="auto"/>
          <w:color w:val="auto"/>
        </w:rPr>
        <w:t>Entire Agreement</w:t>
      </w:r>
      <w:r>
        <w:rPr>
          <w:rFonts w:ascii="Arial" w:cs="Arial" w:eastAsia="Arial" w:hAnsi="Arial"/>
          <w:sz w:val="20"/>
          <w:szCs w:val="20"/>
          <w:color w:val="auto"/>
        </w:rPr>
        <w:t>. This Agreement together with the Plan (as each may be amended from time to time) supersede any and all other prior understandings and agreements, either oral or in writing, between the parties with respect to the subject matter hereof and constitute the sole and only agreements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40"/>
          </w:cols>
          <w:pgMar w:left="320" w:top="595" w:right="339" w:bottom="1440" w:gutter="0" w:footer="0" w:header="0"/>
        </w:sectPr>
      </w:pPr>
    </w:p>
    <w:bookmarkStart w:id="52" w:name="page53"/>
    <w:bookmarkEnd w:id="52"/>
    <w:p>
      <w:pPr>
        <w:jc w:val="both"/>
        <w:spacing w:after="0" w:line="244" w:lineRule="auto"/>
        <w:rPr>
          <w:sz w:val="20"/>
          <w:szCs w:val="20"/>
          <w:color w:val="auto"/>
        </w:rPr>
      </w:pPr>
      <w:r>
        <w:rPr>
          <w:rFonts w:ascii="Arial" w:cs="Arial" w:eastAsia="Arial" w:hAnsi="Arial"/>
          <w:sz w:val="20"/>
          <w:szCs w:val="20"/>
          <w:color w:val="auto"/>
        </w:rPr>
        <w:t>between the parties with respect to the said subject matter. All prior negotiations and agreements between the parties with respect to the subject matter hereof are merged into this Agreement and the Plan. Each party to this Agreement acknowledges that no representations, inducements, promises, or agreements, orally or otherwise, have been made by any party or by anyone acting on behalf of any party, which are not embodied in this Agreement or the Plan and that any agreement, statement or promise that is not contained in this Agreement or the Plan shall not be valid or binding or of any force or effect.</w:t>
      </w:r>
    </w:p>
    <w:p>
      <w:pPr>
        <w:spacing w:after="0" w:line="235" w:lineRule="exact"/>
        <w:rPr>
          <w:sz w:val="20"/>
          <w:szCs w:val="20"/>
          <w:color w:val="auto"/>
        </w:rPr>
      </w:pPr>
    </w:p>
    <w:p>
      <w:pPr>
        <w:jc w:val="both"/>
        <w:ind w:firstLine="656"/>
        <w:spacing w:after="0" w:line="244" w:lineRule="auto"/>
        <w:tabs>
          <w:tab w:leader="none" w:pos="1093" w:val="left"/>
        </w:tabs>
        <w:numPr>
          <w:ilvl w:val="0"/>
          <w:numId w:val="40"/>
        </w:numPr>
        <w:rPr>
          <w:rFonts w:ascii="Arial" w:cs="Arial" w:eastAsia="Arial" w:hAnsi="Arial"/>
          <w:sz w:val="20"/>
          <w:szCs w:val="20"/>
          <w:color w:val="auto"/>
        </w:rPr>
      </w:pPr>
      <w:r>
        <w:rPr>
          <w:rFonts w:ascii="Arial" w:cs="Arial" w:eastAsia="Arial" w:hAnsi="Arial"/>
          <w:sz w:val="20"/>
          <w:szCs w:val="20"/>
          <w:u w:val="single" w:color="auto"/>
          <w:color w:val="auto"/>
        </w:rPr>
        <w:t>Parties Bound</w:t>
      </w:r>
      <w:r>
        <w:rPr>
          <w:rFonts w:ascii="Arial" w:cs="Arial" w:eastAsia="Arial" w:hAnsi="Arial"/>
          <w:sz w:val="20"/>
          <w:szCs w:val="20"/>
          <w:color w:val="auto"/>
        </w:rPr>
        <w:t>. The terms, provisions, and agreements that are contained in this Agreement shall apply to, be binding upon, and inure to the benefit of the parties and their respective heirs, executors, administrators, legal representatives, and permitted successors and assigns, subject to the limitation on assignment expressly set forth herein. No person shall be permitted to acquire any Performance Stock Units without first executing and delivering an agreement in a form satisfactory to the Company making such person subject to the restrictions on transfer contained herein.</w:t>
      </w:r>
    </w:p>
    <w:p>
      <w:pPr>
        <w:spacing w:after="0" w:line="234" w:lineRule="exact"/>
        <w:rPr>
          <w:rFonts w:ascii="Arial" w:cs="Arial" w:eastAsia="Arial" w:hAnsi="Arial"/>
          <w:sz w:val="20"/>
          <w:szCs w:val="20"/>
          <w:color w:val="auto"/>
        </w:rPr>
      </w:pPr>
    </w:p>
    <w:p>
      <w:pPr>
        <w:jc w:val="both"/>
        <w:ind w:firstLine="656"/>
        <w:spacing w:after="0" w:line="271" w:lineRule="auto"/>
        <w:tabs>
          <w:tab w:leader="none" w:pos="1215" w:val="left"/>
        </w:tabs>
        <w:numPr>
          <w:ilvl w:val="0"/>
          <w:numId w:val="40"/>
        </w:numPr>
        <w:rPr>
          <w:rFonts w:ascii="Arial" w:cs="Arial" w:eastAsia="Arial" w:hAnsi="Arial"/>
          <w:sz w:val="18"/>
          <w:szCs w:val="18"/>
          <w:color w:val="auto"/>
        </w:rPr>
      </w:pPr>
      <w:r>
        <w:rPr>
          <w:rFonts w:ascii="Arial" w:cs="Arial" w:eastAsia="Arial" w:hAnsi="Arial"/>
          <w:sz w:val="18"/>
          <w:szCs w:val="18"/>
          <w:u w:val="single" w:color="auto"/>
          <w:color w:val="auto"/>
        </w:rPr>
        <w:t>Modification</w:t>
      </w:r>
      <w:r>
        <w:rPr>
          <w:rFonts w:ascii="Arial" w:cs="Arial" w:eastAsia="Arial" w:hAnsi="Arial"/>
          <w:sz w:val="18"/>
          <w:szCs w:val="18"/>
          <w:color w:val="auto"/>
        </w:rPr>
        <w:t xml:space="preserve">. The Committee may amend this Agreement at any time and from time to time without the consent of the Participant; provided, however that no such amendment may materially and adversely affect the rights of the Participant without his or her consent; and provided, further, that the Company may change or modify this Agreement without the Participant’s consent or signature if the Company determines, in its sole discretion, that such change or modification is necessary for purposes of compliance with or exemption from the requirements of Code Section 409A or any regulations or other guidance issued thereunder. To the extent that any provision hereof is modified in order to comply with Code Section 409A, such modification shall be made in good faith and shall, to the maximum extent reasonably possible, maintain the original intent and economic benefit to the Participant and the Company of the applicable provision without violating the provisions of Code Section 409A, and in no event may any such amendment modify the time or form of payment of any amount payable pursuant to this Agreement if such modification would be in violation of Code Section 409A. Notwithstanding the provisions of this </w:t>
      </w:r>
      <w:r>
        <w:rPr>
          <w:rFonts w:ascii="Arial" w:cs="Arial" w:eastAsia="Arial" w:hAnsi="Arial"/>
          <w:sz w:val="18"/>
          <w:szCs w:val="18"/>
          <w:u w:val="single" w:color="auto"/>
          <w:color w:val="auto"/>
        </w:rPr>
        <w:t>Section 16</w:t>
      </w:r>
      <w:r>
        <w:rPr>
          <w:rFonts w:ascii="Arial" w:cs="Arial" w:eastAsia="Arial" w:hAnsi="Arial"/>
          <w:sz w:val="18"/>
          <w:szCs w:val="18"/>
          <w:color w:val="auto"/>
        </w:rPr>
        <w:t>, the Company may amend the Plan to the extent permitted by the Plan.</w:t>
      </w:r>
    </w:p>
    <w:p>
      <w:pPr>
        <w:spacing w:after="0" w:line="187" w:lineRule="exact"/>
        <w:rPr>
          <w:rFonts w:ascii="Arial" w:cs="Arial" w:eastAsia="Arial" w:hAnsi="Arial"/>
          <w:sz w:val="18"/>
          <w:szCs w:val="18"/>
          <w:color w:val="auto"/>
        </w:rPr>
      </w:pPr>
    </w:p>
    <w:p>
      <w:pPr>
        <w:ind w:firstLine="656"/>
        <w:spacing w:after="0" w:line="260" w:lineRule="auto"/>
        <w:tabs>
          <w:tab w:leader="none" w:pos="1174" w:val="left"/>
        </w:tabs>
        <w:numPr>
          <w:ilvl w:val="0"/>
          <w:numId w:val="40"/>
        </w:numPr>
        <w:rPr>
          <w:rFonts w:ascii="Arial" w:cs="Arial" w:eastAsia="Arial" w:hAnsi="Arial"/>
          <w:sz w:val="20"/>
          <w:szCs w:val="20"/>
          <w:color w:val="auto"/>
        </w:rPr>
      </w:pPr>
      <w:r>
        <w:rPr>
          <w:rFonts w:ascii="Arial" w:cs="Arial" w:eastAsia="Arial" w:hAnsi="Arial"/>
          <w:sz w:val="20"/>
          <w:szCs w:val="20"/>
          <w:u w:val="single" w:color="auto"/>
          <w:color w:val="auto"/>
        </w:rPr>
        <w:t>Headings</w:t>
      </w:r>
      <w:r>
        <w:rPr>
          <w:rFonts w:ascii="Arial" w:cs="Arial" w:eastAsia="Arial" w:hAnsi="Arial"/>
          <w:sz w:val="20"/>
          <w:szCs w:val="20"/>
          <w:color w:val="auto"/>
        </w:rPr>
        <w:t>. The headings that are used in this Agreement are used for reference and convenience purposes only and do not constitute substantive matters to be considered in construing the terms and provisions of this Agreement.</w:t>
      </w:r>
    </w:p>
    <w:p>
      <w:pPr>
        <w:spacing w:after="0" w:line="217" w:lineRule="exact"/>
        <w:rPr>
          <w:rFonts w:ascii="Arial" w:cs="Arial" w:eastAsia="Arial" w:hAnsi="Arial"/>
          <w:sz w:val="20"/>
          <w:szCs w:val="20"/>
          <w:color w:val="auto"/>
        </w:rPr>
      </w:pPr>
    </w:p>
    <w:p>
      <w:pPr>
        <w:ind w:firstLine="656"/>
        <w:spacing w:after="0" w:line="287" w:lineRule="auto"/>
        <w:tabs>
          <w:tab w:leader="none" w:pos="1107" w:val="left"/>
        </w:tabs>
        <w:numPr>
          <w:ilvl w:val="0"/>
          <w:numId w:val="40"/>
        </w:numPr>
        <w:rPr>
          <w:rFonts w:ascii="Arial" w:cs="Arial" w:eastAsia="Arial" w:hAnsi="Arial"/>
          <w:sz w:val="19"/>
          <w:szCs w:val="19"/>
          <w:color w:val="auto"/>
        </w:rPr>
      </w:pPr>
      <w:r>
        <w:rPr>
          <w:rFonts w:ascii="Arial" w:cs="Arial" w:eastAsia="Arial" w:hAnsi="Arial"/>
          <w:sz w:val="19"/>
          <w:szCs w:val="19"/>
          <w:u w:val="single" w:color="auto"/>
          <w:color w:val="auto"/>
        </w:rPr>
        <w:t>Gender and Number</w:t>
      </w:r>
      <w:r>
        <w:rPr>
          <w:rFonts w:ascii="Arial" w:cs="Arial" w:eastAsia="Arial" w:hAnsi="Arial"/>
          <w:sz w:val="19"/>
          <w:szCs w:val="19"/>
          <w:color w:val="auto"/>
        </w:rPr>
        <w:t>. Words of any gender used in this Agreement shall be held and construed to include any other gender, and words in the singular number shall be held to include the plural, and vice versa, unless the context requires otherwise.</w:t>
      </w:r>
    </w:p>
    <w:p>
      <w:pPr>
        <w:spacing w:after="0" w:line="192" w:lineRule="exact"/>
        <w:rPr>
          <w:rFonts w:ascii="Arial" w:cs="Arial" w:eastAsia="Arial" w:hAnsi="Arial"/>
          <w:sz w:val="19"/>
          <w:szCs w:val="19"/>
          <w:color w:val="auto"/>
        </w:rPr>
      </w:pPr>
    </w:p>
    <w:p>
      <w:pPr>
        <w:jc w:val="both"/>
        <w:ind w:firstLine="656"/>
        <w:spacing w:after="0" w:line="250" w:lineRule="auto"/>
        <w:tabs>
          <w:tab w:leader="none" w:pos="1093" w:val="left"/>
        </w:tabs>
        <w:numPr>
          <w:ilvl w:val="0"/>
          <w:numId w:val="40"/>
        </w:numPr>
        <w:rPr>
          <w:rFonts w:ascii="Arial" w:cs="Arial" w:eastAsia="Arial" w:hAnsi="Arial"/>
          <w:sz w:val="20"/>
          <w:szCs w:val="20"/>
          <w:color w:val="auto"/>
        </w:rPr>
      </w:pPr>
      <w:r>
        <w:rPr>
          <w:rFonts w:ascii="Arial" w:cs="Arial" w:eastAsia="Arial" w:hAnsi="Arial"/>
          <w:sz w:val="20"/>
          <w:szCs w:val="20"/>
          <w:u w:val="single" w:color="auto"/>
          <w:color w:val="auto"/>
        </w:rPr>
        <w:t>Notice</w:t>
      </w:r>
      <w:r>
        <w:rPr>
          <w:rFonts w:ascii="Arial" w:cs="Arial" w:eastAsia="Arial" w:hAnsi="Arial"/>
          <w:sz w:val="20"/>
          <w:szCs w:val="20"/>
          <w:color w:val="auto"/>
        </w:rPr>
        <w:t>. Any notice required or permitted to be delivered hereunder shall be deemed to be delivered only when actually received by the Company or by the Participant, as the case may be, at the addresses set forth below, or at such other addresses as they have theretofore specified by written notice delivered in accordance herewith:</w:t>
      </w:r>
    </w:p>
    <w:p>
      <w:pPr>
        <w:spacing w:after="0" w:line="240" w:lineRule="exact"/>
        <w:rPr>
          <w:sz w:val="20"/>
          <w:szCs w:val="20"/>
          <w:color w:val="auto"/>
        </w:rPr>
      </w:pPr>
    </w:p>
    <w:p>
      <w:pPr>
        <w:ind w:left="1000" w:hanging="344"/>
        <w:spacing w:after="0"/>
        <w:tabs>
          <w:tab w:leader="none" w:pos="1000" w:val="left"/>
        </w:tabs>
        <w:numPr>
          <w:ilvl w:val="0"/>
          <w:numId w:val="41"/>
        </w:numPr>
        <w:rPr>
          <w:rFonts w:ascii="Arial" w:cs="Arial" w:eastAsia="Arial" w:hAnsi="Arial"/>
          <w:sz w:val="20"/>
          <w:szCs w:val="20"/>
          <w:color w:val="auto"/>
        </w:rPr>
      </w:pPr>
      <w:r>
        <w:rPr>
          <w:rFonts w:ascii="Arial" w:cs="Arial" w:eastAsia="Arial" w:hAnsi="Arial"/>
          <w:sz w:val="20"/>
          <w:szCs w:val="20"/>
          <w:color w:val="auto"/>
        </w:rPr>
        <w:t>Notice to the Company shall be addressed and delivered as follows:</w:t>
      </w:r>
    </w:p>
    <w:p>
      <w:pPr>
        <w:spacing w:after="0" w:line="283" w:lineRule="exact"/>
        <w:rPr>
          <w:sz w:val="20"/>
          <w:szCs w:val="20"/>
          <w:color w:val="auto"/>
        </w:rPr>
      </w:pPr>
    </w:p>
    <w:p>
      <w:pPr>
        <w:ind w:left="1960"/>
        <w:spacing w:after="0"/>
        <w:rPr>
          <w:sz w:val="20"/>
          <w:szCs w:val="20"/>
          <w:color w:val="auto"/>
        </w:rPr>
      </w:pPr>
      <w:r>
        <w:rPr>
          <w:rFonts w:ascii="Arial" w:cs="Arial" w:eastAsia="Arial" w:hAnsi="Arial"/>
          <w:sz w:val="20"/>
          <w:szCs w:val="20"/>
          <w:color w:val="auto"/>
        </w:rPr>
        <w:t>Matador Resources Company</w:t>
      </w:r>
    </w:p>
    <w:p>
      <w:pPr>
        <w:spacing w:after="0" w:line="27" w:lineRule="exact"/>
        <w:rPr>
          <w:sz w:val="20"/>
          <w:szCs w:val="20"/>
          <w:color w:val="auto"/>
        </w:rPr>
      </w:pPr>
    </w:p>
    <w:p>
      <w:pPr>
        <w:ind w:left="1960"/>
        <w:spacing w:after="0"/>
        <w:rPr>
          <w:sz w:val="20"/>
          <w:szCs w:val="20"/>
          <w:color w:val="auto"/>
        </w:rPr>
      </w:pPr>
      <w:r>
        <w:rPr>
          <w:rFonts w:ascii="Arial" w:cs="Arial" w:eastAsia="Arial" w:hAnsi="Arial"/>
          <w:sz w:val="20"/>
          <w:szCs w:val="20"/>
          <w:color w:val="auto"/>
        </w:rPr>
        <w:t>5400 LBJ Fwy, Suite 1500</w:t>
      </w:r>
    </w:p>
    <w:p>
      <w:pPr>
        <w:spacing w:after="0" w:line="27" w:lineRule="exact"/>
        <w:rPr>
          <w:sz w:val="20"/>
          <w:szCs w:val="20"/>
          <w:color w:val="auto"/>
        </w:rPr>
      </w:pPr>
    </w:p>
    <w:p>
      <w:pPr>
        <w:ind w:left="1960"/>
        <w:spacing w:after="0"/>
        <w:rPr>
          <w:sz w:val="20"/>
          <w:szCs w:val="20"/>
          <w:color w:val="auto"/>
        </w:rPr>
      </w:pPr>
      <w:r>
        <w:rPr>
          <w:rFonts w:ascii="Arial" w:cs="Arial" w:eastAsia="Arial" w:hAnsi="Arial"/>
          <w:sz w:val="20"/>
          <w:szCs w:val="20"/>
          <w:color w:val="auto"/>
        </w:rPr>
        <w:t>Dallas, TX 75240</w:t>
      </w:r>
    </w:p>
    <w:p>
      <w:pPr>
        <w:spacing w:after="0" w:line="27" w:lineRule="exact"/>
        <w:rPr>
          <w:sz w:val="20"/>
          <w:szCs w:val="20"/>
          <w:color w:val="auto"/>
        </w:rPr>
      </w:pPr>
    </w:p>
    <w:p>
      <w:pPr>
        <w:ind w:left="1960"/>
        <w:spacing w:after="0"/>
        <w:rPr>
          <w:sz w:val="20"/>
          <w:szCs w:val="20"/>
          <w:color w:val="auto"/>
        </w:rPr>
      </w:pPr>
      <w:r>
        <w:rPr>
          <w:rFonts w:ascii="Arial" w:cs="Arial" w:eastAsia="Arial" w:hAnsi="Arial"/>
          <w:sz w:val="20"/>
          <w:szCs w:val="20"/>
          <w:color w:val="auto"/>
        </w:rPr>
        <w:t>Attn: General Counsel</w:t>
      </w:r>
    </w:p>
    <w:p>
      <w:pPr>
        <w:spacing w:after="0" w:line="27" w:lineRule="exact"/>
        <w:rPr>
          <w:sz w:val="20"/>
          <w:szCs w:val="20"/>
          <w:color w:val="auto"/>
        </w:rPr>
      </w:pPr>
    </w:p>
    <w:p>
      <w:pPr>
        <w:ind w:left="1960"/>
        <w:spacing w:after="0"/>
        <w:rPr>
          <w:sz w:val="20"/>
          <w:szCs w:val="20"/>
          <w:color w:val="auto"/>
        </w:rPr>
      </w:pPr>
      <w:r>
        <w:rPr>
          <w:rFonts w:ascii="Arial" w:cs="Arial" w:eastAsia="Arial" w:hAnsi="Arial"/>
          <w:sz w:val="20"/>
          <w:szCs w:val="20"/>
          <w:color w:val="auto"/>
        </w:rPr>
        <w:t>Facsimile: (972) 371-5201</w:t>
      </w: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40"/>
          </w:cols>
          <w:pgMar w:left="320" w:top="595" w:right="339" w:bottom="1440" w:gutter="0" w:footer="0" w:header="0"/>
        </w:sectPr>
      </w:pPr>
    </w:p>
    <w:bookmarkStart w:id="53" w:name="page54"/>
    <w:bookmarkEnd w:id="53"/>
    <w:p>
      <w:pPr>
        <w:ind w:left="660"/>
        <w:spacing w:after="0"/>
        <w:tabs>
          <w:tab w:leader="none" w:pos="980" w:val="left"/>
        </w:tabs>
        <w:rPr>
          <w:sz w:val="20"/>
          <w:szCs w:val="20"/>
          <w:color w:val="auto"/>
        </w:rPr>
      </w:pPr>
      <w:r>
        <w:rPr>
          <w:rFonts w:ascii="Arial" w:cs="Arial" w:eastAsia="Arial" w:hAnsi="Arial"/>
          <w:sz w:val="20"/>
          <w:szCs w:val="20"/>
          <w:color w:val="auto"/>
        </w:rPr>
        <w:t>b.</w:t>
      </w:r>
      <w:r>
        <w:rPr>
          <w:sz w:val="20"/>
          <w:szCs w:val="20"/>
          <w:color w:val="auto"/>
        </w:rPr>
        <w:tab/>
      </w:r>
      <w:r>
        <w:rPr>
          <w:rFonts w:ascii="Arial" w:cs="Arial" w:eastAsia="Arial" w:hAnsi="Arial"/>
          <w:sz w:val="16"/>
          <w:szCs w:val="16"/>
          <w:color w:val="auto"/>
        </w:rPr>
        <w:t>Notice to the Participant shall be addressed and delivered to the Participant’s address as set forth in the Company’s records.</w:t>
      </w:r>
    </w:p>
    <w:p>
      <w:pPr>
        <w:spacing w:after="0" w:line="270" w:lineRule="exact"/>
        <w:rPr>
          <w:sz w:val="20"/>
          <w:szCs w:val="20"/>
          <w:color w:val="auto"/>
        </w:rPr>
      </w:pPr>
    </w:p>
    <w:p>
      <w:pPr>
        <w:jc w:val="both"/>
        <w:ind w:firstLine="656"/>
        <w:spacing w:after="0" w:line="269" w:lineRule="auto"/>
        <w:tabs>
          <w:tab w:leader="none" w:pos="1120" w:val="left"/>
        </w:tabs>
        <w:numPr>
          <w:ilvl w:val="0"/>
          <w:numId w:val="42"/>
        </w:numPr>
        <w:rPr>
          <w:rFonts w:ascii="Arial" w:cs="Arial" w:eastAsia="Arial" w:hAnsi="Arial"/>
          <w:sz w:val="18"/>
          <w:szCs w:val="18"/>
          <w:color w:val="auto"/>
        </w:rPr>
      </w:pPr>
      <w:r>
        <w:rPr>
          <w:rFonts w:ascii="Arial" w:cs="Arial" w:eastAsia="Arial" w:hAnsi="Arial"/>
          <w:sz w:val="18"/>
          <w:szCs w:val="18"/>
          <w:u w:val="single" w:color="auto"/>
          <w:color w:val="auto"/>
        </w:rPr>
        <w:t>Tax Requirements</w:t>
      </w:r>
      <w:r>
        <w:rPr>
          <w:rFonts w:ascii="Arial" w:cs="Arial" w:eastAsia="Arial" w:hAnsi="Arial"/>
          <w:sz w:val="18"/>
          <w:szCs w:val="18"/>
          <w:color w:val="auto"/>
        </w:rPr>
        <w:t xml:space="preserve">. The Participant is hereby advised to consult immediately with his or her own tax advisor regarding the tax consequences of this Agreement. The Company or, if applicable, any Subsidiary (for purposes of this </w:t>
      </w:r>
      <w:r>
        <w:rPr>
          <w:rFonts w:ascii="Arial" w:cs="Arial" w:eastAsia="Arial" w:hAnsi="Arial"/>
          <w:sz w:val="18"/>
          <w:szCs w:val="18"/>
          <w:u w:val="single" w:color="auto"/>
          <w:color w:val="auto"/>
        </w:rPr>
        <w:t>Section 20</w:t>
      </w:r>
      <w:r>
        <w:rPr>
          <w:rFonts w:ascii="Arial" w:cs="Arial" w:eastAsia="Arial" w:hAnsi="Arial"/>
          <w:sz w:val="18"/>
          <w:szCs w:val="18"/>
          <w:color w:val="auto"/>
        </w:rPr>
        <w:t>, the term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shall be deemed to include any applicable Subsidiary), shall have the right to deduct from all amounts paid or payable to the Participant in cash or other form in connection with the Plan, any Federal, state, local, or other taxes permitted by law to be withheld in connection with this Award. The Company may, in its sole discretion, also require the Participant receiving shares of Common Stock issued under the Plan to pay the Company the amount of any taxes that the Company is permitted to withhold in connection with the Participant’s income arising with respect to the Award. Such payments shall be required to be made when requested by Company and may be required to be made prior to the delivery of any certificate representing shares of Common Stock. Such payments may be made, in the sole discretion of the Company, (i) by the delivery of cash to the Company in an amount that equals or exceeds (to avoid the issuance of fractional shares under (iii) below) the applicable tax withholding obligations of the Company; (ii) the actual delivery by the Participant to the Company of shares of Common Stock that the Participant has not acquired from the Company within six (6) months prior thereto, which shares so delivered have an aggregate Fair Market Value that equals or exceeds (to avoid the issuance of fractional shares under (iii) below) the applicable tax withholding payment; (iii) the Company’s withholding of a number of shares to be delivered upon the vesting of this Award, which shares so withheld have an aggregate Fair Market Value that equals or exceeds (solely to avoid the issuance of fractional shares) the applicable tax withholding payment; or (iv) any combination of (i), (ii) or (iii) or any other method consented to by the Company in writing. The Company may, in its sole discretion, withhold any such taxes from any other cash remuneration otherwise paid by the Company to the Participant.</w:t>
      </w:r>
    </w:p>
    <w:p>
      <w:pPr>
        <w:spacing w:after="0" w:line="216" w:lineRule="exact"/>
        <w:rPr>
          <w:rFonts w:ascii="Arial" w:cs="Arial" w:eastAsia="Arial" w:hAnsi="Arial"/>
          <w:sz w:val="18"/>
          <w:szCs w:val="18"/>
          <w:color w:val="auto"/>
        </w:rPr>
      </w:pPr>
    </w:p>
    <w:p>
      <w:pPr>
        <w:jc w:val="both"/>
        <w:ind w:firstLine="656"/>
        <w:spacing w:after="0" w:line="255" w:lineRule="auto"/>
        <w:tabs>
          <w:tab w:leader="none" w:pos="1093" w:val="left"/>
        </w:tabs>
        <w:numPr>
          <w:ilvl w:val="0"/>
          <w:numId w:val="42"/>
        </w:numPr>
        <w:rPr>
          <w:rFonts w:ascii="Arial" w:cs="Arial" w:eastAsia="Arial" w:hAnsi="Arial"/>
          <w:sz w:val="19"/>
          <w:szCs w:val="19"/>
          <w:color w:val="auto"/>
        </w:rPr>
      </w:pPr>
      <w:r>
        <w:rPr>
          <w:rFonts w:ascii="Arial" w:cs="Arial" w:eastAsia="Arial" w:hAnsi="Arial"/>
          <w:sz w:val="19"/>
          <w:szCs w:val="19"/>
          <w:u w:val="single" w:color="auto"/>
          <w:color w:val="auto"/>
        </w:rPr>
        <w:t>Code Section 409A</w:t>
      </w:r>
      <w:r>
        <w:rPr>
          <w:rFonts w:ascii="Arial" w:cs="Arial" w:eastAsia="Arial" w:hAnsi="Arial"/>
          <w:sz w:val="19"/>
          <w:szCs w:val="19"/>
          <w:color w:val="auto"/>
        </w:rPr>
        <w:t>. This Agreement is intended to be interpreted and applied so that the payments and benefits set forth herein shall comply with or be exempt from the requirements of Code Section 409A, and, accordingly, to the maximum extent permitted, this Agreement shall be interpreted to the fullest extent possible to reflect and implement such intent. Notwithstanding anything in this Agreement and in the event the payments and benefits set forth herein are subject to Code Section 409A, a Termination of Service shall not be deemed to have occurred for purposes of any provision of this Agreement unless such termination is also a “separation from service” within the meaning of Code Section 409A. Notwithstanding any provision in this Agreement to the contrary, if on his or her Termination of Service, the Participant is deemed to be a “specified employee” within the meaning of Code Section 409A, any payments or benefits due upon such Termination of Service that constitutes a “deferral of compensation” within the meaning of Code Section 409A and which do not otherwise qualify under the exemptions under Treas. Reg. § 1.409A-1 (including without limitation, the short-term deferral exemption and the permitted payments under Treas. Reg. § 1.409A-1(b)(9)(iii)(A)), shall be delayed and paid or provided to the Participant on the earlier of the date which immediately follows six (6) months after the Participant’s separation from service or, if earlier, the date of the Participant’s death.</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40"/>
          </w:cols>
          <w:pgMar w:left="320" w:top="865" w:right="339" w:bottom="1440" w:gutter="0" w:footer="0" w:header="0"/>
        </w:sectPr>
      </w:pPr>
    </w:p>
    <w:bookmarkStart w:id="54" w:name="page55"/>
    <w:bookmarkEnd w:id="54"/>
    <w:p>
      <w:pPr>
        <w:jc w:val="both"/>
        <w:ind w:firstLine="656"/>
        <w:spacing w:after="0" w:line="246" w:lineRule="auto"/>
        <w:tabs>
          <w:tab w:leader="none" w:pos="1174" w:val="left"/>
        </w:tabs>
        <w:numPr>
          <w:ilvl w:val="0"/>
          <w:numId w:val="43"/>
        </w:numPr>
        <w:rPr>
          <w:rFonts w:ascii="Arial" w:cs="Arial" w:eastAsia="Arial" w:hAnsi="Arial"/>
          <w:sz w:val="20"/>
          <w:szCs w:val="20"/>
          <w:color w:val="auto"/>
        </w:rPr>
      </w:pPr>
      <w:r>
        <w:rPr>
          <w:rFonts w:ascii="Arial" w:cs="Arial" w:eastAsia="Arial" w:hAnsi="Arial"/>
          <w:sz w:val="20"/>
          <w:szCs w:val="20"/>
          <w:u w:val="single" w:color="auto"/>
          <w:color w:val="auto"/>
        </w:rPr>
        <w:t>Electronic Delivery</w:t>
      </w:r>
      <w:r>
        <w:rPr>
          <w:rFonts w:ascii="Arial" w:cs="Arial" w:eastAsia="Arial" w:hAnsi="Arial"/>
          <w:sz w:val="20"/>
          <w:szCs w:val="20"/>
          <w:color w:val="auto"/>
        </w:rPr>
        <w:t>. By executing this Agreement (including via digital acceptance), the Participant hereby consents to the delivery of information (including, without limitation, information required to be delivered to the Participant pursuant to applicable securities laws) regarding the Company and its Subsidiaries, the Plan, and the Performance Stock Units via Company web site or other electronic delivery.</w:t>
      </w:r>
    </w:p>
    <w:p>
      <w:pPr>
        <w:spacing w:after="0" w:line="245" w:lineRule="exact"/>
        <w:rPr>
          <w:rFonts w:ascii="Arial" w:cs="Arial" w:eastAsia="Arial" w:hAnsi="Arial"/>
          <w:sz w:val="20"/>
          <w:szCs w:val="20"/>
          <w:color w:val="auto"/>
        </w:rPr>
      </w:pPr>
    </w:p>
    <w:p>
      <w:pPr>
        <w:ind w:left="4900"/>
        <w:spacing w:after="0"/>
        <w:rPr>
          <w:rFonts w:ascii="Arial" w:cs="Arial" w:eastAsia="Arial" w:hAnsi="Arial"/>
          <w:sz w:val="20"/>
          <w:szCs w:val="20"/>
          <w:color w:val="auto"/>
        </w:rPr>
      </w:pPr>
      <w:r>
        <w:rPr>
          <w:rFonts w:ascii="Arial" w:cs="Arial" w:eastAsia="Arial" w:hAnsi="Arial"/>
          <w:sz w:val="20"/>
          <w:szCs w:val="20"/>
          <w:color w:val="auto"/>
        </w:rPr>
        <w:t>**********</w:t>
      </w:r>
    </w:p>
    <w:p>
      <w:pPr>
        <w:spacing w:after="0" w:line="28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Remainder of Page Intentionally Left Blank.</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0"/>
          <w:szCs w:val="20"/>
          <w:i w:val="1"/>
          <w:iCs w:val="1"/>
          <w:color w:val="auto"/>
        </w:rPr>
        <w:t>Signature Page Follows</w:t>
      </w:r>
      <w:r>
        <w:rPr>
          <w:rFonts w:ascii="Arial" w:cs="Arial" w:eastAsia="Arial" w:hAnsi="Arial"/>
          <w:sz w:val="20"/>
          <w:szCs w:val="20"/>
          <w:color w:val="auto"/>
        </w:rPr>
        <w:t>]</w:t>
      </w: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40"/>
          </w:cols>
          <w:pgMar w:left="320" w:top="595" w:right="339" w:bottom="1440" w:gutter="0" w:footer="0" w:header="0"/>
        </w:sectPr>
      </w:pPr>
    </w:p>
    <w:bookmarkStart w:id="55" w:name="page56"/>
    <w:bookmarkEnd w:id="55"/>
    <w:p>
      <w:pPr>
        <w:jc w:val="both"/>
        <w:ind w:firstLine="648"/>
        <w:spacing w:after="0" w:line="278" w:lineRule="auto"/>
        <w:rPr>
          <w:sz w:val="20"/>
          <w:szCs w:val="20"/>
          <w:color w:val="auto"/>
        </w:rPr>
      </w:pPr>
      <w:r>
        <w:rPr>
          <w:rFonts w:ascii="Arial" w:cs="Arial" w:eastAsia="Arial" w:hAnsi="Arial"/>
          <w:sz w:val="20"/>
          <w:szCs w:val="20"/>
          <w:color w:val="auto"/>
        </w:rPr>
        <w:t xml:space="preserve">IN WITNESS WHEREOF, the Company has caused this Agreement to be executed by its duly authorized officer, and the Participant, to evidence his or her consent and approval of all the terms hereof, has duly executed this Agreement, as of the Date of Grant specified in </w:t>
      </w:r>
      <w:r>
        <w:rPr>
          <w:rFonts w:ascii="Arial" w:cs="Arial" w:eastAsia="Arial" w:hAnsi="Arial"/>
          <w:sz w:val="20"/>
          <w:szCs w:val="20"/>
          <w:u w:val="single" w:color="auto"/>
          <w:color w:val="auto"/>
        </w:rPr>
        <w:t>Section 1</w:t>
      </w:r>
      <w:r>
        <w:rPr>
          <w:rFonts w:ascii="Arial" w:cs="Arial" w:eastAsia="Arial" w:hAnsi="Arial"/>
          <w:sz w:val="20"/>
          <w:szCs w:val="20"/>
          <w:color w:val="auto"/>
        </w:rPr>
        <w:t xml:space="preserve"> hereof.</w:t>
      </w:r>
    </w:p>
    <w:p>
      <w:pPr>
        <w:spacing w:after="0" w:line="207" w:lineRule="exact"/>
        <w:rPr>
          <w:sz w:val="20"/>
          <w:szCs w:val="20"/>
          <w:color w:val="auto"/>
        </w:rPr>
      </w:pPr>
    </w:p>
    <w:p>
      <w:pPr>
        <w:ind w:left="3900"/>
        <w:spacing w:after="0"/>
        <w:rPr>
          <w:sz w:val="20"/>
          <w:szCs w:val="20"/>
          <w:color w:val="auto"/>
        </w:rPr>
      </w:pPr>
      <w:r>
        <w:rPr>
          <w:rFonts w:ascii="Arial" w:cs="Arial" w:eastAsia="Arial" w:hAnsi="Arial"/>
          <w:sz w:val="20"/>
          <w:szCs w:val="20"/>
          <w:b w:val="1"/>
          <w:bCs w:val="1"/>
          <w:color w:val="auto"/>
        </w:rPr>
        <w:t>COMPANY:</w:t>
      </w:r>
    </w:p>
    <w:p>
      <w:pPr>
        <w:spacing w:after="0" w:line="235" w:lineRule="exact"/>
        <w:rPr>
          <w:sz w:val="20"/>
          <w:szCs w:val="20"/>
          <w:color w:val="auto"/>
        </w:rPr>
      </w:pPr>
    </w:p>
    <w:p>
      <w:pPr>
        <w:jc w:val="center"/>
        <w:ind w:right="280"/>
        <w:spacing w:after="0"/>
        <w:rPr>
          <w:sz w:val="20"/>
          <w:szCs w:val="20"/>
          <w:color w:val="auto"/>
        </w:rPr>
      </w:pPr>
      <w:r>
        <w:rPr>
          <w:rFonts w:ascii="Arial" w:cs="Arial" w:eastAsia="Arial" w:hAnsi="Arial"/>
          <w:sz w:val="20"/>
          <w:szCs w:val="20"/>
          <w:color w:val="auto"/>
        </w:rPr>
        <w:t>MATADOR RESOURCES COMPANY</w:t>
      </w:r>
    </w:p>
    <w:p>
      <w:pPr>
        <w:spacing w:after="0" w:line="200" w:lineRule="exact"/>
        <w:rPr>
          <w:sz w:val="20"/>
          <w:szCs w:val="20"/>
          <w:color w:val="auto"/>
        </w:rPr>
      </w:pPr>
    </w:p>
    <w:p>
      <w:pPr>
        <w:spacing w:after="0" w:line="259" w:lineRule="exact"/>
        <w:rPr>
          <w:sz w:val="20"/>
          <w:szCs w:val="20"/>
          <w:color w:val="auto"/>
        </w:rPr>
      </w:pPr>
    </w:p>
    <w:p>
      <w:pPr>
        <w:ind w:left="3900"/>
        <w:spacing w:after="0"/>
        <w:tabs>
          <w:tab w:leader="none" w:pos="436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16"/>
          <w:szCs w:val="16"/>
          <w:color w:val="auto"/>
        </w:rPr>
        <w:t>_______________________________________</w:t>
      </w:r>
    </w:p>
    <w:p>
      <w:pPr>
        <w:spacing w:after="0" w:line="15" w:lineRule="exact"/>
        <w:rPr>
          <w:sz w:val="20"/>
          <w:szCs w:val="20"/>
          <w:color w:val="auto"/>
        </w:rPr>
      </w:pPr>
    </w:p>
    <w:p>
      <w:pPr>
        <w:ind w:left="3900"/>
        <w:spacing w:after="0"/>
        <w:tabs>
          <w:tab w:leader="none" w:pos="4600" w:val="left"/>
        </w:tabs>
        <w:rPr>
          <w:sz w:val="20"/>
          <w:szCs w:val="20"/>
          <w:color w:val="auto"/>
        </w:rPr>
      </w:pPr>
      <w:r>
        <w:rPr>
          <w:rFonts w:ascii="Arial" w:cs="Arial" w:eastAsia="Arial" w:hAnsi="Arial"/>
          <w:sz w:val="20"/>
          <w:szCs w:val="20"/>
          <w:color w:val="auto"/>
        </w:rPr>
        <w:t>Name:</w:t>
      </w:r>
      <w:r>
        <w:rPr>
          <w:sz w:val="20"/>
          <w:szCs w:val="20"/>
          <w:color w:val="auto"/>
        </w:rPr>
        <w:tab/>
      </w:r>
      <w:r>
        <w:rPr>
          <w:rFonts w:ascii="Arial" w:cs="Arial" w:eastAsia="Arial" w:hAnsi="Arial"/>
          <w:sz w:val="16"/>
          <w:szCs w:val="16"/>
          <w:color w:val="auto"/>
        </w:rPr>
        <w:t>David E. Lancaster</w:t>
      </w:r>
    </w:p>
    <w:p>
      <w:pPr>
        <w:ind w:left="3900"/>
        <w:spacing w:after="0"/>
        <w:tabs>
          <w:tab w:leader="none" w:pos="4500" w:val="left"/>
        </w:tabs>
        <w:rPr>
          <w:sz w:val="20"/>
          <w:szCs w:val="20"/>
          <w:color w:val="auto"/>
        </w:rPr>
      </w:pPr>
      <w:r>
        <w:rPr>
          <w:rFonts w:ascii="Arial" w:cs="Arial" w:eastAsia="Arial" w:hAnsi="Arial"/>
          <w:sz w:val="20"/>
          <w:szCs w:val="20"/>
          <w:color w:val="auto"/>
        </w:rPr>
        <w:t>Title:</w:t>
      </w:r>
      <w:r>
        <w:rPr>
          <w:sz w:val="20"/>
          <w:szCs w:val="20"/>
          <w:color w:val="auto"/>
        </w:rPr>
        <w:tab/>
      </w:r>
      <w:r>
        <w:rPr>
          <w:rFonts w:ascii="Arial" w:cs="Arial" w:eastAsia="Arial" w:hAnsi="Arial"/>
          <w:sz w:val="16"/>
          <w:szCs w:val="16"/>
          <w:color w:val="auto"/>
        </w:rPr>
        <w:t>Executive Vice President</w:t>
      </w:r>
    </w:p>
    <w:p>
      <w:pPr>
        <w:spacing w:after="0" w:line="200" w:lineRule="exact"/>
        <w:rPr>
          <w:sz w:val="20"/>
          <w:szCs w:val="20"/>
          <w:color w:val="auto"/>
        </w:rPr>
      </w:pPr>
    </w:p>
    <w:p>
      <w:pPr>
        <w:spacing w:after="0" w:line="237" w:lineRule="exact"/>
        <w:rPr>
          <w:sz w:val="20"/>
          <w:szCs w:val="20"/>
          <w:color w:val="auto"/>
        </w:rPr>
      </w:pPr>
    </w:p>
    <w:p>
      <w:pPr>
        <w:ind w:left="3900"/>
        <w:spacing w:after="0"/>
        <w:rPr>
          <w:sz w:val="20"/>
          <w:szCs w:val="20"/>
          <w:color w:val="auto"/>
        </w:rPr>
      </w:pPr>
      <w:r>
        <w:rPr>
          <w:rFonts w:ascii="Arial" w:cs="Arial" w:eastAsia="Arial" w:hAnsi="Arial"/>
          <w:sz w:val="20"/>
          <w:szCs w:val="20"/>
          <w:b w:val="1"/>
          <w:bCs w:val="1"/>
          <w:color w:val="auto"/>
        </w:rPr>
        <w:t>PARTICIPANT:</w:t>
      </w:r>
    </w:p>
    <w:p>
      <w:pPr>
        <w:spacing w:after="0" w:line="200" w:lineRule="exact"/>
        <w:rPr>
          <w:sz w:val="20"/>
          <w:szCs w:val="20"/>
          <w:color w:val="auto"/>
        </w:rPr>
      </w:pPr>
    </w:p>
    <w:p>
      <w:pPr>
        <w:spacing w:after="0" w:line="265"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_____________________________________________</w:t>
      </w:r>
    </w:p>
    <w:p>
      <w:pPr>
        <w:spacing w:after="0" w:line="16"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Signature</w:t>
      </w:r>
    </w:p>
    <w:p>
      <w:pPr>
        <w:spacing w:after="0" w:line="213" w:lineRule="exact"/>
        <w:rPr>
          <w:sz w:val="20"/>
          <w:szCs w:val="20"/>
          <w:color w:val="auto"/>
        </w:rPr>
      </w:pPr>
    </w:p>
    <w:p>
      <w:pPr>
        <w:ind w:left="3900"/>
        <w:spacing w:after="0"/>
        <w:tabs>
          <w:tab w:leader="none" w:pos="4600" w:val="left"/>
        </w:tabs>
        <w:rPr>
          <w:sz w:val="20"/>
          <w:szCs w:val="20"/>
          <w:color w:val="auto"/>
        </w:rPr>
      </w:pPr>
      <w:r>
        <w:rPr>
          <w:rFonts w:ascii="Arial" w:cs="Arial" w:eastAsia="Arial" w:hAnsi="Arial"/>
          <w:sz w:val="20"/>
          <w:szCs w:val="20"/>
          <w:color w:val="auto"/>
        </w:rPr>
        <w:t>Name:</w:t>
        <w:tab/>
        <w:t>[NAME]</w:t>
      </w:r>
    </w:p>
    <w:p>
      <w:pPr>
        <w:spacing w:after="0" w:line="200" w:lineRule="exact"/>
        <w:rPr>
          <w:sz w:val="20"/>
          <w:szCs w:val="20"/>
          <w:color w:val="auto"/>
        </w:rPr>
      </w:pPr>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40"/>
          </w:cols>
          <w:pgMar w:left="320" w:top="838" w:right="339" w:bottom="1440" w:gutter="0" w:footer="0" w:header="0"/>
        </w:sectPr>
      </w:pPr>
    </w:p>
    <w:bookmarkStart w:id="56" w:name="page57"/>
    <w:bookmarkEnd w:id="56"/>
    <w:p>
      <w:pPr>
        <w:jc w:val="center"/>
        <w:ind w:right="20"/>
        <w:spacing w:after="0"/>
        <w:rPr>
          <w:sz w:val="20"/>
          <w:szCs w:val="20"/>
          <w:color w:val="auto"/>
        </w:rPr>
      </w:pPr>
      <w:r>
        <w:rPr>
          <w:rFonts w:ascii="Arial" w:cs="Arial" w:eastAsia="Arial" w:hAnsi="Arial"/>
          <w:sz w:val="20"/>
          <w:szCs w:val="20"/>
          <w:b w:val="1"/>
          <w:bCs w:val="1"/>
          <w:color w:val="auto"/>
        </w:rPr>
        <w:t>APPENDIX A</w:t>
      </w:r>
    </w:p>
    <w:p>
      <w:pPr>
        <w:spacing w:after="0" w:line="108" w:lineRule="exact"/>
        <w:rPr>
          <w:sz w:val="20"/>
          <w:szCs w:val="20"/>
          <w:color w:val="auto"/>
        </w:rPr>
      </w:pPr>
    </w:p>
    <w:p>
      <w:pPr>
        <w:jc w:val="center"/>
        <w:ind w:right="20"/>
        <w:spacing w:after="0"/>
        <w:rPr>
          <w:sz w:val="20"/>
          <w:szCs w:val="20"/>
          <w:color w:val="auto"/>
        </w:rPr>
      </w:pPr>
      <w:r>
        <w:rPr>
          <w:rFonts w:ascii="Arial" w:cs="Arial" w:eastAsia="Arial" w:hAnsi="Arial"/>
          <w:sz w:val="20"/>
          <w:szCs w:val="20"/>
          <w:b w:val="1"/>
          <w:bCs w:val="1"/>
          <w:color w:val="auto"/>
        </w:rPr>
        <w:t>PERFORMANCE GOALS AND PERFORMANCE PERIOD</w:t>
      </w:r>
    </w:p>
    <w:p>
      <w:pPr>
        <w:spacing w:after="0" w:line="216" w:lineRule="exact"/>
        <w:rPr>
          <w:sz w:val="20"/>
          <w:szCs w:val="20"/>
          <w:color w:val="auto"/>
        </w:rPr>
      </w:pPr>
    </w:p>
    <w:p>
      <w:pPr>
        <w:ind w:left="840" w:hanging="832"/>
        <w:spacing w:after="0"/>
        <w:tabs>
          <w:tab w:leader="none" w:pos="840" w:val="left"/>
        </w:tabs>
        <w:numPr>
          <w:ilvl w:val="0"/>
          <w:numId w:val="44"/>
        </w:numPr>
        <w:rPr>
          <w:rFonts w:ascii="Arial" w:cs="Arial" w:eastAsia="Arial" w:hAnsi="Arial"/>
          <w:sz w:val="20"/>
          <w:szCs w:val="20"/>
          <w:b w:val="1"/>
          <w:bCs w:val="1"/>
          <w:color w:val="auto"/>
        </w:rPr>
      </w:pPr>
      <w:r>
        <w:rPr>
          <w:rFonts w:ascii="Arial" w:cs="Arial" w:eastAsia="Arial" w:hAnsi="Arial"/>
          <w:sz w:val="20"/>
          <w:szCs w:val="20"/>
          <w:b w:val="1"/>
          <w:bCs w:val="1"/>
          <w:color w:val="auto"/>
        </w:rPr>
        <w:t>PERFORMANCE PERIOD</w:t>
      </w:r>
    </w:p>
    <w:p>
      <w:pPr>
        <w:spacing w:after="0" w:line="208"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20"/>
          <w:szCs w:val="20"/>
          <w:color w:val="auto"/>
        </w:rPr>
        <w:t>The measurement period for the Performance Stock Units shall be the three (3)-year period beginning January 1, 2020 and ending December 31, 2022 (the “</w:t>
      </w:r>
      <w:r>
        <w:rPr>
          <w:rFonts w:ascii="Arial" w:cs="Arial" w:eastAsia="Arial" w:hAnsi="Arial"/>
          <w:sz w:val="20"/>
          <w:szCs w:val="20"/>
          <w:b w:val="1"/>
          <w:bCs w:val="1"/>
          <w:i w:val="1"/>
          <w:iCs w:val="1"/>
          <w:color w:val="auto"/>
        </w:rPr>
        <w:t>Performance Period</w:t>
      </w:r>
      <w:r>
        <w:rPr>
          <w:rFonts w:ascii="Arial" w:cs="Arial" w:eastAsia="Arial" w:hAnsi="Arial"/>
          <w:sz w:val="20"/>
          <w:szCs w:val="20"/>
          <w:color w:val="auto"/>
        </w:rPr>
        <w:t>”).</w:t>
      </w:r>
    </w:p>
    <w:p>
      <w:pPr>
        <w:spacing w:after="0" w:line="171" w:lineRule="exact"/>
        <w:rPr>
          <w:sz w:val="20"/>
          <w:szCs w:val="20"/>
          <w:color w:val="auto"/>
        </w:rPr>
      </w:pPr>
    </w:p>
    <w:p>
      <w:pPr>
        <w:spacing w:after="0"/>
        <w:tabs>
          <w:tab w:leader="none" w:pos="360" w:val="left"/>
        </w:tabs>
        <w:rPr>
          <w:sz w:val="20"/>
          <w:szCs w:val="20"/>
          <w:color w:val="auto"/>
        </w:rPr>
      </w:pPr>
      <w:r>
        <w:rPr>
          <w:rFonts w:ascii="Arial" w:cs="Arial" w:eastAsia="Arial" w:hAnsi="Arial"/>
          <w:sz w:val="20"/>
          <w:szCs w:val="20"/>
          <w:b w:val="1"/>
          <w:bCs w:val="1"/>
          <w:color w:val="auto"/>
        </w:rPr>
        <w:t>B.</w:t>
      </w:r>
      <w:r>
        <w:rPr>
          <w:sz w:val="20"/>
          <w:szCs w:val="20"/>
          <w:color w:val="auto"/>
        </w:rPr>
        <w:tab/>
      </w:r>
      <w:r>
        <w:rPr>
          <w:rFonts w:ascii="Arial" w:cs="Arial" w:eastAsia="Arial" w:hAnsi="Arial"/>
          <w:sz w:val="19"/>
          <w:szCs w:val="19"/>
          <w:b w:val="1"/>
          <w:bCs w:val="1"/>
          <w:color w:val="auto"/>
        </w:rPr>
        <w:t>PERFORMANCE GOAL</w:t>
      </w:r>
    </w:p>
    <w:p>
      <w:pPr>
        <w:spacing w:after="0" w:line="216" w:lineRule="exact"/>
        <w:rPr>
          <w:sz w:val="20"/>
          <w:szCs w:val="20"/>
          <w:color w:val="auto"/>
        </w:rPr>
      </w:pPr>
    </w:p>
    <w:p>
      <w:pPr>
        <w:jc w:val="both"/>
        <w:ind w:right="20" w:firstLine="648"/>
        <w:spacing w:after="0" w:line="272" w:lineRule="auto"/>
        <w:rPr>
          <w:sz w:val="20"/>
          <w:szCs w:val="20"/>
          <w:color w:val="auto"/>
        </w:rPr>
      </w:pPr>
      <w:r>
        <w:rPr>
          <w:rFonts w:ascii="Arial" w:cs="Arial" w:eastAsia="Arial" w:hAnsi="Arial"/>
          <w:sz w:val="19"/>
          <w:szCs w:val="19"/>
          <w:b w:val="1"/>
          <w:bCs w:val="1"/>
          <w:u w:val="single" w:color="auto"/>
          <w:color w:val="auto"/>
        </w:rPr>
        <w:t>Performance Goal</w:t>
      </w:r>
      <w:r>
        <w:rPr>
          <w:rFonts w:ascii="Arial" w:cs="Arial" w:eastAsia="Arial" w:hAnsi="Arial"/>
          <w:sz w:val="19"/>
          <w:szCs w:val="19"/>
          <w:color w:val="auto"/>
        </w:rPr>
        <w:t>: The performance-vesting requirement for the Performance Stock Units subject to this Award shall be tied to the</w:t>
      </w:r>
      <w:r>
        <w:rPr>
          <w:rFonts w:ascii="Arial" w:cs="Arial" w:eastAsia="Arial" w:hAnsi="Arial"/>
          <w:sz w:val="19"/>
          <w:szCs w:val="19"/>
          <w:b w:val="1"/>
          <w:bCs w:val="1"/>
          <w:color w:val="auto"/>
        </w:rPr>
        <w:t xml:space="preserve"> </w:t>
      </w:r>
      <w:r>
        <w:rPr>
          <w:rFonts w:ascii="Arial" w:cs="Arial" w:eastAsia="Arial" w:hAnsi="Arial"/>
          <w:sz w:val="19"/>
          <w:szCs w:val="19"/>
          <w:color w:val="auto"/>
        </w:rPr>
        <w:t>percentile level at which the total shareholder return to the Company’s stockholders over the Performance Period stands in relation to the total shareholder return realized for that period by each of the following (collectively, the “</w:t>
      </w:r>
      <w:r>
        <w:rPr>
          <w:rFonts w:ascii="Arial" w:cs="Arial" w:eastAsia="Arial" w:hAnsi="Arial"/>
          <w:sz w:val="19"/>
          <w:szCs w:val="19"/>
          <w:b w:val="1"/>
          <w:bCs w:val="1"/>
          <w:i w:val="1"/>
          <w:iCs w:val="1"/>
          <w:color w:val="auto"/>
        </w:rPr>
        <w:t>Relative Group</w:t>
      </w:r>
      <w:r>
        <w:rPr>
          <w:rFonts w:ascii="Arial" w:cs="Arial" w:eastAsia="Arial" w:hAnsi="Arial"/>
          <w:sz w:val="19"/>
          <w:szCs w:val="19"/>
          <w:color w:val="auto"/>
        </w:rPr>
        <w:t>”):</w:t>
      </w:r>
    </w:p>
    <w:p>
      <w:pPr>
        <w:spacing w:after="0" w:line="299" w:lineRule="exact"/>
        <w:rPr>
          <w:sz w:val="20"/>
          <w:szCs w:val="20"/>
          <w:color w:val="auto"/>
        </w:rPr>
      </w:pPr>
    </w:p>
    <w:tbl>
      <w:tblPr>
        <w:tblLayout w:type="fixed"/>
        <w:tblInd w:w="10" w:type="dxa"/>
        <w:tblCellMar>
          <w:top w:w="0" w:type="dxa"/>
          <w:left w:w="0" w:type="dxa"/>
          <w:bottom w:w="0" w:type="dxa"/>
          <w:right w:w="0" w:type="dxa"/>
        </w:tblCellMar>
      </w:tblPr>
      <w:tr>
        <w:trPr>
          <w:trHeight w:val="274"/>
        </w:trPr>
        <w:tc>
          <w:tcPr>
            <w:tcW w:w="5640" w:type="dxa"/>
            <w:vAlign w:val="bottom"/>
            <w:tcBorders>
              <w:top w:val="single" w:sz="8" w:color="00000A"/>
              <w:left w:val="single" w:sz="8" w:color="00000A"/>
              <w:right w:val="single" w:sz="8" w:color="00000A"/>
            </w:tcBorders>
          </w:tcPr>
          <w:p>
            <w:pPr>
              <w:ind w:left="40"/>
              <w:spacing w:after="0"/>
              <w:rPr>
                <w:sz w:val="20"/>
                <w:szCs w:val="20"/>
                <w:color w:val="auto"/>
              </w:rPr>
            </w:pPr>
            <w:r>
              <w:rPr>
                <w:rFonts w:ascii="Arial" w:cs="Arial" w:eastAsia="Arial" w:hAnsi="Arial"/>
                <w:sz w:val="20"/>
                <w:szCs w:val="20"/>
                <w:color w:val="auto"/>
              </w:rPr>
              <w:t>Callon Petroleum Company</w:t>
            </w:r>
          </w:p>
        </w:tc>
        <w:tc>
          <w:tcPr>
            <w:tcW w:w="5620" w:type="dxa"/>
            <w:vAlign w:val="bottom"/>
            <w:tcBorders>
              <w:top w:val="single" w:sz="8" w:color="00000A"/>
              <w:right w:val="single" w:sz="8" w:color="00000A"/>
            </w:tcBorders>
          </w:tcPr>
          <w:p>
            <w:pPr>
              <w:ind w:left="20"/>
              <w:spacing w:after="0"/>
              <w:rPr>
                <w:sz w:val="20"/>
                <w:szCs w:val="20"/>
                <w:color w:val="auto"/>
              </w:rPr>
            </w:pPr>
            <w:r>
              <w:rPr>
                <w:rFonts w:ascii="Arial" w:cs="Arial" w:eastAsia="Arial" w:hAnsi="Arial"/>
                <w:sz w:val="20"/>
                <w:szCs w:val="20"/>
                <w:color w:val="auto"/>
              </w:rPr>
              <w:t>Oasis Petroleum, Inc.</w:t>
            </w:r>
          </w:p>
        </w:tc>
      </w:tr>
      <w:tr>
        <w:trPr>
          <w:trHeight w:val="23"/>
        </w:trPr>
        <w:tc>
          <w:tcPr>
            <w:tcW w:w="5640" w:type="dxa"/>
            <w:vAlign w:val="bottom"/>
            <w:tcBorders>
              <w:left w:val="single" w:sz="8" w:color="00000A"/>
              <w:bottom w:val="single" w:sz="8" w:color="00000A"/>
              <w:right w:val="single" w:sz="8" w:color="00000A"/>
            </w:tcBorders>
          </w:tcPr>
          <w:p>
            <w:pPr>
              <w:spacing w:after="0"/>
              <w:rPr>
                <w:sz w:val="2"/>
                <w:szCs w:val="2"/>
                <w:color w:val="auto"/>
              </w:rPr>
            </w:pPr>
          </w:p>
        </w:tc>
        <w:tc>
          <w:tcPr>
            <w:tcW w:w="5620" w:type="dxa"/>
            <w:vAlign w:val="bottom"/>
            <w:tcBorders>
              <w:bottom w:val="single" w:sz="8" w:color="00000A"/>
              <w:right w:val="single" w:sz="8" w:color="00000A"/>
            </w:tcBorders>
          </w:tcPr>
          <w:p>
            <w:pPr>
              <w:spacing w:after="0"/>
              <w:rPr>
                <w:sz w:val="2"/>
                <w:szCs w:val="2"/>
                <w:color w:val="auto"/>
              </w:rPr>
            </w:pPr>
          </w:p>
        </w:tc>
      </w:tr>
      <w:tr>
        <w:trPr>
          <w:trHeight w:val="254"/>
        </w:trPr>
        <w:tc>
          <w:tcPr>
            <w:tcW w:w="564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20"/>
                <w:szCs w:val="20"/>
                <w:color w:val="auto"/>
              </w:rPr>
              <w:t>Centennial Resource Development, Inc.</w:t>
            </w:r>
          </w:p>
        </w:tc>
        <w:tc>
          <w:tcPr>
            <w:tcW w:w="562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rPr>
              <w:t>Parsley Energy, Inc.</w:t>
            </w:r>
          </w:p>
        </w:tc>
      </w:tr>
      <w:tr>
        <w:trPr>
          <w:trHeight w:val="23"/>
        </w:trPr>
        <w:tc>
          <w:tcPr>
            <w:tcW w:w="5640" w:type="dxa"/>
            <w:vAlign w:val="bottom"/>
            <w:tcBorders>
              <w:left w:val="single" w:sz="8" w:color="00000A"/>
              <w:bottom w:val="single" w:sz="8" w:color="00000A"/>
              <w:right w:val="single" w:sz="8" w:color="00000A"/>
            </w:tcBorders>
          </w:tcPr>
          <w:p>
            <w:pPr>
              <w:spacing w:after="0"/>
              <w:rPr>
                <w:sz w:val="2"/>
                <w:szCs w:val="2"/>
                <w:color w:val="auto"/>
              </w:rPr>
            </w:pPr>
          </w:p>
        </w:tc>
        <w:tc>
          <w:tcPr>
            <w:tcW w:w="5620" w:type="dxa"/>
            <w:vAlign w:val="bottom"/>
            <w:tcBorders>
              <w:bottom w:val="single" w:sz="8" w:color="00000A"/>
              <w:right w:val="single" w:sz="8" w:color="00000A"/>
            </w:tcBorders>
          </w:tcPr>
          <w:p>
            <w:pPr>
              <w:spacing w:after="0"/>
              <w:rPr>
                <w:sz w:val="2"/>
                <w:szCs w:val="2"/>
                <w:color w:val="auto"/>
              </w:rPr>
            </w:pPr>
          </w:p>
        </w:tc>
      </w:tr>
      <w:tr>
        <w:trPr>
          <w:trHeight w:val="254"/>
        </w:trPr>
        <w:tc>
          <w:tcPr>
            <w:tcW w:w="564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20"/>
                <w:szCs w:val="20"/>
                <w:color w:val="auto"/>
              </w:rPr>
              <w:t>Cimarex Energy Co.</w:t>
            </w:r>
          </w:p>
        </w:tc>
        <w:tc>
          <w:tcPr>
            <w:tcW w:w="562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rPr>
              <w:t>SM Energy Company</w:t>
            </w:r>
          </w:p>
        </w:tc>
      </w:tr>
      <w:tr>
        <w:trPr>
          <w:trHeight w:val="23"/>
        </w:trPr>
        <w:tc>
          <w:tcPr>
            <w:tcW w:w="5640" w:type="dxa"/>
            <w:vAlign w:val="bottom"/>
            <w:tcBorders>
              <w:left w:val="single" w:sz="8" w:color="00000A"/>
              <w:bottom w:val="single" w:sz="8" w:color="00000A"/>
              <w:right w:val="single" w:sz="8" w:color="00000A"/>
            </w:tcBorders>
          </w:tcPr>
          <w:p>
            <w:pPr>
              <w:spacing w:after="0"/>
              <w:rPr>
                <w:sz w:val="2"/>
                <w:szCs w:val="2"/>
                <w:color w:val="auto"/>
              </w:rPr>
            </w:pPr>
          </w:p>
        </w:tc>
        <w:tc>
          <w:tcPr>
            <w:tcW w:w="5620" w:type="dxa"/>
            <w:vAlign w:val="bottom"/>
            <w:tcBorders>
              <w:bottom w:val="single" w:sz="8" w:color="00000A"/>
              <w:right w:val="single" w:sz="8" w:color="00000A"/>
            </w:tcBorders>
          </w:tcPr>
          <w:p>
            <w:pPr>
              <w:spacing w:after="0"/>
              <w:rPr>
                <w:sz w:val="2"/>
                <w:szCs w:val="2"/>
                <w:color w:val="auto"/>
              </w:rPr>
            </w:pPr>
          </w:p>
        </w:tc>
      </w:tr>
      <w:tr>
        <w:trPr>
          <w:trHeight w:val="254"/>
        </w:trPr>
        <w:tc>
          <w:tcPr>
            <w:tcW w:w="564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20"/>
                <w:szCs w:val="20"/>
                <w:color w:val="auto"/>
              </w:rPr>
              <w:t>Devon Energy Corp.</w:t>
            </w:r>
          </w:p>
        </w:tc>
        <w:tc>
          <w:tcPr>
            <w:tcW w:w="562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rPr>
              <w:t>WPX Energy, Inc.</w:t>
            </w:r>
          </w:p>
        </w:tc>
      </w:tr>
      <w:tr>
        <w:trPr>
          <w:trHeight w:val="23"/>
        </w:trPr>
        <w:tc>
          <w:tcPr>
            <w:tcW w:w="5640" w:type="dxa"/>
            <w:vAlign w:val="bottom"/>
            <w:tcBorders>
              <w:left w:val="single" w:sz="8" w:color="00000A"/>
              <w:bottom w:val="single" w:sz="8" w:color="00000A"/>
              <w:right w:val="single" w:sz="8" w:color="00000A"/>
            </w:tcBorders>
          </w:tcPr>
          <w:p>
            <w:pPr>
              <w:spacing w:after="0"/>
              <w:rPr>
                <w:sz w:val="2"/>
                <w:szCs w:val="2"/>
                <w:color w:val="auto"/>
              </w:rPr>
            </w:pPr>
          </w:p>
        </w:tc>
        <w:tc>
          <w:tcPr>
            <w:tcW w:w="5620" w:type="dxa"/>
            <w:vAlign w:val="bottom"/>
            <w:tcBorders>
              <w:bottom w:val="single" w:sz="8" w:color="00000A"/>
              <w:right w:val="single" w:sz="8" w:color="00000A"/>
            </w:tcBorders>
          </w:tcPr>
          <w:p>
            <w:pPr>
              <w:spacing w:after="0"/>
              <w:rPr>
                <w:sz w:val="2"/>
                <w:szCs w:val="2"/>
                <w:color w:val="auto"/>
              </w:rPr>
            </w:pPr>
          </w:p>
        </w:tc>
      </w:tr>
      <w:tr>
        <w:trPr>
          <w:trHeight w:val="270"/>
        </w:trPr>
        <w:tc>
          <w:tcPr>
            <w:tcW w:w="564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0"/>
                <w:szCs w:val="20"/>
                <w:color w:val="auto"/>
              </w:rPr>
              <w:t>Diamondback Energy, Inc.</w:t>
            </w:r>
          </w:p>
        </w:tc>
        <w:tc>
          <w:tcPr>
            <w:tcW w:w="562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w w:val="94"/>
              </w:rPr>
              <w:t>S&amp;P Oil and Gas Exploration and Production Select Industry Index</w:t>
            </w:r>
          </w:p>
        </w:tc>
      </w:tr>
      <w:tr>
        <w:trPr>
          <w:trHeight w:val="261"/>
        </w:trPr>
        <w:tc>
          <w:tcPr>
            <w:tcW w:w="564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20"/>
                <w:szCs w:val="20"/>
                <w:color w:val="auto"/>
              </w:rPr>
              <w:t>Marathon Oil Corporation</w:t>
            </w:r>
          </w:p>
        </w:tc>
        <w:tc>
          <w:tcPr>
            <w:tcW w:w="5620" w:type="dxa"/>
            <w:vAlign w:val="bottom"/>
            <w:tcBorders>
              <w:right w:val="single" w:sz="8" w:color="00000A"/>
            </w:tcBorders>
          </w:tcPr>
          <w:p>
            <w:pPr>
              <w:ind w:left="20"/>
              <w:spacing w:after="0" w:line="220" w:lineRule="exact"/>
              <w:rPr>
                <w:sz w:val="20"/>
                <w:szCs w:val="20"/>
                <w:color w:val="auto"/>
              </w:rPr>
            </w:pPr>
            <w:r>
              <w:rPr>
                <w:rFonts w:ascii="Arial" w:cs="Arial" w:eastAsia="Arial" w:hAnsi="Arial"/>
                <w:sz w:val="20"/>
                <w:szCs w:val="20"/>
                <w:color w:val="auto"/>
              </w:rPr>
              <w:t>(XOP)</w:t>
            </w:r>
          </w:p>
        </w:tc>
      </w:tr>
      <w:tr>
        <w:trPr>
          <w:trHeight w:val="23"/>
        </w:trPr>
        <w:tc>
          <w:tcPr>
            <w:tcW w:w="5640" w:type="dxa"/>
            <w:vAlign w:val="bottom"/>
            <w:tcBorders>
              <w:left w:val="single" w:sz="8" w:color="00000A"/>
              <w:bottom w:val="single" w:sz="8" w:color="00000A"/>
              <w:right w:val="single" w:sz="8" w:color="00000A"/>
            </w:tcBorders>
          </w:tcPr>
          <w:p>
            <w:pPr>
              <w:spacing w:after="0"/>
              <w:rPr>
                <w:sz w:val="2"/>
                <w:szCs w:val="2"/>
                <w:color w:val="auto"/>
              </w:rPr>
            </w:pPr>
          </w:p>
        </w:tc>
        <w:tc>
          <w:tcPr>
            <w:tcW w:w="5620" w:type="dxa"/>
            <w:vAlign w:val="bottom"/>
            <w:tcBorders>
              <w:bottom w:val="single" w:sz="8" w:color="00000A"/>
              <w:right w:val="single" w:sz="8" w:color="00000A"/>
            </w:tcBorders>
          </w:tcPr>
          <w:p>
            <w:pPr>
              <w:spacing w:after="0"/>
              <w:rPr>
                <w:sz w:val="2"/>
                <w:szCs w:val="2"/>
                <w:color w:val="auto"/>
              </w:rPr>
            </w:pPr>
          </w:p>
        </w:tc>
      </w:tr>
    </w:tbl>
    <w:p>
      <w:pPr>
        <w:spacing w:after="0" w:line="200" w:lineRule="exact"/>
        <w:rPr>
          <w:sz w:val="20"/>
          <w:szCs w:val="20"/>
          <w:color w:val="auto"/>
        </w:rPr>
      </w:pPr>
    </w:p>
    <w:p>
      <w:pPr>
        <w:spacing w:after="0" w:line="22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For such purpose, the total shareholder return (“</w:t>
      </w:r>
      <w:r>
        <w:rPr>
          <w:rFonts w:ascii="Arial" w:cs="Arial" w:eastAsia="Arial" w:hAnsi="Arial"/>
          <w:sz w:val="20"/>
          <w:szCs w:val="20"/>
          <w:b w:val="1"/>
          <w:bCs w:val="1"/>
          <w:i w:val="1"/>
          <w:iCs w:val="1"/>
          <w:color w:val="auto"/>
        </w:rPr>
        <w:t>TSR</w:t>
      </w:r>
      <w:r>
        <w:rPr>
          <w:rFonts w:ascii="Arial" w:cs="Arial" w:eastAsia="Arial" w:hAnsi="Arial"/>
          <w:sz w:val="20"/>
          <w:szCs w:val="20"/>
          <w:color w:val="auto"/>
        </w:rPr>
        <w:t>”) shall be determined pursuant to the following formula:</w:t>
      </w:r>
    </w:p>
    <w:p>
      <w:pPr>
        <w:spacing w:after="0" w:line="216" w:lineRule="exact"/>
        <w:rPr>
          <w:sz w:val="20"/>
          <w:szCs w:val="20"/>
          <w:color w:val="auto"/>
        </w:rPr>
      </w:pPr>
    </w:p>
    <w:p>
      <w:pPr>
        <w:jc w:val="center"/>
        <w:ind w:right="20"/>
        <w:spacing w:after="0"/>
        <w:tabs>
          <w:tab w:leader="none" w:pos="240" w:val="left"/>
        </w:tabs>
        <w:rPr>
          <w:sz w:val="20"/>
          <w:szCs w:val="20"/>
          <w:color w:val="auto"/>
        </w:rPr>
      </w:pPr>
      <w:r>
        <w:rPr>
          <w:rFonts w:ascii="Arial" w:cs="Arial" w:eastAsia="Arial" w:hAnsi="Arial"/>
          <w:sz w:val="20"/>
          <w:szCs w:val="20"/>
          <w:color w:val="auto"/>
        </w:rPr>
        <w:t>TSR =</w:t>
      </w:r>
      <w:r>
        <w:rPr>
          <w:sz w:val="20"/>
          <w:szCs w:val="20"/>
          <w:color w:val="auto"/>
        </w:rPr>
        <w:tab/>
      </w:r>
      <w:r>
        <w:rPr>
          <w:rFonts w:ascii="Arial" w:cs="Arial" w:eastAsia="Arial" w:hAnsi="Arial"/>
          <w:sz w:val="18"/>
          <w:szCs w:val="18"/>
          <w:color w:val="auto"/>
        </w:rPr>
        <w:t>(</w:t>
      </w:r>
      <w:r>
        <w:rPr>
          <w:rFonts w:ascii="Arial" w:cs="Arial" w:eastAsia="Arial" w:hAnsi="Arial"/>
          <w:sz w:val="18"/>
          <w:szCs w:val="18"/>
          <w:u w:val="single" w:color="auto"/>
          <w:color w:val="auto"/>
        </w:rPr>
        <w:t>Ending Stock Price* - Beginning Stock Price**) + Reinvested Dividends***</w:t>
      </w:r>
    </w:p>
    <w:p>
      <w:pPr>
        <w:spacing w:after="0" w:line="16"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Beginning Stock Price**</w:t>
      </w:r>
    </w:p>
    <w:p>
      <w:pPr>
        <w:spacing w:after="0" w:line="200" w:lineRule="exact"/>
        <w:rPr>
          <w:sz w:val="20"/>
          <w:szCs w:val="20"/>
          <w:color w:val="auto"/>
        </w:rPr>
      </w:pPr>
    </w:p>
    <w:p>
      <w:pPr>
        <w:ind w:right="20" w:firstLine="656"/>
        <w:spacing w:after="0" w:line="260" w:lineRule="auto"/>
        <w:tabs>
          <w:tab w:leader="none" w:pos="810" w:val="left"/>
        </w:tabs>
        <w:numPr>
          <w:ilvl w:val="0"/>
          <w:numId w:val="45"/>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Ending Stock Price</w:t>
      </w:r>
      <w:r>
        <w:rPr>
          <w:rFonts w:ascii="Arial" w:cs="Arial" w:eastAsia="Arial" w:hAnsi="Arial"/>
          <w:sz w:val="20"/>
          <w:szCs w:val="20"/>
          <w:color w:val="auto"/>
        </w:rPr>
        <w:t>” is the average daily closing price per share of the applicable issuer’s common stock calculated for the last twenty (20) consecutive trading days within the Performance Period.</w:t>
      </w:r>
    </w:p>
    <w:p>
      <w:pPr>
        <w:spacing w:after="0" w:line="177" w:lineRule="exact"/>
        <w:rPr>
          <w:sz w:val="20"/>
          <w:szCs w:val="20"/>
          <w:color w:val="auto"/>
        </w:rPr>
      </w:pPr>
    </w:p>
    <w:p>
      <w:pPr>
        <w:ind w:right="20" w:firstLine="656"/>
        <w:spacing w:after="0" w:line="260" w:lineRule="auto"/>
        <w:tabs>
          <w:tab w:leader="none" w:pos="895" w:val="left"/>
        </w:tabs>
        <w:numPr>
          <w:ilvl w:val="0"/>
          <w:numId w:val="46"/>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Beginning Stock Price</w:t>
      </w:r>
      <w:r>
        <w:rPr>
          <w:rFonts w:ascii="Arial" w:cs="Arial" w:eastAsia="Arial" w:hAnsi="Arial"/>
          <w:sz w:val="20"/>
          <w:szCs w:val="20"/>
          <w:color w:val="auto"/>
        </w:rPr>
        <w:t>” is the average daily closing price per share of the applicable issuer’s calculated for the last twenty (20) consecutive trading days immediately preceding the commencement of the Performance Period.</w:t>
      </w:r>
    </w:p>
    <w:p>
      <w:pPr>
        <w:spacing w:after="0" w:line="176" w:lineRule="exact"/>
        <w:rPr>
          <w:rFonts w:ascii="Arial" w:cs="Arial" w:eastAsia="Arial" w:hAnsi="Arial"/>
          <w:sz w:val="20"/>
          <w:szCs w:val="20"/>
          <w:color w:val="auto"/>
        </w:rPr>
      </w:pPr>
    </w:p>
    <w:p>
      <w:pPr>
        <w:jc w:val="both"/>
        <w:ind w:right="20" w:firstLine="656"/>
        <w:spacing w:after="0" w:line="244" w:lineRule="auto"/>
        <w:tabs>
          <w:tab w:leader="none" w:pos="994" w:val="left"/>
        </w:tabs>
        <w:numPr>
          <w:ilvl w:val="0"/>
          <w:numId w:val="47"/>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Reinvested Dividends</w:t>
      </w:r>
      <w:r>
        <w:rPr>
          <w:rFonts w:ascii="Arial" w:cs="Arial" w:eastAsia="Arial" w:hAnsi="Arial"/>
          <w:sz w:val="20"/>
          <w:szCs w:val="20"/>
          <w:color w:val="auto"/>
        </w:rPr>
        <w:t>” shall be calculated by multiplying (i) the aggregate number of shares (including fractional shares) that could have been purchased during the Performance Period had each cash dividend paid on a single share during that period been immediately reinvested in additional shares (or fractional shares) at the closing selling price per share of the common stock on the applicable dividend payment date by (ii) the average daily closing price per share calculated for the last twenty (20) consecutive trading days within the Performance Period.</w:t>
      </w:r>
    </w:p>
    <w:p>
      <w:pPr>
        <w:spacing w:after="0" w:line="194" w:lineRule="exact"/>
        <w:rPr>
          <w:sz w:val="20"/>
          <w:szCs w:val="20"/>
          <w:color w:val="auto"/>
        </w:rPr>
      </w:pPr>
    </w:p>
    <w:p>
      <w:pPr>
        <w:ind w:right="20" w:firstLine="648"/>
        <w:spacing w:after="0" w:line="260" w:lineRule="auto"/>
        <w:rPr>
          <w:sz w:val="20"/>
          <w:szCs w:val="20"/>
          <w:color w:val="auto"/>
        </w:rPr>
      </w:pPr>
      <w:r>
        <w:rPr>
          <w:rFonts w:ascii="Arial" w:cs="Arial" w:eastAsia="Arial" w:hAnsi="Arial"/>
          <w:sz w:val="20"/>
          <w:szCs w:val="20"/>
          <w:color w:val="auto"/>
        </w:rPr>
        <w:t>Each of the foregoing amounts shall be equitably adjusted for stock splits, stock dividends, recapitalizations and other similar events affecting the shares in question without the issuer’s receipt of consideration.</w:t>
      </w:r>
    </w:p>
    <w:p>
      <w:pPr>
        <w:spacing w:after="0" w:line="39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60"/>
          </w:cols>
          <w:pgMar w:left="320" w:top="589" w:right="319" w:bottom="1440" w:gutter="0" w:footer="0" w:header="0"/>
        </w:sectPr>
      </w:pPr>
    </w:p>
    <w:bookmarkStart w:id="57" w:name="page58"/>
    <w:bookmarkEnd w:id="57"/>
    <w:p>
      <w:pPr>
        <w:jc w:val="both"/>
        <w:ind w:firstLine="648"/>
        <w:spacing w:after="0" w:line="244" w:lineRule="auto"/>
        <w:rPr>
          <w:sz w:val="20"/>
          <w:szCs w:val="20"/>
          <w:color w:val="auto"/>
        </w:rPr>
      </w:pPr>
      <w:r>
        <w:rPr>
          <w:rFonts w:ascii="Arial" w:cs="Arial" w:eastAsia="Arial" w:hAnsi="Arial"/>
          <w:sz w:val="20"/>
          <w:szCs w:val="20"/>
          <w:color w:val="auto"/>
        </w:rPr>
        <w:t>An issuer shall be removed from the Relative Group if it: (i) ceases to be a publicly traded company on a national stock exchange or market system, unless such cessation of such listing is due to a low stock price or low trading volume; (ii) has gone private; or (iii) has been acquired by another company (whether by another company in the Relative Group or otherwise, but not including internal reorganizations) or has sold all or substantially all of its assets. A company that is removed from the Relative Group before the end of the Performance Period will be excluded from the calculation of TSR percentile ranking.</w:t>
      </w:r>
    </w:p>
    <w:p>
      <w:pPr>
        <w:spacing w:after="0" w:line="188"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b w:val="1"/>
          <w:bCs w:val="1"/>
          <w:u w:val="single" w:color="auto"/>
          <w:color w:val="auto"/>
        </w:rPr>
        <w:t>Vested Units</w:t>
      </w:r>
      <w:r>
        <w:rPr>
          <w:rFonts w:ascii="Arial" w:cs="Arial" w:eastAsia="Arial" w:hAnsi="Arial"/>
          <w:sz w:val="20"/>
          <w:szCs w:val="20"/>
          <w:b w:val="1"/>
          <w:bCs w:val="1"/>
          <w:color w:val="auto"/>
        </w:rPr>
        <w:t xml:space="preserve">: </w:t>
      </w:r>
      <w:r>
        <w:rPr>
          <w:rFonts w:ascii="Arial" w:cs="Arial" w:eastAsia="Arial" w:hAnsi="Arial"/>
          <w:sz w:val="20"/>
          <w:szCs w:val="20"/>
          <w:color w:val="auto"/>
        </w:rPr>
        <w:t>Within sixty (60) days after the completion of the Performance Period, the Committee shall determine and certify the</w:t>
      </w:r>
      <w:r>
        <w:rPr>
          <w:rFonts w:ascii="Arial" w:cs="Arial" w:eastAsia="Arial" w:hAnsi="Arial"/>
          <w:sz w:val="20"/>
          <w:szCs w:val="20"/>
          <w:b w:val="1"/>
          <w:bCs w:val="1"/>
          <w:color w:val="auto"/>
        </w:rPr>
        <w:t xml:space="preserve"> </w:t>
      </w:r>
      <w:r>
        <w:rPr>
          <w:rFonts w:ascii="Arial" w:cs="Arial" w:eastAsia="Arial" w:hAnsi="Arial"/>
          <w:sz w:val="20"/>
          <w:szCs w:val="20"/>
          <w:color w:val="auto"/>
        </w:rPr>
        <w:t>actual level at which the Performance Goal is attained and such date of certification shall be the “</w:t>
      </w:r>
      <w:r>
        <w:rPr>
          <w:rFonts w:ascii="Arial" w:cs="Arial" w:eastAsia="Arial" w:hAnsi="Arial"/>
          <w:sz w:val="20"/>
          <w:szCs w:val="20"/>
          <w:b w:val="1"/>
          <w:bCs w:val="1"/>
          <w:i w:val="1"/>
          <w:iCs w:val="1"/>
          <w:color w:val="auto"/>
        </w:rPr>
        <w:t>Vesting Date</w:t>
      </w:r>
      <w:r>
        <w:rPr>
          <w:rFonts w:ascii="Arial" w:cs="Arial" w:eastAsia="Arial" w:hAnsi="Arial"/>
          <w:sz w:val="20"/>
          <w:szCs w:val="20"/>
          <w:color w:val="auto"/>
        </w:rPr>
        <w:t>.” The actual number of Vested Units that results from such certification may range from 0% to 200% of the Target Units. The actual percentage shall be determined on the basis of the relative ranking of the Company’s TSR as compared to the TSRs of the Relative Group companies, expressed as a percentile ranking. Notwithstanding the foregoing, the maximum number of shares of Common Stock that may qualify as Vested Units may not exceed 200% of the Target Units and in no event may more than 100% of the Target Units become Vested Units if the Company’s TSR for the Performance Period is negative.</w:t>
      </w:r>
    </w:p>
    <w:p>
      <w:pPr>
        <w:spacing w:after="0" w:line="186"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9"/>
          <w:szCs w:val="19"/>
          <w:b w:val="1"/>
          <w:bCs w:val="1"/>
          <w:u w:val="single" w:color="auto"/>
          <w:color w:val="auto"/>
        </w:rPr>
        <w:t>Payout Table for Determining Number of Vested Units Based on Attained Relative TSR</w:t>
      </w:r>
      <w:r>
        <w:rPr>
          <w:rFonts w:ascii="Arial" w:cs="Arial" w:eastAsia="Arial" w:hAnsi="Arial"/>
          <w:sz w:val="19"/>
          <w:szCs w:val="19"/>
          <w:b w:val="1"/>
          <w:bCs w:val="1"/>
          <w:color w:val="auto"/>
        </w:rPr>
        <w:t xml:space="preserve">: </w:t>
      </w:r>
      <w:r>
        <w:rPr>
          <w:rFonts w:ascii="Arial" w:cs="Arial" w:eastAsia="Arial" w:hAnsi="Arial"/>
          <w:sz w:val="19"/>
          <w:szCs w:val="19"/>
          <w:color w:val="auto"/>
        </w:rPr>
        <w:t>The number of shares of Common</w:t>
      </w:r>
      <w:r>
        <w:rPr>
          <w:rFonts w:ascii="Arial" w:cs="Arial" w:eastAsia="Arial" w:hAnsi="Arial"/>
          <w:sz w:val="19"/>
          <w:szCs w:val="19"/>
          <w:b w:val="1"/>
          <w:bCs w:val="1"/>
          <w:color w:val="auto"/>
        </w:rPr>
        <w:t xml:space="preserve"> </w:t>
      </w:r>
      <w:r>
        <w:rPr>
          <w:rFonts w:ascii="Arial" w:cs="Arial" w:eastAsia="Arial" w:hAnsi="Arial"/>
          <w:sz w:val="19"/>
          <w:szCs w:val="19"/>
          <w:color w:val="auto"/>
        </w:rPr>
        <w:t>Stock that may qualify as Vested Units on the basis of the Company’s certified TSR percentile ranking shall be calculated by multiplying the Target Units by the applicable percentage determined in accordance with the following payout table (with appropriate straight-line interpolation for any attained percentile level within two designated percentile levels in such slope, rounded to the nearest hundredth of a point, and the resulting number of shares of Common Stock rounded to the nearest whole share):</w:t>
      </w:r>
    </w:p>
    <w:p>
      <w:pPr>
        <w:spacing w:after="0" w:line="322" w:lineRule="exact"/>
        <w:rPr>
          <w:sz w:val="20"/>
          <w:szCs w:val="20"/>
          <w:color w:val="auto"/>
        </w:rPr>
      </w:pPr>
    </w:p>
    <w:tbl>
      <w:tblPr>
        <w:tblLayout w:type="fixed"/>
        <w:tblInd w:w="2570" w:type="dxa"/>
        <w:tblCellMar>
          <w:top w:w="0" w:type="dxa"/>
          <w:left w:w="0" w:type="dxa"/>
          <w:bottom w:w="0" w:type="dxa"/>
          <w:right w:w="0" w:type="dxa"/>
        </w:tblCellMar>
      </w:tblPr>
      <w:tr>
        <w:trPr>
          <w:trHeight w:val="247"/>
        </w:trPr>
        <w:tc>
          <w:tcPr>
            <w:tcW w:w="2960" w:type="dxa"/>
            <w:vAlign w:val="bottom"/>
            <w:tcBorders>
              <w:top w:val="single" w:sz="8" w:color="auto"/>
              <w:left w:val="single" w:sz="8" w:color="auto"/>
            </w:tcBorders>
          </w:tcPr>
          <w:p>
            <w:pPr>
              <w:spacing w:after="0"/>
              <w:rPr>
                <w:sz w:val="21"/>
                <w:szCs w:val="21"/>
                <w:color w:val="auto"/>
              </w:rPr>
            </w:pPr>
          </w:p>
        </w:tc>
        <w:tc>
          <w:tcPr>
            <w:tcW w:w="260" w:type="dxa"/>
            <w:vAlign w:val="bottom"/>
            <w:tcBorders>
              <w:top w:val="single" w:sz="8" w:color="auto"/>
              <w:right w:val="single" w:sz="8" w:color="auto"/>
            </w:tcBorders>
          </w:tcPr>
          <w:p>
            <w:pPr>
              <w:spacing w:after="0"/>
              <w:rPr>
                <w:sz w:val="21"/>
                <w:szCs w:val="21"/>
                <w:color w:val="auto"/>
              </w:rPr>
            </w:pPr>
          </w:p>
        </w:tc>
        <w:tc>
          <w:tcPr>
            <w:tcW w:w="29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w w:val="88"/>
              </w:rPr>
              <w:t>Percentage of Target Units that</w:t>
            </w:r>
          </w:p>
        </w:tc>
      </w:tr>
      <w:tr>
        <w:trPr>
          <w:trHeight w:val="256"/>
        </w:trPr>
        <w:tc>
          <w:tcPr>
            <w:tcW w:w="2960" w:type="dxa"/>
            <w:vAlign w:val="bottom"/>
            <w:tcBorders>
              <w:left w:val="single" w:sz="8" w:color="auto"/>
            </w:tcBorders>
          </w:tcPr>
          <w:p>
            <w:pPr>
              <w:ind w:left="280"/>
              <w:spacing w:after="0"/>
              <w:rPr>
                <w:sz w:val="20"/>
                <w:szCs w:val="20"/>
                <w:color w:val="auto"/>
              </w:rPr>
            </w:pPr>
            <w:r>
              <w:rPr>
                <w:rFonts w:ascii="Arial" w:cs="Arial" w:eastAsia="Arial" w:hAnsi="Arial"/>
                <w:sz w:val="20"/>
                <w:szCs w:val="20"/>
                <w:b w:val="1"/>
                <w:bCs w:val="1"/>
                <w:color w:val="auto"/>
                <w:w w:val="90"/>
              </w:rPr>
              <w:t>Company’s Percentile Ranking</w:t>
            </w:r>
          </w:p>
        </w:tc>
        <w:tc>
          <w:tcPr>
            <w:tcW w:w="260" w:type="dxa"/>
            <w:vAlign w:val="bottom"/>
            <w:tcBorders>
              <w:right w:val="single" w:sz="8" w:color="auto"/>
            </w:tcBorders>
          </w:tcPr>
          <w:p>
            <w:pPr>
              <w:spacing w:after="0"/>
              <w:rPr>
                <w:sz w:val="22"/>
                <w:szCs w:val="22"/>
                <w:color w:val="auto"/>
              </w:rPr>
            </w:pPr>
          </w:p>
        </w:tc>
        <w:tc>
          <w:tcPr>
            <w:tcW w:w="2940" w:type="dxa"/>
            <w:vAlign w:val="bottom"/>
            <w:tcBorders>
              <w:right w:val="single" w:sz="8" w:color="auto"/>
            </w:tcBorders>
          </w:tcPr>
          <w:p>
            <w:pPr>
              <w:jc w:val="center"/>
              <w:spacing w:after="0"/>
              <w:rPr>
                <w:sz w:val="20"/>
                <w:szCs w:val="20"/>
                <w:color w:val="auto"/>
              </w:rPr>
            </w:pPr>
            <w:r>
              <w:rPr>
                <w:rFonts w:ascii="Arial" w:cs="Arial" w:eastAsia="Arial" w:hAnsi="Arial"/>
                <w:sz w:val="20"/>
                <w:szCs w:val="20"/>
                <w:b w:val="1"/>
                <w:bCs w:val="1"/>
                <w:color w:val="auto"/>
                <w:w w:val="87"/>
              </w:rPr>
              <w:t>will become Vested Units</w:t>
            </w:r>
          </w:p>
        </w:tc>
      </w:tr>
      <w:tr>
        <w:trPr>
          <w:trHeight w:val="23"/>
        </w:trPr>
        <w:tc>
          <w:tcPr>
            <w:tcW w:w="2960" w:type="dxa"/>
            <w:vAlign w:val="bottom"/>
            <w:tcBorders>
              <w:left w:val="single" w:sz="8" w:color="auto"/>
              <w:bottom w:val="single" w:sz="8" w:color="auto"/>
            </w:tcBorders>
          </w:tcPr>
          <w:p>
            <w:pPr>
              <w:spacing w:after="0"/>
              <w:rPr>
                <w:sz w:val="2"/>
                <w:szCs w:val="2"/>
                <w:color w:val="auto"/>
              </w:rPr>
            </w:pPr>
          </w:p>
        </w:tc>
        <w:tc>
          <w:tcPr>
            <w:tcW w:w="260" w:type="dxa"/>
            <w:vAlign w:val="bottom"/>
            <w:tcBorders>
              <w:bottom w:val="single" w:sz="8" w:color="auto"/>
              <w:right w:val="single" w:sz="8" w:color="auto"/>
            </w:tcBorders>
          </w:tcPr>
          <w:p>
            <w:pPr>
              <w:spacing w:after="0"/>
              <w:rPr>
                <w:sz w:val="2"/>
                <w:szCs w:val="2"/>
                <w:color w:val="auto"/>
              </w:rPr>
            </w:pPr>
          </w:p>
        </w:tc>
        <w:tc>
          <w:tcPr>
            <w:tcW w:w="2940" w:type="dxa"/>
            <w:vAlign w:val="bottom"/>
            <w:tcBorders>
              <w:bottom w:val="single" w:sz="8" w:color="auto"/>
              <w:right w:val="single" w:sz="8" w:color="auto"/>
            </w:tcBorders>
          </w:tcPr>
          <w:p>
            <w:pPr>
              <w:spacing w:after="0"/>
              <w:rPr>
                <w:sz w:val="2"/>
                <w:szCs w:val="2"/>
                <w:color w:val="auto"/>
              </w:rPr>
            </w:pPr>
          </w:p>
        </w:tc>
      </w:tr>
      <w:tr>
        <w:trPr>
          <w:trHeight w:val="254"/>
        </w:trPr>
        <w:tc>
          <w:tcPr>
            <w:tcW w:w="2960" w:type="dxa"/>
            <w:vAlign w:val="bottom"/>
            <w:tcBorders>
              <w:left w:val="single" w:sz="8" w:color="auto"/>
            </w:tcBorders>
          </w:tcPr>
          <w:p>
            <w:pPr>
              <w:jc w:val="center"/>
              <w:ind w:left="121"/>
              <w:spacing w:after="0"/>
              <w:rPr>
                <w:sz w:val="20"/>
                <w:szCs w:val="20"/>
                <w:color w:val="auto"/>
              </w:rPr>
            </w:pPr>
            <w:r>
              <w:rPr>
                <w:rFonts w:ascii="Arial" w:cs="Arial" w:eastAsia="Arial" w:hAnsi="Arial"/>
                <w:sz w:val="20"/>
                <w:szCs w:val="20"/>
                <w:color w:val="auto"/>
                <w:w w:val="89"/>
              </w:rPr>
              <w:t>0</w:t>
            </w:r>
          </w:p>
        </w:tc>
        <w:tc>
          <w:tcPr>
            <w:tcW w:w="260" w:type="dxa"/>
            <w:vAlign w:val="bottom"/>
            <w:tcBorders>
              <w:right w:val="single" w:sz="8" w:color="auto"/>
            </w:tcBorders>
          </w:tcPr>
          <w:p>
            <w:pPr>
              <w:spacing w:after="0"/>
              <w:rPr>
                <w:sz w:val="22"/>
                <w:szCs w:val="22"/>
                <w:color w:val="auto"/>
              </w:rPr>
            </w:pPr>
          </w:p>
        </w:tc>
        <w:tc>
          <w:tcPr>
            <w:tcW w:w="294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9"/>
              </w:rPr>
              <w:t>0%</w:t>
            </w:r>
          </w:p>
        </w:tc>
      </w:tr>
      <w:tr>
        <w:trPr>
          <w:trHeight w:val="23"/>
        </w:trPr>
        <w:tc>
          <w:tcPr>
            <w:tcW w:w="2960" w:type="dxa"/>
            <w:vAlign w:val="bottom"/>
            <w:tcBorders>
              <w:left w:val="single" w:sz="8" w:color="auto"/>
              <w:bottom w:val="single" w:sz="8" w:color="auto"/>
            </w:tcBorders>
          </w:tcPr>
          <w:p>
            <w:pPr>
              <w:spacing w:after="0"/>
              <w:rPr>
                <w:sz w:val="2"/>
                <w:szCs w:val="2"/>
                <w:color w:val="auto"/>
              </w:rPr>
            </w:pPr>
          </w:p>
        </w:tc>
        <w:tc>
          <w:tcPr>
            <w:tcW w:w="260" w:type="dxa"/>
            <w:vAlign w:val="bottom"/>
            <w:tcBorders>
              <w:bottom w:val="single" w:sz="8" w:color="auto"/>
              <w:right w:val="single" w:sz="8" w:color="auto"/>
            </w:tcBorders>
          </w:tcPr>
          <w:p>
            <w:pPr>
              <w:spacing w:after="0"/>
              <w:rPr>
                <w:sz w:val="2"/>
                <w:szCs w:val="2"/>
                <w:color w:val="auto"/>
              </w:rPr>
            </w:pPr>
          </w:p>
        </w:tc>
        <w:tc>
          <w:tcPr>
            <w:tcW w:w="2940" w:type="dxa"/>
            <w:vAlign w:val="bottom"/>
            <w:tcBorders>
              <w:bottom w:val="single" w:sz="8" w:color="auto"/>
              <w:right w:val="single" w:sz="8" w:color="auto"/>
            </w:tcBorders>
          </w:tcPr>
          <w:p>
            <w:pPr>
              <w:spacing w:after="0"/>
              <w:rPr>
                <w:sz w:val="2"/>
                <w:szCs w:val="2"/>
                <w:color w:val="auto"/>
              </w:rPr>
            </w:pPr>
          </w:p>
        </w:tc>
      </w:tr>
      <w:tr>
        <w:trPr>
          <w:trHeight w:val="254"/>
        </w:trPr>
        <w:tc>
          <w:tcPr>
            <w:tcW w:w="2960" w:type="dxa"/>
            <w:vAlign w:val="bottom"/>
            <w:tcBorders>
              <w:left w:val="single" w:sz="8" w:color="auto"/>
            </w:tcBorders>
          </w:tcPr>
          <w:p>
            <w:pPr>
              <w:jc w:val="center"/>
              <w:ind w:left="141"/>
              <w:spacing w:after="0"/>
              <w:rPr>
                <w:sz w:val="20"/>
                <w:szCs w:val="20"/>
                <w:color w:val="auto"/>
              </w:rPr>
            </w:pPr>
            <w:r>
              <w:rPr>
                <w:rFonts w:ascii="Arial" w:cs="Arial" w:eastAsia="Arial" w:hAnsi="Arial"/>
                <w:sz w:val="20"/>
                <w:szCs w:val="20"/>
                <w:color w:val="auto"/>
                <w:w w:val="92"/>
              </w:rPr>
              <w:t>10th</w:t>
            </w:r>
          </w:p>
        </w:tc>
        <w:tc>
          <w:tcPr>
            <w:tcW w:w="260" w:type="dxa"/>
            <w:vAlign w:val="bottom"/>
            <w:tcBorders>
              <w:right w:val="single" w:sz="8" w:color="auto"/>
            </w:tcBorders>
          </w:tcPr>
          <w:p>
            <w:pPr>
              <w:spacing w:after="0"/>
              <w:rPr>
                <w:sz w:val="22"/>
                <w:szCs w:val="22"/>
                <w:color w:val="auto"/>
              </w:rPr>
            </w:pPr>
          </w:p>
        </w:tc>
        <w:tc>
          <w:tcPr>
            <w:tcW w:w="294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4"/>
              </w:rPr>
              <w:t>20%</w:t>
            </w:r>
          </w:p>
        </w:tc>
      </w:tr>
      <w:tr>
        <w:trPr>
          <w:trHeight w:val="23"/>
        </w:trPr>
        <w:tc>
          <w:tcPr>
            <w:tcW w:w="2960" w:type="dxa"/>
            <w:vAlign w:val="bottom"/>
            <w:tcBorders>
              <w:left w:val="single" w:sz="8" w:color="auto"/>
              <w:bottom w:val="single" w:sz="8" w:color="auto"/>
            </w:tcBorders>
          </w:tcPr>
          <w:p>
            <w:pPr>
              <w:spacing w:after="0"/>
              <w:rPr>
                <w:sz w:val="2"/>
                <w:szCs w:val="2"/>
                <w:color w:val="auto"/>
              </w:rPr>
            </w:pPr>
          </w:p>
        </w:tc>
        <w:tc>
          <w:tcPr>
            <w:tcW w:w="260" w:type="dxa"/>
            <w:vAlign w:val="bottom"/>
            <w:tcBorders>
              <w:bottom w:val="single" w:sz="8" w:color="auto"/>
              <w:right w:val="single" w:sz="8" w:color="auto"/>
            </w:tcBorders>
          </w:tcPr>
          <w:p>
            <w:pPr>
              <w:spacing w:after="0"/>
              <w:rPr>
                <w:sz w:val="2"/>
                <w:szCs w:val="2"/>
                <w:color w:val="auto"/>
              </w:rPr>
            </w:pPr>
          </w:p>
        </w:tc>
        <w:tc>
          <w:tcPr>
            <w:tcW w:w="2940" w:type="dxa"/>
            <w:vAlign w:val="bottom"/>
            <w:tcBorders>
              <w:bottom w:val="single" w:sz="8" w:color="auto"/>
              <w:right w:val="single" w:sz="8" w:color="auto"/>
            </w:tcBorders>
          </w:tcPr>
          <w:p>
            <w:pPr>
              <w:spacing w:after="0"/>
              <w:rPr>
                <w:sz w:val="2"/>
                <w:szCs w:val="2"/>
                <w:color w:val="auto"/>
              </w:rPr>
            </w:pPr>
          </w:p>
        </w:tc>
      </w:tr>
      <w:tr>
        <w:trPr>
          <w:trHeight w:val="254"/>
        </w:trPr>
        <w:tc>
          <w:tcPr>
            <w:tcW w:w="2960" w:type="dxa"/>
            <w:vAlign w:val="bottom"/>
            <w:tcBorders>
              <w:left w:val="single" w:sz="8" w:color="auto"/>
            </w:tcBorders>
          </w:tcPr>
          <w:p>
            <w:pPr>
              <w:jc w:val="center"/>
              <w:ind w:left="141"/>
              <w:spacing w:after="0"/>
              <w:rPr>
                <w:sz w:val="20"/>
                <w:szCs w:val="20"/>
                <w:color w:val="auto"/>
              </w:rPr>
            </w:pPr>
            <w:r>
              <w:rPr>
                <w:rFonts w:ascii="Arial" w:cs="Arial" w:eastAsia="Arial" w:hAnsi="Arial"/>
                <w:sz w:val="20"/>
                <w:szCs w:val="20"/>
                <w:color w:val="auto"/>
                <w:w w:val="92"/>
              </w:rPr>
              <w:t>20th</w:t>
            </w:r>
          </w:p>
        </w:tc>
        <w:tc>
          <w:tcPr>
            <w:tcW w:w="260" w:type="dxa"/>
            <w:vAlign w:val="bottom"/>
            <w:tcBorders>
              <w:right w:val="single" w:sz="8" w:color="auto"/>
            </w:tcBorders>
          </w:tcPr>
          <w:p>
            <w:pPr>
              <w:spacing w:after="0"/>
              <w:rPr>
                <w:sz w:val="22"/>
                <w:szCs w:val="22"/>
                <w:color w:val="auto"/>
              </w:rPr>
            </w:pPr>
          </w:p>
        </w:tc>
        <w:tc>
          <w:tcPr>
            <w:tcW w:w="294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4"/>
              </w:rPr>
              <w:t>40%</w:t>
            </w:r>
          </w:p>
        </w:tc>
      </w:tr>
      <w:tr>
        <w:trPr>
          <w:trHeight w:val="23"/>
        </w:trPr>
        <w:tc>
          <w:tcPr>
            <w:tcW w:w="2960" w:type="dxa"/>
            <w:vAlign w:val="bottom"/>
            <w:tcBorders>
              <w:left w:val="single" w:sz="8" w:color="auto"/>
              <w:bottom w:val="single" w:sz="8" w:color="auto"/>
            </w:tcBorders>
          </w:tcPr>
          <w:p>
            <w:pPr>
              <w:spacing w:after="0"/>
              <w:rPr>
                <w:sz w:val="2"/>
                <w:szCs w:val="2"/>
                <w:color w:val="auto"/>
              </w:rPr>
            </w:pPr>
          </w:p>
        </w:tc>
        <w:tc>
          <w:tcPr>
            <w:tcW w:w="260" w:type="dxa"/>
            <w:vAlign w:val="bottom"/>
            <w:tcBorders>
              <w:bottom w:val="single" w:sz="8" w:color="auto"/>
              <w:right w:val="single" w:sz="8" w:color="auto"/>
            </w:tcBorders>
          </w:tcPr>
          <w:p>
            <w:pPr>
              <w:spacing w:after="0"/>
              <w:rPr>
                <w:sz w:val="2"/>
                <w:szCs w:val="2"/>
                <w:color w:val="auto"/>
              </w:rPr>
            </w:pPr>
          </w:p>
        </w:tc>
        <w:tc>
          <w:tcPr>
            <w:tcW w:w="2940" w:type="dxa"/>
            <w:vAlign w:val="bottom"/>
            <w:tcBorders>
              <w:bottom w:val="single" w:sz="8" w:color="auto"/>
              <w:right w:val="single" w:sz="8" w:color="auto"/>
            </w:tcBorders>
          </w:tcPr>
          <w:p>
            <w:pPr>
              <w:spacing w:after="0"/>
              <w:rPr>
                <w:sz w:val="2"/>
                <w:szCs w:val="2"/>
                <w:color w:val="auto"/>
              </w:rPr>
            </w:pPr>
          </w:p>
        </w:tc>
      </w:tr>
      <w:tr>
        <w:trPr>
          <w:trHeight w:val="254"/>
        </w:trPr>
        <w:tc>
          <w:tcPr>
            <w:tcW w:w="2960" w:type="dxa"/>
            <w:vAlign w:val="bottom"/>
            <w:tcBorders>
              <w:left w:val="single" w:sz="8" w:color="auto"/>
            </w:tcBorders>
          </w:tcPr>
          <w:p>
            <w:pPr>
              <w:jc w:val="center"/>
              <w:ind w:left="141"/>
              <w:spacing w:after="0"/>
              <w:rPr>
                <w:sz w:val="20"/>
                <w:szCs w:val="20"/>
                <w:color w:val="auto"/>
              </w:rPr>
            </w:pPr>
            <w:r>
              <w:rPr>
                <w:rFonts w:ascii="Arial" w:cs="Arial" w:eastAsia="Arial" w:hAnsi="Arial"/>
                <w:sz w:val="20"/>
                <w:szCs w:val="20"/>
                <w:color w:val="auto"/>
                <w:w w:val="92"/>
              </w:rPr>
              <w:t>30th</w:t>
            </w:r>
          </w:p>
        </w:tc>
        <w:tc>
          <w:tcPr>
            <w:tcW w:w="260" w:type="dxa"/>
            <w:vAlign w:val="bottom"/>
            <w:tcBorders>
              <w:right w:val="single" w:sz="8" w:color="auto"/>
            </w:tcBorders>
          </w:tcPr>
          <w:p>
            <w:pPr>
              <w:spacing w:after="0"/>
              <w:rPr>
                <w:sz w:val="22"/>
                <w:szCs w:val="22"/>
                <w:color w:val="auto"/>
              </w:rPr>
            </w:pPr>
          </w:p>
        </w:tc>
        <w:tc>
          <w:tcPr>
            <w:tcW w:w="294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4"/>
              </w:rPr>
              <w:t>60%</w:t>
            </w:r>
          </w:p>
        </w:tc>
      </w:tr>
      <w:tr>
        <w:trPr>
          <w:trHeight w:val="23"/>
        </w:trPr>
        <w:tc>
          <w:tcPr>
            <w:tcW w:w="2960" w:type="dxa"/>
            <w:vAlign w:val="bottom"/>
            <w:tcBorders>
              <w:left w:val="single" w:sz="8" w:color="auto"/>
              <w:bottom w:val="single" w:sz="8" w:color="auto"/>
            </w:tcBorders>
          </w:tcPr>
          <w:p>
            <w:pPr>
              <w:spacing w:after="0"/>
              <w:rPr>
                <w:sz w:val="2"/>
                <w:szCs w:val="2"/>
                <w:color w:val="auto"/>
              </w:rPr>
            </w:pPr>
          </w:p>
        </w:tc>
        <w:tc>
          <w:tcPr>
            <w:tcW w:w="260" w:type="dxa"/>
            <w:vAlign w:val="bottom"/>
            <w:tcBorders>
              <w:bottom w:val="single" w:sz="8" w:color="auto"/>
              <w:right w:val="single" w:sz="8" w:color="auto"/>
            </w:tcBorders>
          </w:tcPr>
          <w:p>
            <w:pPr>
              <w:spacing w:after="0"/>
              <w:rPr>
                <w:sz w:val="2"/>
                <w:szCs w:val="2"/>
                <w:color w:val="auto"/>
              </w:rPr>
            </w:pPr>
          </w:p>
        </w:tc>
        <w:tc>
          <w:tcPr>
            <w:tcW w:w="2940" w:type="dxa"/>
            <w:vAlign w:val="bottom"/>
            <w:tcBorders>
              <w:bottom w:val="single" w:sz="8" w:color="auto"/>
              <w:right w:val="single" w:sz="8" w:color="auto"/>
            </w:tcBorders>
          </w:tcPr>
          <w:p>
            <w:pPr>
              <w:spacing w:after="0"/>
              <w:rPr>
                <w:sz w:val="2"/>
                <w:szCs w:val="2"/>
                <w:color w:val="auto"/>
              </w:rPr>
            </w:pPr>
          </w:p>
        </w:tc>
      </w:tr>
      <w:tr>
        <w:trPr>
          <w:trHeight w:val="254"/>
        </w:trPr>
        <w:tc>
          <w:tcPr>
            <w:tcW w:w="2960" w:type="dxa"/>
            <w:vAlign w:val="bottom"/>
            <w:tcBorders>
              <w:left w:val="single" w:sz="8" w:color="auto"/>
            </w:tcBorders>
          </w:tcPr>
          <w:p>
            <w:pPr>
              <w:jc w:val="center"/>
              <w:ind w:left="141"/>
              <w:spacing w:after="0"/>
              <w:rPr>
                <w:sz w:val="20"/>
                <w:szCs w:val="20"/>
                <w:color w:val="auto"/>
              </w:rPr>
            </w:pPr>
            <w:r>
              <w:rPr>
                <w:rFonts w:ascii="Arial" w:cs="Arial" w:eastAsia="Arial" w:hAnsi="Arial"/>
                <w:sz w:val="20"/>
                <w:szCs w:val="20"/>
                <w:color w:val="auto"/>
                <w:w w:val="92"/>
              </w:rPr>
              <w:t>40th</w:t>
            </w:r>
          </w:p>
        </w:tc>
        <w:tc>
          <w:tcPr>
            <w:tcW w:w="260" w:type="dxa"/>
            <w:vAlign w:val="bottom"/>
            <w:tcBorders>
              <w:right w:val="single" w:sz="8" w:color="auto"/>
            </w:tcBorders>
          </w:tcPr>
          <w:p>
            <w:pPr>
              <w:spacing w:after="0"/>
              <w:rPr>
                <w:sz w:val="22"/>
                <w:szCs w:val="22"/>
                <w:color w:val="auto"/>
              </w:rPr>
            </w:pPr>
          </w:p>
        </w:tc>
        <w:tc>
          <w:tcPr>
            <w:tcW w:w="294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4"/>
              </w:rPr>
              <w:t>80%</w:t>
            </w:r>
          </w:p>
        </w:tc>
      </w:tr>
      <w:tr>
        <w:trPr>
          <w:trHeight w:val="23"/>
        </w:trPr>
        <w:tc>
          <w:tcPr>
            <w:tcW w:w="2960" w:type="dxa"/>
            <w:vAlign w:val="bottom"/>
            <w:tcBorders>
              <w:left w:val="single" w:sz="8" w:color="auto"/>
              <w:bottom w:val="single" w:sz="8" w:color="auto"/>
            </w:tcBorders>
          </w:tcPr>
          <w:p>
            <w:pPr>
              <w:spacing w:after="0"/>
              <w:rPr>
                <w:sz w:val="2"/>
                <w:szCs w:val="2"/>
                <w:color w:val="auto"/>
              </w:rPr>
            </w:pPr>
          </w:p>
        </w:tc>
        <w:tc>
          <w:tcPr>
            <w:tcW w:w="260" w:type="dxa"/>
            <w:vAlign w:val="bottom"/>
            <w:tcBorders>
              <w:bottom w:val="single" w:sz="8" w:color="auto"/>
              <w:right w:val="single" w:sz="8" w:color="auto"/>
            </w:tcBorders>
          </w:tcPr>
          <w:p>
            <w:pPr>
              <w:spacing w:after="0"/>
              <w:rPr>
                <w:sz w:val="2"/>
                <w:szCs w:val="2"/>
                <w:color w:val="auto"/>
              </w:rPr>
            </w:pPr>
          </w:p>
        </w:tc>
        <w:tc>
          <w:tcPr>
            <w:tcW w:w="2940" w:type="dxa"/>
            <w:vAlign w:val="bottom"/>
            <w:tcBorders>
              <w:bottom w:val="single" w:sz="8" w:color="auto"/>
              <w:right w:val="single" w:sz="8" w:color="auto"/>
            </w:tcBorders>
          </w:tcPr>
          <w:p>
            <w:pPr>
              <w:spacing w:after="0"/>
              <w:rPr>
                <w:sz w:val="2"/>
                <w:szCs w:val="2"/>
                <w:color w:val="auto"/>
              </w:rPr>
            </w:pPr>
          </w:p>
        </w:tc>
      </w:tr>
      <w:tr>
        <w:trPr>
          <w:trHeight w:val="254"/>
        </w:trPr>
        <w:tc>
          <w:tcPr>
            <w:tcW w:w="2960" w:type="dxa"/>
            <w:vAlign w:val="bottom"/>
            <w:tcBorders>
              <w:left w:val="single" w:sz="8" w:color="auto"/>
            </w:tcBorders>
          </w:tcPr>
          <w:p>
            <w:pPr>
              <w:jc w:val="center"/>
              <w:ind w:left="141"/>
              <w:spacing w:after="0"/>
              <w:rPr>
                <w:sz w:val="20"/>
                <w:szCs w:val="20"/>
                <w:color w:val="auto"/>
              </w:rPr>
            </w:pPr>
            <w:r>
              <w:rPr>
                <w:rFonts w:ascii="Arial" w:cs="Arial" w:eastAsia="Arial" w:hAnsi="Arial"/>
                <w:sz w:val="20"/>
                <w:szCs w:val="20"/>
                <w:color w:val="auto"/>
                <w:w w:val="92"/>
              </w:rPr>
              <w:t>50th</w:t>
            </w:r>
          </w:p>
        </w:tc>
        <w:tc>
          <w:tcPr>
            <w:tcW w:w="260" w:type="dxa"/>
            <w:vAlign w:val="bottom"/>
            <w:tcBorders>
              <w:right w:val="single" w:sz="8" w:color="auto"/>
            </w:tcBorders>
          </w:tcPr>
          <w:p>
            <w:pPr>
              <w:spacing w:after="0"/>
              <w:rPr>
                <w:sz w:val="22"/>
                <w:szCs w:val="22"/>
                <w:color w:val="auto"/>
              </w:rPr>
            </w:pPr>
          </w:p>
        </w:tc>
        <w:tc>
          <w:tcPr>
            <w:tcW w:w="294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9"/>
              </w:rPr>
              <w:t>100%</w:t>
            </w:r>
          </w:p>
        </w:tc>
      </w:tr>
      <w:tr>
        <w:trPr>
          <w:trHeight w:val="23"/>
        </w:trPr>
        <w:tc>
          <w:tcPr>
            <w:tcW w:w="2960" w:type="dxa"/>
            <w:vAlign w:val="bottom"/>
            <w:tcBorders>
              <w:left w:val="single" w:sz="8" w:color="auto"/>
              <w:bottom w:val="single" w:sz="8" w:color="auto"/>
            </w:tcBorders>
          </w:tcPr>
          <w:p>
            <w:pPr>
              <w:spacing w:after="0"/>
              <w:rPr>
                <w:sz w:val="2"/>
                <w:szCs w:val="2"/>
                <w:color w:val="auto"/>
              </w:rPr>
            </w:pPr>
          </w:p>
        </w:tc>
        <w:tc>
          <w:tcPr>
            <w:tcW w:w="260" w:type="dxa"/>
            <w:vAlign w:val="bottom"/>
            <w:tcBorders>
              <w:bottom w:val="single" w:sz="8" w:color="auto"/>
              <w:right w:val="single" w:sz="8" w:color="auto"/>
            </w:tcBorders>
          </w:tcPr>
          <w:p>
            <w:pPr>
              <w:spacing w:after="0"/>
              <w:rPr>
                <w:sz w:val="2"/>
                <w:szCs w:val="2"/>
                <w:color w:val="auto"/>
              </w:rPr>
            </w:pPr>
          </w:p>
        </w:tc>
        <w:tc>
          <w:tcPr>
            <w:tcW w:w="2940" w:type="dxa"/>
            <w:vAlign w:val="bottom"/>
            <w:tcBorders>
              <w:bottom w:val="single" w:sz="8" w:color="auto"/>
              <w:right w:val="single" w:sz="8" w:color="auto"/>
            </w:tcBorders>
          </w:tcPr>
          <w:p>
            <w:pPr>
              <w:spacing w:after="0"/>
              <w:rPr>
                <w:sz w:val="2"/>
                <w:szCs w:val="2"/>
                <w:color w:val="auto"/>
              </w:rPr>
            </w:pPr>
          </w:p>
        </w:tc>
      </w:tr>
      <w:tr>
        <w:trPr>
          <w:trHeight w:val="254"/>
        </w:trPr>
        <w:tc>
          <w:tcPr>
            <w:tcW w:w="2960" w:type="dxa"/>
            <w:vAlign w:val="bottom"/>
            <w:tcBorders>
              <w:left w:val="single" w:sz="8" w:color="auto"/>
            </w:tcBorders>
          </w:tcPr>
          <w:p>
            <w:pPr>
              <w:jc w:val="center"/>
              <w:ind w:left="141"/>
              <w:spacing w:after="0"/>
              <w:rPr>
                <w:sz w:val="20"/>
                <w:szCs w:val="20"/>
                <w:color w:val="auto"/>
              </w:rPr>
            </w:pPr>
            <w:r>
              <w:rPr>
                <w:rFonts w:ascii="Arial" w:cs="Arial" w:eastAsia="Arial" w:hAnsi="Arial"/>
                <w:sz w:val="20"/>
                <w:szCs w:val="20"/>
                <w:color w:val="auto"/>
                <w:w w:val="92"/>
              </w:rPr>
              <w:t>60th</w:t>
            </w:r>
          </w:p>
        </w:tc>
        <w:tc>
          <w:tcPr>
            <w:tcW w:w="260" w:type="dxa"/>
            <w:vAlign w:val="bottom"/>
            <w:tcBorders>
              <w:right w:val="single" w:sz="8" w:color="auto"/>
            </w:tcBorders>
          </w:tcPr>
          <w:p>
            <w:pPr>
              <w:spacing w:after="0"/>
              <w:rPr>
                <w:sz w:val="22"/>
                <w:szCs w:val="22"/>
                <w:color w:val="auto"/>
              </w:rPr>
            </w:pPr>
          </w:p>
        </w:tc>
        <w:tc>
          <w:tcPr>
            <w:tcW w:w="294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9"/>
              </w:rPr>
              <w:t>120%</w:t>
            </w:r>
          </w:p>
        </w:tc>
      </w:tr>
      <w:tr>
        <w:trPr>
          <w:trHeight w:val="23"/>
        </w:trPr>
        <w:tc>
          <w:tcPr>
            <w:tcW w:w="2960" w:type="dxa"/>
            <w:vAlign w:val="bottom"/>
            <w:tcBorders>
              <w:left w:val="single" w:sz="8" w:color="auto"/>
              <w:bottom w:val="single" w:sz="8" w:color="auto"/>
            </w:tcBorders>
          </w:tcPr>
          <w:p>
            <w:pPr>
              <w:spacing w:after="0"/>
              <w:rPr>
                <w:sz w:val="2"/>
                <w:szCs w:val="2"/>
                <w:color w:val="auto"/>
              </w:rPr>
            </w:pPr>
          </w:p>
        </w:tc>
        <w:tc>
          <w:tcPr>
            <w:tcW w:w="260" w:type="dxa"/>
            <w:vAlign w:val="bottom"/>
            <w:tcBorders>
              <w:bottom w:val="single" w:sz="8" w:color="auto"/>
              <w:right w:val="single" w:sz="8" w:color="auto"/>
            </w:tcBorders>
          </w:tcPr>
          <w:p>
            <w:pPr>
              <w:spacing w:after="0"/>
              <w:rPr>
                <w:sz w:val="2"/>
                <w:szCs w:val="2"/>
                <w:color w:val="auto"/>
              </w:rPr>
            </w:pPr>
          </w:p>
        </w:tc>
        <w:tc>
          <w:tcPr>
            <w:tcW w:w="2940" w:type="dxa"/>
            <w:vAlign w:val="bottom"/>
            <w:tcBorders>
              <w:bottom w:val="single" w:sz="8" w:color="auto"/>
              <w:right w:val="single" w:sz="8" w:color="auto"/>
            </w:tcBorders>
          </w:tcPr>
          <w:p>
            <w:pPr>
              <w:spacing w:after="0"/>
              <w:rPr>
                <w:sz w:val="2"/>
                <w:szCs w:val="2"/>
                <w:color w:val="auto"/>
              </w:rPr>
            </w:pPr>
          </w:p>
        </w:tc>
      </w:tr>
      <w:tr>
        <w:trPr>
          <w:trHeight w:val="254"/>
        </w:trPr>
        <w:tc>
          <w:tcPr>
            <w:tcW w:w="2960" w:type="dxa"/>
            <w:vAlign w:val="bottom"/>
            <w:tcBorders>
              <w:left w:val="single" w:sz="8" w:color="auto"/>
            </w:tcBorders>
          </w:tcPr>
          <w:p>
            <w:pPr>
              <w:jc w:val="center"/>
              <w:ind w:left="141"/>
              <w:spacing w:after="0"/>
              <w:rPr>
                <w:sz w:val="20"/>
                <w:szCs w:val="20"/>
                <w:color w:val="auto"/>
              </w:rPr>
            </w:pPr>
            <w:r>
              <w:rPr>
                <w:rFonts w:ascii="Arial" w:cs="Arial" w:eastAsia="Arial" w:hAnsi="Arial"/>
                <w:sz w:val="20"/>
                <w:szCs w:val="20"/>
                <w:color w:val="auto"/>
                <w:w w:val="92"/>
              </w:rPr>
              <w:t>70th</w:t>
            </w:r>
          </w:p>
        </w:tc>
        <w:tc>
          <w:tcPr>
            <w:tcW w:w="260" w:type="dxa"/>
            <w:vAlign w:val="bottom"/>
            <w:tcBorders>
              <w:right w:val="single" w:sz="8" w:color="auto"/>
            </w:tcBorders>
          </w:tcPr>
          <w:p>
            <w:pPr>
              <w:spacing w:after="0"/>
              <w:rPr>
                <w:sz w:val="22"/>
                <w:szCs w:val="22"/>
                <w:color w:val="auto"/>
              </w:rPr>
            </w:pPr>
          </w:p>
        </w:tc>
        <w:tc>
          <w:tcPr>
            <w:tcW w:w="294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9"/>
              </w:rPr>
              <w:t>140%</w:t>
            </w:r>
          </w:p>
        </w:tc>
      </w:tr>
      <w:tr>
        <w:trPr>
          <w:trHeight w:val="23"/>
        </w:trPr>
        <w:tc>
          <w:tcPr>
            <w:tcW w:w="2960" w:type="dxa"/>
            <w:vAlign w:val="bottom"/>
            <w:tcBorders>
              <w:left w:val="single" w:sz="8" w:color="auto"/>
              <w:bottom w:val="single" w:sz="8" w:color="auto"/>
            </w:tcBorders>
          </w:tcPr>
          <w:p>
            <w:pPr>
              <w:spacing w:after="0"/>
              <w:rPr>
                <w:sz w:val="2"/>
                <w:szCs w:val="2"/>
                <w:color w:val="auto"/>
              </w:rPr>
            </w:pPr>
          </w:p>
        </w:tc>
        <w:tc>
          <w:tcPr>
            <w:tcW w:w="260" w:type="dxa"/>
            <w:vAlign w:val="bottom"/>
            <w:tcBorders>
              <w:bottom w:val="single" w:sz="8" w:color="auto"/>
              <w:right w:val="single" w:sz="8" w:color="auto"/>
            </w:tcBorders>
          </w:tcPr>
          <w:p>
            <w:pPr>
              <w:spacing w:after="0"/>
              <w:rPr>
                <w:sz w:val="2"/>
                <w:szCs w:val="2"/>
                <w:color w:val="auto"/>
              </w:rPr>
            </w:pPr>
          </w:p>
        </w:tc>
        <w:tc>
          <w:tcPr>
            <w:tcW w:w="2940" w:type="dxa"/>
            <w:vAlign w:val="bottom"/>
            <w:tcBorders>
              <w:bottom w:val="single" w:sz="8" w:color="auto"/>
              <w:right w:val="single" w:sz="8" w:color="auto"/>
            </w:tcBorders>
          </w:tcPr>
          <w:p>
            <w:pPr>
              <w:spacing w:after="0"/>
              <w:rPr>
                <w:sz w:val="2"/>
                <w:szCs w:val="2"/>
                <w:color w:val="auto"/>
              </w:rPr>
            </w:pPr>
          </w:p>
        </w:tc>
      </w:tr>
      <w:tr>
        <w:trPr>
          <w:trHeight w:val="254"/>
        </w:trPr>
        <w:tc>
          <w:tcPr>
            <w:tcW w:w="2960" w:type="dxa"/>
            <w:vAlign w:val="bottom"/>
            <w:tcBorders>
              <w:left w:val="single" w:sz="8" w:color="auto"/>
            </w:tcBorders>
          </w:tcPr>
          <w:p>
            <w:pPr>
              <w:jc w:val="center"/>
              <w:ind w:left="141"/>
              <w:spacing w:after="0"/>
              <w:rPr>
                <w:sz w:val="20"/>
                <w:szCs w:val="20"/>
                <w:color w:val="auto"/>
              </w:rPr>
            </w:pPr>
            <w:r>
              <w:rPr>
                <w:rFonts w:ascii="Arial" w:cs="Arial" w:eastAsia="Arial" w:hAnsi="Arial"/>
                <w:sz w:val="20"/>
                <w:szCs w:val="20"/>
                <w:color w:val="auto"/>
                <w:w w:val="92"/>
              </w:rPr>
              <w:t>80th</w:t>
            </w:r>
          </w:p>
        </w:tc>
        <w:tc>
          <w:tcPr>
            <w:tcW w:w="260" w:type="dxa"/>
            <w:vAlign w:val="bottom"/>
            <w:tcBorders>
              <w:right w:val="single" w:sz="8" w:color="auto"/>
            </w:tcBorders>
          </w:tcPr>
          <w:p>
            <w:pPr>
              <w:spacing w:after="0"/>
              <w:rPr>
                <w:sz w:val="22"/>
                <w:szCs w:val="22"/>
                <w:color w:val="auto"/>
              </w:rPr>
            </w:pPr>
          </w:p>
        </w:tc>
        <w:tc>
          <w:tcPr>
            <w:tcW w:w="294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9"/>
              </w:rPr>
              <w:t>160%</w:t>
            </w:r>
          </w:p>
        </w:tc>
      </w:tr>
      <w:tr>
        <w:trPr>
          <w:trHeight w:val="23"/>
        </w:trPr>
        <w:tc>
          <w:tcPr>
            <w:tcW w:w="2960" w:type="dxa"/>
            <w:vAlign w:val="bottom"/>
            <w:tcBorders>
              <w:left w:val="single" w:sz="8" w:color="auto"/>
              <w:bottom w:val="single" w:sz="8" w:color="auto"/>
            </w:tcBorders>
          </w:tcPr>
          <w:p>
            <w:pPr>
              <w:spacing w:after="0"/>
              <w:rPr>
                <w:sz w:val="2"/>
                <w:szCs w:val="2"/>
                <w:color w:val="auto"/>
              </w:rPr>
            </w:pPr>
          </w:p>
        </w:tc>
        <w:tc>
          <w:tcPr>
            <w:tcW w:w="260" w:type="dxa"/>
            <w:vAlign w:val="bottom"/>
            <w:tcBorders>
              <w:bottom w:val="single" w:sz="8" w:color="auto"/>
              <w:right w:val="single" w:sz="8" w:color="auto"/>
            </w:tcBorders>
          </w:tcPr>
          <w:p>
            <w:pPr>
              <w:spacing w:after="0"/>
              <w:rPr>
                <w:sz w:val="2"/>
                <w:szCs w:val="2"/>
                <w:color w:val="auto"/>
              </w:rPr>
            </w:pPr>
          </w:p>
        </w:tc>
        <w:tc>
          <w:tcPr>
            <w:tcW w:w="2940" w:type="dxa"/>
            <w:vAlign w:val="bottom"/>
            <w:tcBorders>
              <w:bottom w:val="single" w:sz="8" w:color="auto"/>
              <w:right w:val="single" w:sz="8" w:color="auto"/>
            </w:tcBorders>
          </w:tcPr>
          <w:p>
            <w:pPr>
              <w:spacing w:after="0"/>
              <w:rPr>
                <w:sz w:val="2"/>
                <w:szCs w:val="2"/>
                <w:color w:val="auto"/>
              </w:rPr>
            </w:pPr>
          </w:p>
        </w:tc>
      </w:tr>
      <w:tr>
        <w:trPr>
          <w:trHeight w:val="254"/>
        </w:trPr>
        <w:tc>
          <w:tcPr>
            <w:tcW w:w="2960" w:type="dxa"/>
            <w:vAlign w:val="bottom"/>
            <w:tcBorders>
              <w:left w:val="single" w:sz="8" w:color="auto"/>
            </w:tcBorders>
          </w:tcPr>
          <w:p>
            <w:pPr>
              <w:jc w:val="center"/>
              <w:ind w:left="141"/>
              <w:spacing w:after="0"/>
              <w:rPr>
                <w:sz w:val="20"/>
                <w:szCs w:val="20"/>
                <w:color w:val="auto"/>
              </w:rPr>
            </w:pPr>
            <w:r>
              <w:rPr>
                <w:rFonts w:ascii="Arial" w:cs="Arial" w:eastAsia="Arial" w:hAnsi="Arial"/>
                <w:sz w:val="20"/>
                <w:szCs w:val="20"/>
                <w:color w:val="auto"/>
                <w:w w:val="92"/>
              </w:rPr>
              <w:t>90th</w:t>
            </w:r>
          </w:p>
        </w:tc>
        <w:tc>
          <w:tcPr>
            <w:tcW w:w="260" w:type="dxa"/>
            <w:vAlign w:val="bottom"/>
            <w:tcBorders>
              <w:right w:val="single" w:sz="8" w:color="auto"/>
            </w:tcBorders>
          </w:tcPr>
          <w:p>
            <w:pPr>
              <w:spacing w:after="0"/>
              <w:rPr>
                <w:sz w:val="22"/>
                <w:szCs w:val="22"/>
                <w:color w:val="auto"/>
              </w:rPr>
            </w:pPr>
          </w:p>
        </w:tc>
        <w:tc>
          <w:tcPr>
            <w:tcW w:w="294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9"/>
              </w:rPr>
              <w:t>180%</w:t>
            </w:r>
          </w:p>
        </w:tc>
      </w:tr>
      <w:tr>
        <w:trPr>
          <w:trHeight w:val="23"/>
        </w:trPr>
        <w:tc>
          <w:tcPr>
            <w:tcW w:w="2960" w:type="dxa"/>
            <w:vAlign w:val="bottom"/>
            <w:tcBorders>
              <w:left w:val="single" w:sz="8" w:color="auto"/>
              <w:bottom w:val="single" w:sz="8" w:color="auto"/>
            </w:tcBorders>
          </w:tcPr>
          <w:p>
            <w:pPr>
              <w:spacing w:after="0"/>
              <w:rPr>
                <w:sz w:val="2"/>
                <w:szCs w:val="2"/>
                <w:color w:val="auto"/>
              </w:rPr>
            </w:pPr>
          </w:p>
        </w:tc>
        <w:tc>
          <w:tcPr>
            <w:tcW w:w="260" w:type="dxa"/>
            <w:vAlign w:val="bottom"/>
            <w:tcBorders>
              <w:bottom w:val="single" w:sz="8" w:color="auto"/>
              <w:right w:val="single" w:sz="8" w:color="auto"/>
            </w:tcBorders>
          </w:tcPr>
          <w:p>
            <w:pPr>
              <w:spacing w:after="0"/>
              <w:rPr>
                <w:sz w:val="2"/>
                <w:szCs w:val="2"/>
                <w:color w:val="auto"/>
              </w:rPr>
            </w:pPr>
          </w:p>
        </w:tc>
        <w:tc>
          <w:tcPr>
            <w:tcW w:w="2940" w:type="dxa"/>
            <w:vAlign w:val="bottom"/>
            <w:tcBorders>
              <w:bottom w:val="single" w:sz="8" w:color="auto"/>
              <w:right w:val="single" w:sz="8" w:color="auto"/>
            </w:tcBorders>
          </w:tcPr>
          <w:p>
            <w:pPr>
              <w:spacing w:after="0"/>
              <w:rPr>
                <w:sz w:val="2"/>
                <w:szCs w:val="2"/>
                <w:color w:val="auto"/>
              </w:rPr>
            </w:pPr>
          </w:p>
        </w:tc>
      </w:tr>
      <w:tr>
        <w:trPr>
          <w:trHeight w:val="254"/>
        </w:trPr>
        <w:tc>
          <w:tcPr>
            <w:tcW w:w="2960" w:type="dxa"/>
            <w:vAlign w:val="bottom"/>
            <w:tcBorders>
              <w:left w:val="single" w:sz="8" w:color="auto"/>
            </w:tcBorders>
          </w:tcPr>
          <w:p>
            <w:pPr>
              <w:jc w:val="center"/>
              <w:ind w:left="141"/>
              <w:spacing w:after="0"/>
              <w:rPr>
                <w:sz w:val="20"/>
                <w:szCs w:val="20"/>
                <w:color w:val="auto"/>
              </w:rPr>
            </w:pPr>
            <w:r>
              <w:rPr>
                <w:rFonts w:ascii="Arial" w:cs="Arial" w:eastAsia="Arial" w:hAnsi="Arial"/>
                <w:sz w:val="20"/>
                <w:szCs w:val="20"/>
                <w:color w:val="auto"/>
                <w:w w:val="87"/>
              </w:rPr>
              <w:t>100th</w:t>
            </w:r>
          </w:p>
        </w:tc>
        <w:tc>
          <w:tcPr>
            <w:tcW w:w="260" w:type="dxa"/>
            <w:vAlign w:val="bottom"/>
            <w:tcBorders>
              <w:right w:val="single" w:sz="8" w:color="auto"/>
            </w:tcBorders>
          </w:tcPr>
          <w:p>
            <w:pPr>
              <w:spacing w:after="0"/>
              <w:rPr>
                <w:sz w:val="22"/>
                <w:szCs w:val="22"/>
                <w:color w:val="auto"/>
              </w:rPr>
            </w:pPr>
          </w:p>
        </w:tc>
        <w:tc>
          <w:tcPr>
            <w:tcW w:w="294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9"/>
              </w:rPr>
              <w:t>200%</w:t>
            </w:r>
          </w:p>
        </w:tc>
      </w:tr>
      <w:tr>
        <w:trPr>
          <w:trHeight w:val="23"/>
        </w:trPr>
        <w:tc>
          <w:tcPr>
            <w:tcW w:w="2960" w:type="dxa"/>
            <w:vAlign w:val="bottom"/>
            <w:tcBorders>
              <w:left w:val="single" w:sz="8" w:color="auto"/>
              <w:bottom w:val="single" w:sz="8" w:color="auto"/>
            </w:tcBorders>
          </w:tcPr>
          <w:p>
            <w:pPr>
              <w:spacing w:after="0"/>
              <w:rPr>
                <w:sz w:val="2"/>
                <w:szCs w:val="2"/>
                <w:color w:val="auto"/>
              </w:rPr>
            </w:pPr>
          </w:p>
        </w:tc>
        <w:tc>
          <w:tcPr>
            <w:tcW w:w="260" w:type="dxa"/>
            <w:vAlign w:val="bottom"/>
            <w:tcBorders>
              <w:bottom w:val="single" w:sz="8" w:color="auto"/>
              <w:right w:val="single" w:sz="8" w:color="auto"/>
            </w:tcBorders>
          </w:tcPr>
          <w:p>
            <w:pPr>
              <w:spacing w:after="0"/>
              <w:rPr>
                <w:sz w:val="2"/>
                <w:szCs w:val="2"/>
                <w:color w:val="auto"/>
              </w:rPr>
            </w:pPr>
          </w:p>
        </w:tc>
        <w:tc>
          <w:tcPr>
            <w:tcW w:w="2940" w:type="dxa"/>
            <w:vAlign w:val="bottom"/>
            <w:tcBorders>
              <w:bottom w:val="single" w:sz="8" w:color="auto"/>
              <w:right w:val="single" w:sz="8" w:color="auto"/>
            </w:tcBorders>
          </w:tcPr>
          <w:p>
            <w:pPr>
              <w:spacing w:after="0"/>
              <w:rPr>
                <w:sz w:val="2"/>
                <w:szCs w:val="2"/>
                <w:color w:val="auto"/>
              </w:rPr>
            </w:pPr>
          </w:p>
        </w:tc>
      </w:tr>
      <w:tr>
        <w:trPr>
          <w:trHeight w:val="871"/>
        </w:trPr>
        <w:tc>
          <w:tcPr>
            <w:tcW w:w="2960" w:type="dxa"/>
            <w:vAlign w:val="bottom"/>
          </w:tcPr>
          <w:p>
            <w:pPr>
              <w:spacing w:after="0"/>
              <w:rPr>
                <w:sz w:val="24"/>
                <w:szCs w:val="24"/>
                <w:color w:val="auto"/>
              </w:rPr>
            </w:pPr>
          </w:p>
        </w:tc>
        <w:tc>
          <w:tcPr>
            <w:tcW w:w="260" w:type="dxa"/>
            <w:vAlign w:val="bottom"/>
          </w:tcPr>
          <w:p>
            <w:pPr>
              <w:jc w:val="right"/>
              <w:ind w:right="30"/>
              <w:spacing w:after="0"/>
              <w:rPr>
                <w:sz w:val="20"/>
                <w:szCs w:val="20"/>
                <w:color w:val="auto"/>
              </w:rPr>
            </w:pPr>
            <w:r>
              <w:rPr>
                <w:rFonts w:ascii="Arial" w:cs="Arial" w:eastAsia="Arial" w:hAnsi="Arial"/>
                <w:sz w:val="18"/>
                <w:szCs w:val="18"/>
                <w:color w:val="auto"/>
              </w:rPr>
              <w:t>9</w:t>
            </w:r>
          </w:p>
        </w:tc>
        <w:tc>
          <w:tcPr>
            <w:tcW w:w="2940" w:type="dxa"/>
            <w:vAlign w:val="bottom"/>
          </w:tcPr>
          <w:p>
            <w:pPr>
              <w:spacing w:after="0"/>
              <w:rPr>
                <w:sz w:val="24"/>
                <w:szCs w:val="24"/>
                <w:color w:val="auto"/>
              </w:rPr>
            </w:pPr>
          </w:p>
        </w:tc>
      </w:tr>
    </w:tbl>
    <w:p>
      <w:pPr>
        <w:sectPr>
          <w:pgSz w:w="11900" w:h="16838" w:orient="portrait"/>
          <w:cols w:equalWidth="0" w:num="1">
            <w:col w:w="11240"/>
          </w:cols>
          <w:pgMar w:left="320" w:top="595" w:right="339" w:bottom="1440" w:gutter="0" w:footer="0" w:header="0"/>
        </w:sectPr>
      </w:pPr>
    </w:p>
    <w:bookmarkStart w:id="58" w:name="page59"/>
    <w:bookmarkEnd w:id="58"/>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Joseph Wm. Foran, certify that:</w:t>
      </w:r>
    </w:p>
    <w:p>
      <w:pPr>
        <w:spacing w:after="0" w:line="171" w:lineRule="exact"/>
        <w:rPr>
          <w:sz w:val="20"/>
          <w:szCs w:val="20"/>
          <w:color w:val="auto"/>
        </w:rPr>
      </w:pPr>
    </w:p>
    <w:p>
      <w:pPr>
        <w:ind w:left="620" w:hanging="180"/>
        <w:spacing w:after="0"/>
        <w:tabs>
          <w:tab w:leader="none" w:pos="6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Matador Resources Company;</w:t>
      </w:r>
    </w:p>
    <w:p>
      <w:pPr>
        <w:spacing w:after="0" w:line="171" w:lineRule="exact"/>
        <w:rPr>
          <w:rFonts w:ascii="Arial" w:cs="Arial" w:eastAsia="Arial" w:hAnsi="Arial"/>
          <w:sz w:val="18"/>
          <w:szCs w:val="18"/>
          <w:color w:val="auto"/>
        </w:rPr>
      </w:pPr>
    </w:p>
    <w:p>
      <w:pPr>
        <w:ind w:right="160" w:firstLine="440"/>
        <w:spacing w:after="0" w:line="342" w:lineRule="auto"/>
        <w:tabs>
          <w:tab w:leader="none" w:pos="612" w:val="left"/>
        </w:tabs>
        <w:numPr>
          <w:ilvl w:val="0"/>
          <w:numId w:val="48"/>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6"/>
          <w:szCs w:val="16"/>
          <w:color w:val="auto"/>
        </w:rPr>
      </w:pPr>
    </w:p>
    <w:p>
      <w:pPr>
        <w:ind w:right="120" w:firstLine="440"/>
        <w:spacing w:after="0" w:line="277" w:lineRule="auto"/>
        <w:tabs>
          <w:tab w:leader="none" w:pos="612" w:val="left"/>
        </w:tabs>
        <w:numPr>
          <w:ilvl w:val="0"/>
          <w:numId w:val="4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6" w:lineRule="exact"/>
        <w:rPr>
          <w:rFonts w:ascii="Arial" w:cs="Arial" w:eastAsia="Arial" w:hAnsi="Arial"/>
          <w:sz w:val="18"/>
          <w:szCs w:val="18"/>
          <w:color w:val="auto"/>
        </w:rPr>
      </w:pPr>
    </w:p>
    <w:p>
      <w:pPr>
        <w:ind w:right="80" w:firstLine="440"/>
        <w:spacing w:after="0" w:line="263" w:lineRule="auto"/>
        <w:tabs>
          <w:tab w:leader="none" w:pos="612"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8" w:lineRule="exact"/>
        <w:rPr>
          <w:rFonts w:ascii="Arial" w:cs="Arial" w:eastAsia="Arial" w:hAnsi="Arial"/>
          <w:sz w:val="18"/>
          <w:szCs w:val="18"/>
          <w:color w:val="auto"/>
        </w:rPr>
      </w:pPr>
    </w:p>
    <w:p>
      <w:pPr>
        <w:ind w:right="160" w:firstLine="885"/>
        <w:spacing w:after="0" w:line="263" w:lineRule="auto"/>
        <w:tabs>
          <w:tab w:leader="none" w:pos="1047" w:val="left"/>
        </w:tabs>
        <w:numPr>
          <w:ilvl w:val="1"/>
          <w:numId w:val="4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8" w:lineRule="exact"/>
        <w:rPr>
          <w:rFonts w:ascii="Arial" w:cs="Arial" w:eastAsia="Arial" w:hAnsi="Arial"/>
          <w:sz w:val="18"/>
          <w:szCs w:val="18"/>
          <w:color w:val="auto"/>
        </w:rPr>
      </w:pPr>
    </w:p>
    <w:p>
      <w:pPr>
        <w:ind w:right="40" w:firstLine="885"/>
        <w:spacing w:after="0" w:line="263" w:lineRule="auto"/>
        <w:tabs>
          <w:tab w:leader="none" w:pos="1057" w:val="left"/>
        </w:tabs>
        <w:numPr>
          <w:ilvl w:val="1"/>
          <w:numId w:val="4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8" w:lineRule="exact"/>
        <w:rPr>
          <w:rFonts w:ascii="Arial" w:cs="Arial" w:eastAsia="Arial" w:hAnsi="Arial"/>
          <w:sz w:val="18"/>
          <w:szCs w:val="18"/>
          <w:color w:val="auto"/>
        </w:rPr>
      </w:pPr>
    </w:p>
    <w:p>
      <w:pPr>
        <w:ind w:right="480" w:firstLine="885"/>
        <w:spacing w:after="0" w:line="334" w:lineRule="auto"/>
        <w:tabs>
          <w:tab w:leader="none" w:pos="1047" w:val="left"/>
        </w:tabs>
        <w:numPr>
          <w:ilvl w:val="1"/>
          <w:numId w:val="4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right="240" w:firstLine="885"/>
        <w:spacing w:after="0" w:line="263" w:lineRule="auto"/>
        <w:tabs>
          <w:tab w:leader="none" w:pos="1057" w:val="left"/>
        </w:tabs>
        <w:numPr>
          <w:ilvl w:val="1"/>
          <w:numId w:val="4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9" w:lineRule="exact"/>
        <w:rPr>
          <w:rFonts w:ascii="Arial" w:cs="Arial" w:eastAsia="Arial" w:hAnsi="Arial"/>
          <w:sz w:val="18"/>
          <w:szCs w:val="18"/>
          <w:color w:val="auto"/>
        </w:rPr>
      </w:pPr>
    </w:p>
    <w:p>
      <w:pPr>
        <w:ind w:right="120" w:firstLine="440"/>
        <w:spacing w:after="0" w:line="308" w:lineRule="auto"/>
        <w:tabs>
          <w:tab w:leader="none" w:pos="612" w:val="left"/>
        </w:tabs>
        <w:numPr>
          <w:ilvl w:val="0"/>
          <w:numId w:val="48"/>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 w:lineRule="exact"/>
        <w:rPr>
          <w:rFonts w:ascii="Arial" w:cs="Arial" w:eastAsia="Arial" w:hAnsi="Arial"/>
          <w:sz w:val="17"/>
          <w:szCs w:val="17"/>
          <w:color w:val="auto"/>
        </w:rPr>
      </w:pPr>
    </w:p>
    <w:p>
      <w:pPr>
        <w:ind w:right="700" w:firstLine="885"/>
        <w:spacing w:after="0" w:line="308" w:lineRule="auto"/>
        <w:tabs>
          <w:tab w:leader="none" w:pos="1047" w:val="left"/>
        </w:tabs>
        <w:numPr>
          <w:ilvl w:val="1"/>
          <w:numId w:val="48"/>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 w:lineRule="exact"/>
        <w:rPr>
          <w:rFonts w:ascii="Arial" w:cs="Arial" w:eastAsia="Arial" w:hAnsi="Arial"/>
          <w:sz w:val="17"/>
          <w:szCs w:val="17"/>
          <w:color w:val="auto"/>
        </w:rPr>
      </w:pPr>
    </w:p>
    <w:p>
      <w:pPr>
        <w:ind w:right="380" w:firstLine="885"/>
        <w:spacing w:after="0" w:line="277" w:lineRule="auto"/>
        <w:tabs>
          <w:tab w:leader="none" w:pos="1057" w:val="left"/>
        </w:tabs>
        <w:numPr>
          <w:ilvl w:val="1"/>
          <w:numId w:val="4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05" w:lineRule="exact"/>
        <w:rPr>
          <w:sz w:val="20"/>
          <w:szCs w:val="20"/>
          <w:color w:val="auto"/>
        </w:rPr>
      </w:pPr>
    </w:p>
    <w:p>
      <w:pPr>
        <w:ind w:left="40"/>
        <w:spacing w:after="0"/>
        <w:tabs>
          <w:tab w:leader="none" w:pos="4820" w:val="left"/>
        </w:tabs>
        <w:rPr>
          <w:sz w:val="20"/>
          <w:szCs w:val="20"/>
          <w:color w:val="auto"/>
        </w:rPr>
      </w:pPr>
      <w:r>
        <w:rPr>
          <w:rFonts w:ascii="Arial" w:cs="Arial" w:eastAsia="Arial" w:hAnsi="Arial"/>
          <w:sz w:val="18"/>
          <w:szCs w:val="18"/>
          <w:color w:val="auto"/>
        </w:rPr>
        <w:t>May 1, 2020</w:t>
      </w:r>
      <w:r>
        <w:rPr>
          <w:sz w:val="20"/>
          <w:szCs w:val="20"/>
          <w:color w:val="auto"/>
        </w:rPr>
        <w:tab/>
      </w:r>
      <w:r>
        <w:rPr>
          <w:rFonts w:ascii="Arial" w:cs="Arial" w:eastAsia="Arial" w:hAnsi="Arial"/>
          <w:sz w:val="16"/>
          <w:szCs w:val="16"/>
          <w:color w:val="auto"/>
        </w:rPr>
        <w:t>/s/ Joseph Wm. Foran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3056890</wp:posOffset>
            </wp:positionH>
            <wp:positionV relativeFrom="paragraph">
              <wp:posOffset>31750</wp:posOffset>
            </wp:positionV>
            <wp:extent cx="235712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7">
                      <a:extLst>
                        <a:ext uri="{28A0092B-C50C-407E-A947-70E740481C1C}"/>
                      </a:extLst>
                    </a:blip>
                    <a:srcRect/>
                    <a:stretch>
                      <a:fillRect/>
                    </a:stretch>
                  </pic:blipFill>
                  <pic:spPr bwMode="auto">
                    <a:xfrm>
                      <a:off x="0" y="0"/>
                      <a:ext cx="2357120" cy="8255"/>
                    </a:xfrm>
                    <a:prstGeom prst="rect">
                      <a:avLst/>
                    </a:prstGeom>
                    <a:noFill/>
                  </pic:spPr>
                </pic:pic>
              </a:graphicData>
            </a:graphic>
          </wp:anchor>
        </w:drawing>
      </w:r>
    </w:p>
    <w:p>
      <w:pPr>
        <w:spacing w:after="0" w:line="57" w:lineRule="exact"/>
        <w:rPr>
          <w:sz w:val="20"/>
          <w:szCs w:val="20"/>
          <w:color w:val="auto"/>
        </w:rPr>
      </w:pPr>
    </w:p>
    <w:p>
      <w:pPr>
        <w:ind w:left="4840"/>
        <w:spacing w:after="0"/>
        <w:rPr>
          <w:sz w:val="20"/>
          <w:szCs w:val="20"/>
          <w:color w:val="auto"/>
        </w:rPr>
      </w:pPr>
      <w:r>
        <w:rPr>
          <w:rFonts w:ascii="Arial" w:cs="Arial" w:eastAsia="Arial" w:hAnsi="Arial"/>
          <w:sz w:val="18"/>
          <w:szCs w:val="18"/>
          <w:color w:val="auto"/>
        </w:rPr>
        <w:t>Joseph Wm. Foran</w:t>
      </w:r>
    </w:p>
    <w:p>
      <w:pPr>
        <w:spacing w:after="0" w:line="63" w:lineRule="exact"/>
        <w:rPr>
          <w:sz w:val="20"/>
          <w:szCs w:val="20"/>
          <w:color w:val="auto"/>
        </w:rPr>
      </w:pPr>
    </w:p>
    <w:p>
      <w:pPr>
        <w:ind w:left="4840"/>
        <w:spacing w:after="0"/>
        <w:rPr>
          <w:sz w:val="20"/>
          <w:szCs w:val="20"/>
          <w:color w:val="auto"/>
        </w:rPr>
      </w:pPr>
      <w:r>
        <w:rPr>
          <w:rFonts w:ascii="Arial" w:cs="Arial" w:eastAsia="Arial" w:hAnsi="Arial"/>
          <w:sz w:val="18"/>
          <w:szCs w:val="18"/>
          <w:color w:val="auto"/>
        </w:rPr>
        <w:t>Chairman and Chief Executive Officer</w:t>
      </w:r>
    </w:p>
    <w:p>
      <w:pPr>
        <w:spacing w:after="0" w:line="23" w:lineRule="exact"/>
        <w:rPr>
          <w:sz w:val="20"/>
          <w:szCs w:val="20"/>
          <w:color w:val="auto"/>
        </w:rPr>
      </w:pPr>
    </w:p>
    <w:p>
      <w:pPr>
        <w:ind w:left="484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240"/>
          </w:cols>
          <w:pgMar w:left="320" w:top="553" w:right="339" w:bottom="1440" w:gutter="0" w:footer="0" w:header="0"/>
        </w:sectPr>
      </w:pPr>
    </w:p>
    <w:bookmarkStart w:id="59" w:name="page60"/>
    <w:bookmarkEnd w:id="59"/>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David E. Lancaster, certify that:</w:t>
      </w:r>
    </w:p>
    <w:p>
      <w:pPr>
        <w:spacing w:after="0" w:line="171" w:lineRule="exact"/>
        <w:rPr>
          <w:sz w:val="20"/>
          <w:szCs w:val="20"/>
          <w:color w:val="auto"/>
        </w:rPr>
      </w:pPr>
    </w:p>
    <w:p>
      <w:pPr>
        <w:ind w:left="620" w:hanging="180"/>
        <w:spacing w:after="0"/>
        <w:tabs>
          <w:tab w:leader="none" w:pos="6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Matador Resources Company;</w:t>
      </w:r>
    </w:p>
    <w:p>
      <w:pPr>
        <w:spacing w:after="0" w:line="171" w:lineRule="exact"/>
        <w:rPr>
          <w:rFonts w:ascii="Arial" w:cs="Arial" w:eastAsia="Arial" w:hAnsi="Arial"/>
          <w:sz w:val="18"/>
          <w:szCs w:val="18"/>
          <w:color w:val="auto"/>
        </w:rPr>
      </w:pPr>
    </w:p>
    <w:p>
      <w:pPr>
        <w:ind w:right="160" w:firstLine="440"/>
        <w:spacing w:after="0" w:line="342" w:lineRule="auto"/>
        <w:tabs>
          <w:tab w:leader="none" w:pos="612" w:val="left"/>
        </w:tabs>
        <w:numPr>
          <w:ilvl w:val="0"/>
          <w:numId w:val="49"/>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6"/>
          <w:szCs w:val="16"/>
          <w:color w:val="auto"/>
        </w:rPr>
      </w:pPr>
    </w:p>
    <w:p>
      <w:pPr>
        <w:ind w:right="120" w:firstLine="440"/>
        <w:spacing w:after="0" w:line="277" w:lineRule="auto"/>
        <w:tabs>
          <w:tab w:leader="none" w:pos="612" w:val="left"/>
        </w:tabs>
        <w:numPr>
          <w:ilvl w:val="0"/>
          <w:numId w:val="4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6" w:lineRule="exact"/>
        <w:rPr>
          <w:rFonts w:ascii="Arial" w:cs="Arial" w:eastAsia="Arial" w:hAnsi="Arial"/>
          <w:sz w:val="18"/>
          <w:szCs w:val="18"/>
          <w:color w:val="auto"/>
        </w:rPr>
      </w:pPr>
    </w:p>
    <w:p>
      <w:pPr>
        <w:ind w:right="80" w:firstLine="440"/>
        <w:spacing w:after="0" w:line="263" w:lineRule="auto"/>
        <w:tabs>
          <w:tab w:leader="none" w:pos="612"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8" w:lineRule="exact"/>
        <w:rPr>
          <w:rFonts w:ascii="Arial" w:cs="Arial" w:eastAsia="Arial" w:hAnsi="Arial"/>
          <w:sz w:val="18"/>
          <w:szCs w:val="18"/>
          <w:color w:val="auto"/>
        </w:rPr>
      </w:pPr>
    </w:p>
    <w:p>
      <w:pPr>
        <w:ind w:right="160" w:firstLine="885"/>
        <w:spacing w:after="0" w:line="263" w:lineRule="auto"/>
        <w:tabs>
          <w:tab w:leader="none" w:pos="1047" w:val="left"/>
        </w:tabs>
        <w:numPr>
          <w:ilvl w:val="1"/>
          <w:numId w:val="4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8" w:lineRule="exact"/>
        <w:rPr>
          <w:rFonts w:ascii="Arial" w:cs="Arial" w:eastAsia="Arial" w:hAnsi="Arial"/>
          <w:sz w:val="18"/>
          <w:szCs w:val="18"/>
          <w:color w:val="auto"/>
        </w:rPr>
      </w:pPr>
    </w:p>
    <w:p>
      <w:pPr>
        <w:ind w:right="40" w:firstLine="885"/>
        <w:spacing w:after="0" w:line="263" w:lineRule="auto"/>
        <w:tabs>
          <w:tab w:leader="none" w:pos="1057" w:val="left"/>
        </w:tabs>
        <w:numPr>
          <w:ilvl w:val="1"/>
          <w:numId w:val="4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8" w:lineRule="exact"/>
        <w:rPr>
          <w:rFonts w:ascii="Arial" w:cs="Arial" w:eastAsia="Arial" w:hAnsi="Arial"/>
          <w:sz w:val="18"/>
          <w:szCs w:val="18"/>
          <w:color w:val="auto"/>
        </w:rPr>
      </w:pPr>
    </w:p>
    <w:p>
      <w:pPr>
        <w:ind w:right="480" w:firstLine="885"/>
        <w:spacing w:after="0" w:line="334" w:lineRule="auto"/>
        <w:tabs>
          <w:tab w:leader="none" w:pos="1047" w:val="left"/>
        </w:tabs>
        <w:numPr>
          <w:ilvl w:val="1"/>
          <w:numId w:val="4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right="240" w:firstLine="885"/>
        <w:spacing w:after="0" w:line="263" w:lineRule="auto"/>
        <w:tabs>
          <w:tab w:leader="none" w:pos="1057" w:val="left"/>
        </w:tabs>
        <w:numPr>
          <w:ilvl w:val="1"/>
          <w:numId w:val="4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9" w:lineRule="exact"/>
        <w:rPr>
          <w:rFonts w:ascii="Arial" w:cs="Arial" w:eastAsia="Arial" w:hAnsi="Arial"/>
          <w:sz w:val="18"/>
          <w:szCs w:val="18"/>
          <w:color w:val="auto"/>
        </w:rPr>
      </w:pPr>
    </w:p>
    <w:p>
      <w:pPr>
        <w:ind w:right="120" w:firstLine="440"/>
        <w:spacing w:after="0" w:line="308" w:lineRule="auto"/>
        <w:tabs>
          <w:tab w:leader="none" w:pos="612" w:val="left"/>
        </w:tabs>
        <w:numPr>
          <w:ilvl w:val="0"/>
          <w:numId w:val="49"/>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 w:lineRule="exact"/>
        <w:rPr>
          <w:rFonts w:ascii="Arial" w:cs="Arial" w:eastAsia="Arial" w:hAnsi="Arial"/>
          <w:sz w:val="17"/>
          <w:szCs w:val="17"/>
          <w:color w:val="auto"/>
        </w:rPr>
      </w:pPr>
    </w:p>
    <w:p>
      <w:pPr>
        <w:ind w:right="700" w:firstLine="885"/>
        <w:spacing w:after="0" w:line="308" w:lineRule="auto"/>
        <w:tabs>
          <w:tab w:leader="none" w:pos="1047" w:val="left"/>
        </w:tabs>
        <w:numPr>
          <w:ilvl w:val="1"/>
          <w:numId w:val="49"/>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 w:lineRule="exact"/>
        <w:rPr>
          <w:rFonts w:ascii="Arial" w:cs="Arial" w:eastAsia="Arial" w:hAnsi="Arial"/>
          <w:sz w:val="17"/>
          <w:szCs w:val="17"/>
          <w:color w:val="auto"/>
        </w:rPr>
      </w:pPr>
    </w:p>
    <w:p>
      <w:pPr>
        <w:ind w:right="380" w:firstLine="885"/>
        <w:spacing w:after="0" w:line="277" w:lineRule="auto"/>
        <w:tabs>
          <w:tab w:leader="none" w:pos="1057" w:val="left"/>
        </w:tabs>
        <w:numPr>
          <w:ilvl w:val="1"/>
          <w:numId w:val="4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05" w:lineRule="exact"/>
        <w:rPr>
          <w:sz w:val="20"/>
          <w:szCs w:val="20"/>
          <w:color w:val="auto"/>
        </w:rPr>
      </w:pPr>
    </w:p>
    <w:p>
      <w:pPr>
        <w:ind w:left="40"/>
        <w:spacing w:after="0"/>
        <w:tabs>
          <w:tab w:leader="none" w:pos="5740" w:val="left"/>
        </w:tabs>
        <w:rPr>
          <w:sz w:val="20"/>
          <w:szCs w:val="20"/>
          <w:color w:val="auto"/>
        </w:rPr>
      </w:pPr>
      <w:r>
        <w:rPr>
          <w:rFonts w:ascii="Arial" w:cs="Arial" w:eastAsia="Arial" w:hAnsi="Arial"/>
          <w:sz w:val="18"/>
          <w:szCs w:val="18"/>
          <w:color w:val="auto"/>
        </w:rPr>
        <w:t>May 1, 2020</w:t>
      </w:r>
      <w:r>
        <w:rPr>
          <w:sz w:val="20"/>
          <w:szCs w:val="20"/>
          <w:color w:val="auto"/>
        </w:rPr>
        <w:tab/>
      </w:r>
      <w:r>
        <w:rPr>
          <w:rFonts w:ascii="Arial" w:cs="Arial" w:eastAsia="Arial" w:hAnsi="Arial"/>
          <w:sz w:val="16"/>
          <w:szCs w:val="16"/>
          <w:color w:val="auto"/>
        </w:rPr>
        <w:t>/s/ David E. Lancaster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31750</wp:posOffset>
            </wp:positionV>
            <wp:extent cx="253746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8">
                      <a:extLst>
                        <a:ext uri="{28A0092B-C50C-407E-A947-70E740481C1C}"/>
                      </a:extLst>
                    </a:blip>
                    <a:srcRect/>
                    <a:stretch>
                      <a:fillRect/>
                    </a:stretch>
                  </pic:blipFill>
                  <pic:spPr bwMode="auto">
                    <a:xfrm>
                      <a:off x="0" y="0"/>
                      <a:ext cx="2537460" cy="8255"/>
                    </a:xfrm>
                    <a:prstGeom prst="rect">
                      <a:avLst/>
                    </a:prstGeom>
                    <a:noFill/>
                  </pic:spPr>
                </pic:pic>
              </a:graphicData>
            </a:graphic>
          </wp:anchor>
        </w:drawing>
      </w:r>
    </w:p>
    <w:p>
      <w:pPr>
        <w:spacing w:after="0" w:line="57" w:lineRule="exact"/>
        <w:rPr>
          <w:sz w:val="20"/>
          <w:szCs w:val="20"/>
          <w:color w:val="auto"/>
        </w:rPr>
      </w:pPr>
    </w:p>
    <w:p>
      <w:pPr>
        <w:ind w:left="5760"/>
        <w:spacing w:after="0"/>
        <w:rPr>
          <w:sz w:val="20"/>
          <w:szCs w:val="20"/>
          <w:color w:val="auto"/>
        </w:rPr>
      </w:pPr>
      <w:r>
        <w:rPr>
          <w:rFonts w:ascii="Arial" w:cs="Arial" w:eastAsia="Arial" w:hAnsi="Arial"/>
          <w:sz w:val="18"/>
          <w:szCs w:val="18"/>
          <w:color w:val="auto"/>
        </w:rPr>
        <w:t>David E. Lancaster</w:t>
      </w:r>
    </w:p>
    <w:p>
      <w:pPr>
        <w:spacing w:after="0" w:line="23" w:lineRule="exact"/>
        <w:rPr>
          <w:sz w:val="20"/>
          <w:szCs w:val="20"/>
          <w:color w:val="auto"/>
        </w:rPr>
      </w:pPr>
    </w:p>
    <w:p>
      <w:pPr>
        <w:ind w:left="5760"/>
        <w:spacing w:after="0"/>
        <w:rPr>
          <w:sz w:val="20"/>
          <w:szCs w:val="20"/>
          <w:color w:val="auto"/>
        </w:rPr>
      </w:pPr>
      <w:r>
        <w:rPr>
          <w:rFonts w:ascii="Arial" w:cs="Arial" w:eastAsia="Arial" w:hAnsi="Arial"/>
          <w:sz w:val="18"/>
          <w:szCs w:val="18"/>
          <w:color w:val="auto"/>
        </w:rPr>
        <w:t>Executive Vice President and Chief Financial Officer</w:t>
      </w:r>
    </w:p>
    <w:p>
      <w:pPr>
        <w:spacing w:after="0" w:line="9" w:lineRule="exact"/>
        <w:rPr>
          <w:sz w:val="20"/>
          <w:szCs w:val="20"/>
          <w:color w:val="auto"/>
        </w:rPr>
      </w:pPr>
    </w:p>
    <w:p>
      <w:pPr>
        <w:ind w:left="5760"/>
        <w:spacing w:after="0"/>
        <w:rPr>
          <w:sz w:val="20"/>
          <w:szCs w:val="20"/>
          <w:color w:val="auto"/>
        </w:rPr>
      </w:pPr>
      <w:r>
        <w:rPr>
          <w:rFonts w:ascii="Arial" w:cs="Arial" w:eastAsia="Arial" w:hAnsi="Arial"/>
          <w:sz w:val="18"/>
          <w:szCs w:val="18"/>
          <w:color w:val="auto"/>
        </w:rPr>
        <w:t>(Principal Financial Officer)</w:t>
      </w:r>
    </w:p>
    <w:p>
      <w:pPr>
        <w:sectPr>
          <w:pgSz w:w="11900" w:h="16838" w:orient="portrait"/>
          <w:cols w:equalWidth="0" w:num="1">
            <w:col w:w="11240"/>
          </w:cols>
          <w:pgMar w:left="320" w:top="553" w:right="339" w:bottom="1440" w:gutter="0" w:footer="0" w:header="0"/>
        </w:sectPr>
      </w:pPr>
    </w:p>
    <w:bookmarkStart w:id="60" w:name="page61"/>
    <w:bookmarkEnd w:id="60"/>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157" w:lineRule="exact"/>
        <w:rPr>
          <w:sz w:val="20"/>
          <w:szCs w:val="20"/>
          <w:color w:val="auto"/>
        </w:rPr>
      </w:pPr>
    </w:p>
    <w:p>
      <w:pPr>
        <w:jc w:val="both"/>
        <w:ind w:right="20" w:firstLine="432"/>
        <w:spacing w:after="0" w:line="259" w:lineRule="auto"/>
        <w:rPr>
          <w:sz w:val="20"/>
          <w:szCs w:val="20"/>
          <w:color w:val="auto"/>
        </w:rPr>
      </w:pPr>
      <w:r>
        <w:rPr>
          <w:rFonts w:ascii="Arial" w:cs="Arial" w:eastAsia="Arial" w:hAnsi="Arial"/>
          <w:sz w:val="18"/>
          <w:szCs w:val="18"/>
          <w:color w:val="auto"/>
        </w:rPr>
        <w:t>In connection with the quarterly report of Matador Resources Company (the “Company”) on Form 10-Q for the period ended March 31, 2020 as filed with the Securities and Exchange Commission on the date hereof (the “Form 10-Q”), I, Joseph Wm. Foran, hereby certify in my capacity as Chairman and Chief Executive Officer of the Company, pursuant to 18 U.S.C. § 1350, as adopted pursuant to § 906 of the Sarbanes-Oxley Act of 2002, that to the best of my knowledge:</w:t>
      </w:r>
    </w:p>
    <w:p>
      <w:pPr>
        <w:spacing w:after="0" w:line="133" w:lineRule="exact"/>
        <w:rPr>
          <w:sz w:val="20"/>
          <w:szCs w:val="20"/>
          <w:color w:val="auto"/>
        </w:rPr>
      </w:pPr>
    </w:p>
    <w:p>
      <w:pPr>
        <w:ind w:left="260" w:hanging="252"/>
        <w:spacing w:after="0"/>
        <w:tabs>
          <w:tab w:leader="none" w:pos="2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Form 10-Q fully complies with the requirements of Section 13(a) or 15(d) of the Securities Exchange Act of 1934; and</w:t>
      </w:r>
    </w:p>
    <w:p>
      <w:pPr>
        <w:spacing w:after="0" w:line="171" w:lineRule="exact"/>
        <w:rPr>
          <w:rFonts w:ascii="Arial" w:cs="Arial" w:eastAsia="Arial" w:hAnsi="Arial"/>
          <w:sz w:val="18"/>
          <w:szCs w:val="18"/>
          <w:color w:val="auto"/>
        </w:rPr>
      </w:pPr>
    </w:p>
    <w:p>
      <w:pPr>
        <w:ind w:left="260" w:hanging="252"/>
        <w:spacing w:after="0"/>
        <w:tabs>
          <w:tab w:leader="none" w:pos="260" w:val="left"/>
        </w:tabs>
        <w:numPr>
          <w:ilvl w:val="0"/>
          <w:numId w:val="50"/>
        </w:numPr>
        <w:rPr>
          <w:rFonts w:ascii="Arial" w:cs="Arial" w:eastAsia="Arial" w:hAnsi="Arial"/>
          <w:sz w:val="16"/>
          <w:szCs w:val="16"/>
          <w:color w:val="auto"/>
        </w:rPr>
      </w:pPr>
      <w:r>
        <w:rPr>
          <w:rFonts w:ascii="Arial" w:cs="Arial" w:eastAsia="Arial" w:hAnsi="Arial"/>
          <w:sz w:val="16"/>
          <w:szCs w:val="16"/>
          <w:color w:val="auto"/>
        </w:rPr>
        <w:t>The information contained in the Form 10-Q fairly presents, in all material respects, the financial condition and results of operations of the Company.</w:t>
      </w:r>
    </w:p>
    <w:p>
      <w:pPr>
        <w:spacing w:after="0" w:line="383" w:lineRule="exact"/>
        <w:rPr>
          <w:sz w:val="20"/>
          <w:szCs w:val="20"/>
          <w:color w:val="auto"/>
        </w:rPr>
      </w:pPr>
    </w:p>
    <w:p>
      <w:pPr>
        <w:ind w:left="40"/>
        <w:spacing w:after="0"/>
        <w:tabs>
          <w:tab w:leader="none" w:pos="4600" w:val="left"/>
        </w:tabs>
        <w:rPr>
          <w:sz w:val="20"/>
          <w:szCs w:val="20"/>
          <w:color w:val="auto"/>
        </w:rPr>
      </w:pPr>
      <w:r>
        <w:rPr>
          <w:rFonts w:ascii="Arial" w:cs="Arial" w:eastAsia="Arial" w:hAnsi="Arial"/>
          <w:sz w:val="18"/>
          <w:szCs w:val="18"/>
          <w:color w:val="auto"/>
        </w:rPr>
        <w:t>May 1, 2020</w:t>
      </w:r>
      <w:r>
        <w:rPr>
          <w:sz w:val="20"/>
          <w:szCs w:val="20"/>
          <w:color w:val="auto"/>
        </w:rPr>
        <w:tab/>
      </w:r>
      <w:r>
        <w:rPr>
          <w:rFonts w:ascii="Arial" w:cs="Arial" w:eastAsia="Arial" w:hAnsi="Arial"/>
          <w:sz w:val="15"/>
          <w:szCs w:val="15"/>
          <w:color w:val="auto"/>
        </w:rPr>
        <w:t>/s/ Joseph Wm. Foran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2910840</wp:posOffset>
            </wp:positionH>
            <wp:positionV relativeFrom="paragraph">
              <wp:posOffset>31750</wp:posOffset>
            </wp:positionV>
            <wp:extent cx="233997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9">
                      <a:extLst>
                        <a:ext uri="{28A0092B-C50C-407E-A947-70E740481C1C}"/>
                      </a:extLst>
                    </a:blip>
                    <a:srcRect/>
                    <a:stretch>
                      <a:fillRect/>
                    </a:stretch>
                  </pic:blipFill>
                  <pic:spPr bwMode="auto">
                    <a:xfrm>
                      <a:off x="0" y="0"/>
                      <a:ext cx="2339975" cy="8255"/>
                    </a:xfrm>
                    <a:prstGeom prst="rect">
                      <a:avLst/>
                    </a:prstGeom>
                    <a:noFill/>
                  </pic:spPr>
                </pic:pic>
              </a:graphicData>
            </a:graphic>
          </wp:anchor>
        </w:drawing>
      </w:r>
    </w:p>
    <w:p>
      <w:pPr>
        <w:spacing w:after="0" w:line="57"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Joseph Wm. Foran</w:t>
      </w:r>
    </w:p>
    <w:p>
      <w:pPr>
        <w:spacing w:after="0" w:line="63"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Chairman and Chief Executive Officer</w:t>
      </w:r>
    </w:p>
    <w:p>
      <w:pPr>
        <w:spacing w:after="0" w:line="2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240"/>
          </w:cols>
          <w:pgMar w:left="320" w:top="553" w:right="339" w:bottom="1440" w:gutter="0" w:footer="0" w:header="0"/>
        </w:sectPr>
      </w:pPr>
    </w:p>
    <w:bookmarkStart w:id="61" w:name="page62"/>
    <w:bookmarkEnd w:id="61"/>
    <w:p>
      <w:pPr>
        <w:jc w:val="right"/>
        <w:spacing w:after="0"/>
        <w:rPr>
          <w:sz w:val="20"/>
          <w:szCs w:val="20"/>
          <w:color w:val="auto"/>
        </w:rPr>
      </w:pPr>
      <w:r>
        <w:rPr>
          <w:rFonts w:ascii="Arial" w:cs="Arial" w:eastAsia="Arial" w:hAnsi="Arial"/>
          <w:sz w:val="18"/>
          <w:szCs w:val="18"/>
          <w:b w:val="1"/>
          <w:bCs w:val="1"/>
          <w:color w:val="auto"/>
        </w:rPr>
        <w:t>Exhibit 32.2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157" w:lineRule="exact"/>
        <w:rPr>
          <w:sz w:val="20"/>
          <w:szCs w:val="20"/>
          <w:color w:val="auto"/>
        </w:rPr>
      </w:pPr>
    </w:p>
    <w:p>
      <w:pPr>
        <w:ind w:right="20" w:firstLine="432"/>
        <w:spacing w:after="0" w:line="259" w:lineRule="auto"/>
        <w:rPr>
          <w:sz w:val="20"/>
          <w:szCs w:val="20"/>
          <w:color w:val="auto"/>
        </w:rPr>
      </w:pPr>
      <w:r>
        <w:rPr>
          <w:rFonts w:ascii="Arial" w:cs="Arial" w:eastAsia="Arial" w:hAnsi="Arial"/>
          <w:sz w:val="18"/>
          <w:szCs w:val="18"/>
          <w:color w:val="auto"/>
        </w:rPr>
        <w:t>In connection with the quarterly report of Matador Resources Company (the “Company”) on Form 10-Q for the period ended March 31, 2020 as filed with the Securities and Exchange Commission on the date hereof (the “Form 10-Q”), I, David E. Lancaster, hereby certify in my capacity as Executive Vice President and Chief Financial Officer of the Company, pursuant to 18 U.S.C. § 1350, as adopted pursuant to § 906 of the Sarbanes-Oxley Act of 2002, that to the best of my knowledge:</w:t>
      </w:r>
    </w:p>
    <w:p>
      <w:pPr>
        <w:spacing w:after="0" w:line="133" w:lineRule="exact"/>
        <w:rPr>
          <w:sz w:val="20"/>
          <w:szCs w:val="20"/>
          <w:color w:val="auto"/>
        </w:rPr>
      </w:pPr>
    </w:p>
    <w:p>
      <w:pPr>
        <w:ind w:left="260" w:hanging="252"/>
        <w:spacing w:after="0"/>
        <w:tabs>
          <w:tab w:leader="none" w:pos="2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Form 10-Q fully complies with the requirements of Section 13(a) or 15(d) of the Securities Exchange Act of 1934; and</w:t>
      </w:r>
    </w:p>
    <w:p>
      <w:pPr>
        <w:spacing w:after="0" w:line="171" w:lineRule="exact"/>
        <w:rPr>
          <w:rFonts w:ascii="Arial" w:cs="Arial" w:eastAsia="Arial" w:hAnsi="Arial"/>
          <w:sz w:val="18"/>
          <w:szCs w:val="18"/>
          <w:color w:val="auto"/>
        </w:rPr>
      </w:pPr>
    </w:p>
    <w:p>
      <w:pPr>
        <w:ind w:left="260" w:hanging="252"/>
        <w:spacing w:after="0"/>
        <w:tabs>
          <w:tab w:leader="none" w:pos="260" w:val="left"/>
        </w:tabs>
        <w:numPr>
          <w:ilvl w:val="0"/>
          <w:numId w:val="51"/>
        </w:numPr>
        <w:rPr>
          <w:rFonts w:ascii="Arial" w:cs="Arial" w:eastAsia="Arial" w:hAnsi="Arial"/>
          <w:sz w:val="16"/>
          <w:szCs w:val="16"/>
          <w:color w:val="auto"/>
        </w:rPr>
      </w:pPr>
      <w:r>
        <w:rPr>
          <w:rFonts w:ascii="Arial" w:cs="Arial" w:eastAsia="Arial" w:hAnsi="Arial"/>
          <w:sz w:val="16"/>
          <w:szCs w:val="16"/>
          <w:color w:val="auto"/>
        </w:rPr>
        <w:t>The information contained in the Form 10-Q fairly presents, in all material respects, the financial condition and results of operations of the Company.</w:t>
      </w:r>
    </w:p>
    <w:p>
      <w:pPr>
        <w:spacing w:after="0" w:line="383" w:lineRule="exact"/>
        <w:rPr>
          <w:sz w:val="20"/>
          <w:szCs w:val="20"/>
          <w:color w:val="auto"/>
        </w:rPr>
      </w:pPr>
    </w:p>
    <w:p>
      <w:pPr>
        <w:ind w:left="40"/>
        <w:spacing w:after="0"/>
        <w:tabs>
          <w:tab w:leader="none" w:pos="4980" w:val="left"/>
        </w:tabs>
        <w:rPr>
          <w:sz w:val="20"/>
          <w:szCs w:val="20"/>
          <w:color w:val="auto"/>
        </w:rPr>
      </w:pPr>
      <w:r>
        <w:rPr>
          <w:rFonts w:ascii="Arial" w:cs="Arial" w:eastAsia="Arial" w:hAnsi="Arial"/>
          <w:sz w:val="18"/>
          <w:szCs w:val="18"/>
          <w:color w:val="auto"/>
        </w:rPr>
        <w:t>May 1, 2020</w:t>
      </w:r>
      <w:r>
        <w:rPr>
          <w:sz w:val="20"/>
          <w:szCs w:val="20"/>
          <w:color w:val="auto"/>
        </w:rPr>
        <w:tab/>
      </w:r>
      <w:r>
        <w:rPr>
          <w:rFonts w:ascii="Arial" w:cs="Arial" w:eastAsia="Arial" w:hAnsi="Arial"/>
          <w:sz w:val="16"/>
          <w:szCs w:val="16"/>
          <w:color w:val="auto"/>
        </w:rPr>
        <w:t>/s/ David E. Lancaster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3159760</wp:posOffset>
            </wp:positionH>
            <wp:positionV relativeFrom="paragraph">
              <wp:posOffset>31750</wp:posOffset>
            </wp:positionV>
            <wp:extent cx="243459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0">
                      <a:extLst>
                        <a:ext uri="{28A0092B-C50C-407E-A947-70E740481C1C}"/>
                      </a:extLst>
                    </a:blip>
                    <a:srcRect/>
                    <a:stretch>
                      <a:fillRect/>
                    </a:stretch>
                  </pic:blipFill>
                  <pic:spPr bwMode="auto">
                    <a:xfrm>
                      <a:off x="0" y="0"/>
                      <a:ext cx="2434590" cy="8890"/>
                    </a:xfrm>
                    <a:prstGeom prst="rect">
                      <a:avLst/>
                    </a:prstGeom>
                    <a:noFill/>
                  </pic:spPr>
                </pic:pic>
              </a:graphicData>
            </a:graphic>
          </wp:anchor>
        </w:drawing>
      </w:r>
    </w:p>
    <w:p>
      <w:pPr>
        <w:spacing w:after="0" w:line="57"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David E. Lancaster</w:t>
      </w:r>
    </w:p>
    <w:p>
      <w:pPr>
        <w:spacing w:after="0" w:line="63"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Executive Vice President and Chief Financial</w:t>
      </w:r>
    </w:p>
    <w:p>
      <w:pPr>
        <w:spacing w:after="0" w:line="23"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Officer</w:t>
      </w:r>
    </w:p>
    <w:p>
      <w:pPr>
        <w:spacing w:after="0" w:line="9"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(Principal Financial Officer)</w:t>
      </w:r>
    </w:p>
    <w:sectPr>
      <w:pgSz w:w="11900" w:h="16838" w:orient="portrait"/>
      <w:cols w:equalWidth="0" w:num="1">
        <w:col w:w="11240"/>
      </w:cols>
      <w:pgMar w:left="320" w:top="55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B03E0C6"/>
    <w:multiLevelType w:val="hybridMultilevel"/>
    <w:lvl w:ilvl="0">
      <w:lvlJc w:val="left"/>
      <w:lvlText w:val="☒"/>
      <w:numFmt w:val="bullet"/>
      <w:start w:val="1"/>
    </w:lvl>
  </w:abstractNum>
  <w:abstractNum w:abstractNumId="1">
    <w:nsid w:val="189A769B"/>
    <w:multiLevelType w:val="hybridMultilevel"/>
    <w:lvl w:ilvl="0">
      <w:lvlJc w:val="left"/>
      <w:lvlText w:val="☐"/>
      <w:numFmt w:val="bullet"/>
      <w:start w:val="1"/>
    </w:lvl>
  </w:abstractNum>
  <w:abstractNum w:abstractNumId="2">
    <w:nsid w:val="54E49EB4"/>
    <w:multiLevelType w:val="hybridMultilevel"/>
    <w:lvl w:ilvl="0">
      <w:lvlJc w:val="left"/>
      <w:lvlText w:val="%1"/>
      <w:numFmt w:val="decimal"/>
      <w:start w:val="476"/>
    </w:lvl>
  </w:abstractNum>
  <w:abstractNum w:abstractNumId="3">
    <w:nsid w:val="71F32454"/>
    <w:multiLevelType w:val="hybridMultilevel"/>
    <w:lvl w:ilvl="0">
      <w:lvlJc w:val="left"/>
      <w:lvlText w:val="%1"/>
      <w:numFmt w:val="decimal"/>
      <w:start w:val="174"/>
    </w:lvl>
  </w:abstractNum>
  <w:abstractNum w:abstractNumId="4">
    <w:nsid w:val="2CA88611"/>
    <w:multiLevelType w:val="hybridMultilevel"/>
    <w:lvl w:ilvl="0">
      <w:lvlJc w:val="left"/>
      <w:lvlText w:val="(%1)"/>
      <w:numFmt w:val="decimal"/>
      <w:start w:val="92"/>
    </w:lvl>
  </w:abstractNum>
  <w:abstractNum w:abstractNumId="5">
    <w:nsid w:val="836C40E"/>
    <w:multiLevelType w:val="hybridMultilevel"/>
    <w:lvl w:ilvl="0">
      <w:lvlJc w:val="left"/>
      <w:lvlText w:val="(%1)"/>
      <w:numFmt w:val="decimal"/>
      <w:start w:val="787"/>
    </w:lvl>
  </w:abstractNum>
  <w:abstractNum w:abstractNumId="6">
    <w:nsid w:val="2901D82"/>
    <w:multiLevelType w:val="hybridMultilevel"/>
    <w:lvl w:ilvl="0">
      <w:lvlJc w:val="left"/>
      <w:lvlText w:val="(%1)"/>
      <w:numFmt w:val="decimal"/>
      <w:start w:val="660"/>
    </w:lvl>
  </w:abstractNum>
  <w:abstractNum w:abstractNumId="7">
    <w:nsid w:val="3A95F874"/>
    <w:multiLevelType w:val="hybridMultilevel"/>
    <w:lvl w:ilvl="0">
      <w:lvlJc w:val="left"/>
      <w:lvlText w:val="(%1)"/>
      <w:numFmt w:val="decimal"/>
      <w:start w:val="219"/>
    </w:lvl>
  </w:abstractNum>
  <w:abstractNum w:abstractNumId="8">
    <w:nsid w:val="8138641"/>
    <w:multiLevelType w:val="hybridMultilevel"/>
    <w:lvl w:ilvl="0">
      <w:lvlJc w:val="left"/>
      <w:lvlText w:val="(%1)"/>
      <w:numFmt w:val="decimal"/>
      <w:start w:val="1"/>
    </w:lvl>
  </w:abstractNum>
  <w:abstractNum w:abstractNumId="9">
    <w:nsid w:val="1E7FF521"/>
    <w:multiLevelType w:val="hybridMultilevel"/>
    <w:lvl w:ilvl="0">
      <w:lvlJc w:val="left"/>
      <w:lvlText w:val="(%1)"/>
      <w:numFmt w:val="lowerRoman"/>
      <w:start w:val="1"/>
    </w:lvl>
  </w:abstractNum>
  <w:abstractNum w:abstractNumId="10">
    <w:nsid w:val="7C3DBD3D"/>
    <w:multiLevelType w:val="hybridMultilevel"/>
    <w:lvl w:ilvl="0">
      <w:lvlJc w:val="left"/>
      <w:lvlText w:val="(%1)"/>
      <w:numFmt w:val="decimal"/>
      <w:start w:val="1"/>
    </w:lvl>
  </w:abstractNum>
  <w:abstractNum w:abstractNumId="11">
    <w:nsid w:val="737B8DDC"/>
    <w:multiLevelType w:val="hybridMultilevel"/>
    <w:lvl w:ilvl="0">
      <w:lvlJc w:val="left"/>
      <w:lvlText w:val="(%1)"/>
      <w:numFmt w:val="decimal"/>
      <w:start w:val="1"/>
    </w:lvl>
  </w:abstractNum>
  <w:abstractNum w:abstractNumId="12">
    <w:nsid w:val="6CEAF087"/>
    <w:multiLevelType w:val="hybridMultilevel"/>
    <w:lvl w:ilvl="0">
      <w:lvlJc w:val="left"/>
      <w:lvlText w:val="•"/>
      <w:numFmt w:val="bullet"/>
      <w:start w:val="1"/>
    </w:lvl>
  </w:abstractNum>
  <w:abstractNum w:abstractNumId="13">
    <w:nsid w:val="22221A70"/>
    <w:multiLevelType w:val="hybridMultilevel"/>
    <w:lvl w:ilvl="0">
      <w:lvlJc w:val="left"/>
      <w:lvlText w:val="•"/>
      <w:numFmt w:val="bullet"/>
      <w:start w:val="1"/>
    </w:lvl>
  </w:abstractNum>
  <w:abstractNum w:abstractNumId="14">
    <w:nsid w:val="4516DDE9"/>
    <w:multiLevelType w:val="hybridMultilevel"/>
    <w:lvl w:ilvl="0">
      <w:lvlJc w:val="left"/>
      <w:lvlText w:val="(%1)"/>
      <w:numFmt w:val="decimal"/>
      <w:start w:val="1"/>
    </w:lvl>
  </w:abstractNum>
  <w:abstractNum w:abstractNumId="15">
    <w:nsid w:val="3006C83E"/>
    <w:multiLevelType w:val="hybridMultilevel"/>
    <w:lvl w:ilvl="0">
      <w:lvlJc w:val="left"/>
      <w:lvlText w:val="(%1)"/>
      <w:numFmt w:val="decimal"/>
      <w:start w:val="1"/>
    </w:lvl>
  </w:abstractNum>
  <w:abstractNum w:abstractNumId="16">
    <w:nsid w:val="614FD4A1"/>
    <w:multiLevelType w:val="hybridMultilevel"/>
    <w:lvl w:ilvl="0">
      <w:lvlJc w:val="left"/>
      <w:lvlText w:val="(%1)"/>
      <w:numFmt w:val="lowerRoman"/>
      <w:start w:val="2"/>
    </w:lvl>
  </w:abstractNum>
  <w:abstractNum w:abstractNumId="17">
    <w:nsid w:val="419AC241"/>
    <w:multiLevelType w:val="hybridMultilevel"/>
    <w:lvl w:ilvl="0">
      <w:lvlJc w:val="left"/>
      <w:lvlText w:val="(%1)"/>
      <w:numFmt w:val="decimal"/>
      <w:start w:val="1"/>
    </w:lvl>
  </w:abstractNum>
  <w:abstractNum w:abstractNumId="18">
    <w:nsid w:val="5577F8E1"/>
    <w:multiLevelType w:val="hybridMultilevel"/>
    <w:lvl w:ilvl="0">
      <w:lvlJc w:val="left"/>
      <w:lvlText w:val="•"/>
      <w:numFmt w:val="bullet"/>
      <w:start w:val="1"/>
    </w:lvl>
  </w:abstractNum>
  <w:abstractNum w:abstractNumId="19">
    <w:nsid w:val="440BADFC"/>
    <w:multiLevelType w:val="hybridMultilevel"/>
    <w:lvl w:ilvl="0">
      <w:lvlJc w:val="left"/>
      <w:lvlText w:val="•"/>
      <w:numFmt w:val="bullet"/>
      <w:start w:val="1"/>
    </w:lvl>
  </w:abstractNum>
  <w:abstractNum w:abstractNumId="20">
    <w:nsid w:val="5072367"/>
    <w:multiLevelType w:val="hybridMultilevel"/>
    <w:lvl w:ilvl="0">
      <w:lvlJc w:val="left"/>
      <w:lvlText w:val="(%1)"/>
      <w:numFmt w:val="decimal"/>
      <w:start w:val="1"/>
    </w:lvl>
  </w:abstractNum>
  <w:abstractNum w:abstractNumId="21">
    <w:nsid w:val="3804823E"/>
    <w:multiLevelType w:val="hybridMultilevel"/>
    <w:lvl w:ilvl="0">
      <w:lvlJc w:val="left"/>
      <w:lvlText w:val="%1"/>
      <w:numFmt w:val="decimal"/>
      <w:start w:val="101"/>
    </w:lvl>
  </w:abstractNum>
  <w:abstractNum w:abstractNumId="22">
    <w:nsid w:val="77465F01"/>
    <w:multiLevelType w:val="hybridMultilevel"/>
    <w:lvl w:ilvl="0">
      <w:lvlJc w:val="left"/>
      <w:lvlText w:val="%1"/>
      <w:numFmt w:val="decimal"/>
      <w:start w:val="104"/>
    </w:lvl>
  </w:abstractNum>
  <w:abstractNum w:abstractNumId="23">
    <w:nsid w:val="7724C67E"/>
    <w:multiLevelType w:val="hybridMultilevel"/>
    <w:lvl w:ilvl="0">
      <w:lvlJc w:val="left"/>
      <w:lvlText w:val="%1."/>
      <w:numFmt w:val="decimal"/>
      <w:start w:val="1"/>
    </w:lvl>
  </w:abstractNum>
  <w:abstractNum w:abstractNumId="24">
    <w:nsid w:val="5C482A97"/>
    <w:multiLevelType w:val="hybridMultilevel"/>
    <w:lvl w:ilvl="0">
      <w:lvlJc w:val="left"/>
      <w:lvlText w:val="%1."/>
      <w:numFmt w:val="decimal"/>
      <w:start w:val="2"/>
    </w:lvl>
  </w:abstractNum>
  <w:abstractNum w:abstractNumId="25">
    <w:nsid w:val="2463B9EA"/>
    <w:multiLevelType w:val="hybridMultilevel"/>
    <w:lvl w:ilvl="0">
      <w:lvlJc w:val="left"/>
      <w:lvlText w:val="%1."/>
      <w:numFmt w:val="lowerLetter"/>
      <w:start w:val="1"/>
    </w:lvl>
    <w:lvl w:ilvl="1">
      <w:lvlJc w:val="left"/>
      <w:lvlText w:val="%2."/>
      <w:numFmt w:val="lowerRoman"/>
      <w:start w:val="1"/>
    </w:lvl>
  </w:abstractNum>
  <w:abstractNum w:abstractNumId="26">
    <w:nsid w:val="5E884ADC"/>
    <w:multiLevelType w:val="hybridMultilevel"/>
    <w:lvl w:ilvl="0">
      <w:lvlJc w:val="left"/>
      <w:lvlText w:val="%1."/>
      <w:numFmt w:val="lowerLetter"/>
      <w:start w:val="2"/>
    </w:lvl>
  </w:abstractNum>
  <w:abstractNum w:abstractNumId="27">
    <w:nsid w:val="51EAD36B"/>
    <w:multiLevelType w:val="hybridMultilevel"/>
    <w:lvl w:ilvl="0">
      <w:lvlJc w:val="left"/>
      <w:lvlText w:val="%1."/>
      <w:numFmt w:val="decimal"/>
      <w:start w:val="4"/>
    </w:lvl>
  </w:abstractNum>
  <w:abstractNum w:abstractNumId="28">
    <w:nsid w:val="2D517796"/>
    <w:multiLevelType w:val="hybridMultilevel"/>
    <w:lvl w:ilvl="0">
      <w:lvlJc w:val="left"/>
      <w:lvlText w:val="%1."/>
      <w:numFmt w:val="decimal"/>
      <w:start w:val="9"/>
    </w:lvl>
  </w:abstractNum>
  <w:abstractNum w:abstractNumId="29">
    <w:nsid w:val="580BD78F"/>
    <w:multiLevelType w:val="hybridMultilevel"/>
    <w:lvl w:ilvl="0">
      <w:lvlJc w:val="left"/>
      <w:lvlText w:val="%1."/>
      <w:numFmt w:val="decimal"/>
      <w:start w:val="16"/>
    </w:lvl>
  </w:abstractNum>
  <w:abstractNum w:abstractNumId="30">
    <w:nsid w:val="153EA438"/>
    <w:multiLevelType w:val="hybridMultilevel"/>
    <w:lvl w:ilvl="0">
      <w:lvlJc w:val="left"/>
      <w:lvlText w:val="%1."/>
      <w:numFmt w:val="lowerLetter"/>
      <w:start w:val="1"/>
    </w:lvl>
  </w:abstractNum>
  <w:abstractNum w:abstractNumId="31">
    <w:nsid w:val="3855585C"/>
    <w:multiLevelType w:val="hybridMultilevel"/>
    <w:lvl w:ilvl="0">
      <w:lvlJc w:val="left"/>
      <w:lvlText w:val="%1."/>
      <w:numFmt w:val="lowerLetter"/>
      <w:start w:val="2"/>
    </w:lvl>
  </w:abstractNum>
  <w:abstractNum w:abstractNumId="32">
    <w:nsid w:val="70A64E2A"/>
    <w:multiLevelType w:val="hybridMultilevel"/>
    <w:lvl w:ilvl="0">
      <w:lvlJc w:val="left"/>
      <w:lvlText w:val="%1."/>
      <w:numFmt w:val="decimal"/>
      <w:start w:val="20"/>
    </w:lvl>
    <w:lvl w:ilvl="1">
      <w:lvlJc w:val="left"/>
      <w:lvlText w:val="*"/>
      <w:numFmt w:val="bullet"/>
      <w:start w:val="1"/>
    </w:lvl>
  </w:abstractNum>
  <w:abstractNum w:abstractNumId="33">
    <w:nsid w:val="6A2342EC"/>
    <w:multiLevelType w:val="hybridMultilevel"/>
    <w:lvl w:ilvl="0">
      <w:lvlJc w:val="left"/>
      <w:lvlText w:val="%1."/>
      <w:numFmt w:val="decimal"/>
      <w:start w:val="1"/>
    </w:lvl>
  </w:abstractNum>
  <w:abstractNum w:abstractNumId="34">
    <w:nsid w:val="2A487CB0"/>
    <w:multiLevelType w:val="hybridMultilevel"/>
    <w:lvl w:ilvl="0">
      <w:lvlJc w:val="left"/>
      <w:lvlText w:val="%1."/>
      <w:numFmt w:val="decimal"/>
      <w:start w:val="2"/>
    </w:lvl>
  </w:abstractNum>
  <w:abstractNum w:abstractNumId="35">
    <w:nsid w:val="1D4ED43B"/>
    <w:multiLevelType w:val="hybridMultilevel"/>
    <w:lvl w:ilvl="0">
      <w:lvlJc w:val="left"/>
      <w:lvlText w:val="%1."/>
      <w:numFmt w:val="lowerLetter"/>
      <w:start w:val="1"/>
    </w:lvl>
  </w:abstractNum>
  <w:abstractNum w:abstractNumId="36">
    <w:nsid w:val="725A06FB"/>
    <w:multiLevelType w:val="hybridMultilevel"/>
    <w:lvl w:ilvl="0">
      <w:lvlJc w:val="left"/>
      <w:lvlText w:val="%1."/>
      <w:numFmt w:val="lowerLetter"/>
      <w:start w:val="3"/>
    </w:lvl>
  </w:abstractNum>
  <w:abstractNum w:abstractNumId="37">
    <w:nsid w:val="2CD89A32"/>
    <w:multiLevelType w:val="hybridMultilevel"/>
    <w:lvl w:ilvl="0">
      <w:lvlJc w:val="left"/>
      <w:lvlText w:val="%1."/>
      <w:numFmt w:val="decimal"/>
      <w:start w:val="4"/>
    </w:lvl>
  </w:abstractNum>
  <w:abstractNum w:abstractNumId="38">
    <w:nsid w:val="57E4CCAF"/>
    <w:multiLevelType w:val="hybridMultilevel"/>
    <w:lvl w:ilvl="0">
      <w:lvlJc w:val="left"/>
      <w:lvlText w:val="%1."/>
      <w:numFmt w:val="decimal"/>
      <w:start w:val="7"/>
    </w:lvl>
  </w:abstractNum>
  <w:abstractNum w:abstractNumId="39">
    <w:nsid w:val="7A6D8D3C"/>
    <w:multiLevelType w:val="hybridMultilevel"/>
    <w:lvl w:ilvl="0">
      <w:lvlJc w:val="left"/>
      <w:lvlText w:val="%1."/>
      <w:numFmt w:val="decimal"/>
      <w:start w:val="15"/>
    </w:lvl>
  </w:abstractNum>
  <w:abstractNum w:abstractNumId="40">
    <w:nsid w:val="4B588F54"/>
    <w:multiLevelType w:val="hybridMultilevel"/>
    <w:lvl w:ilvl="0">
      <w:lvlJc w:val="left"/>
      <w:lvlText w:val="%1."/>
      <w:numFmt w:val="lowerLetter"/>
      <w:start w:val="1"/>
    </w:lvl>
  </w:abstractNum>
  <w:abstractNum w:abstractNumId="41">
    <w:nsid w:val="542289EC"/>
    <w:multiLevelType w:val="hybridMultilevel"/>
    <w:lvl w:ilvl="0">
      <w:lvlJc w:val="left"/>
      <w:lvlText w:val="%1."/>
      <w:numFmt w:val="decimal"/>
      <w:start w:val="20"/>
    </w:lvl>
  </w:abstractNum>
  <w:abstractNum w:abstractNumId="42">
    <w:nsid w:val="6DE91B18"/>
    <w:multiLevelType w:val="hybridMultilevel"/>
    <w:lvl w:ilvl="0">
      <w:lvlJc w:val="left"/>
      <w:lvlText w:val="%1."/>
      <w:numFmt w:val="decimal"/>
      <w:start w:val="22"/>
    </w:lvl>
    <w:lvl w:ilvl="1">
      <w:lvlJc w:val="left"/>
      <w:lvlText w:val="*"/>
      <w:numFmt w:val="bullet"/>
      <w:start w:val="1"/>
    </w:lvl>
  </w:abstractNum>
  <w:abstractNum w:abstractNumId="43">
    <w:nsid w:val="38437FDB"/>
    <w:multiLevelType w:val="hybridMultilevel"/>
    <w:lvl w:ilvl="0">
      <w:lvlJc w:val="left"/>
      <w:lvlText w:val="%1."/>
      <w:numFmt w:val="upperLetter"/>
      <w:start w:val="1"/>
    </w:lvl>
  </w:abstractNum>
  <w:abstractNum w:abstractNumId="44">
    <w:nsid w:val="7644A45C"/>
    <w:multiLevelType w:val="hybridMultilevel"/>
    <w:lvl w:ilvl="0">
      <w:lvlJc w:val="left"/>
      <w:lvlText w:val="*"/>
      <w:numFmt w:val="bullet"/>
      <w:start w:val="1"/>
    </w:lvl>
  </w:abstractNum>
  <w:abstractNum w:abstractNumId="45">
    <w:nsid w:val="32FFF902"/>
    <w:multiLevelType w:val="hybridMultilevel"/>
    <w:lvl w:ilvl="0">
      <w:lvlJc w:val="left"/>
      <w:lvlText w:val="**"/>
      <w:numFmt w:val="bullet"/>
      <w:start w:val="1"/>
    </w:lvl>
  </w:abstractNum>
  <w:abstractNum w:abstractNumId="46">
    <w:nsid w:val="684A481A"/>
    <w:multiLevelType w:val="hybridMultilevel"/>
    <w:lvl w:ilvl="0">
      <w:lvlJc w:val="left"/>
      <w:lvlText w:val="***"/>
      <w:numFmt w:val="bullet"/>
      <w:start w:val="1"/>
    </w:lvl>
  </w:abstractNum>
  <w:abstractNum w:abstractNumId="47">
    <w:nsid w:val="579478FE"/>
    <w:multiLevelType w:val="hybridMultilevel"/>
    <w:lvl w:ilvl="0">
      <w:lvlJc w:val="left"/>
      <w:lvlText w:val="%1."/>
      <w:numFmt w:val="decimal"/>
      <w:start w:val="1"/>
    </w:lvl>
    <w:lvl w:ilvl="1">
      <w:lvlJc w:val="left"/>
      <w:lvlText w:val="%2."/>
      <w:numFmt w:val="lowerLetter"/>
      <w:start w:val="1"/>
    </w:lvl>
  </w:abstractNum>
  <w:abstractNum w:abstractNumId="48">
    <w:nsid w:val="749ABB43"/>
    <w:multiLevelType w:val="hybridMultilevel"/>
    <w:lvl w:ilvl="0">
      <w:lvlJc w:val="left"/>
      <w:lvlText w:val="%1."/>
      <w:numFmt w:val="decimal"/>
      <w:start w:val="1"/>
    </w:lvl>
    <w:lvl w:ilvl="1">
      <w:lvlJc w:val="left"/>
      <w:lvlText w:val="%2."/>
      <w:numFmt w:val="lowerLetter"/>
      <w:start w:val="1"/>
    </w:lvl>
  </w:abstractNum>
  <w:abstractNum w:abstractNumId="49">
    <w:nsid w:val="3DC240FB"/>
    <w:multiLevelType w:val="hybridMultilevel"/>
    <w:lvl w:ilvl="0">
      <w:lvlJc w:val="left"/>
      <w:lvlText w:val="(%1)"/>
      <w:numFmt w:val="decimal"/>
      <w:start w:val="1"/>
    </w:lvl>
  </w:abstractNum>
  <w:abstractNum w:abstractNumId="50">
    <w:nsid w:val="1BA026F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7" Type="http://schemas.openxmlformats.org/officeDocument/2006/relationships/image" Target="media/image45.png"/><Relationship Id="rId58" Type="http://schemas.openxmlformats.org/officeDocument/2006/relationships/image" Target="media/image46.png"/><Relationship Id="rId59" Type="http://schemas.openxmlformats.org/officeDocument/2006/relationships/image" Target="media/image47.png"/><Relationship Id="rId60" Type="http://schemas.openxmlformats.org/officeDocument/2006/relationships/image" Target="media/image48.png"/><Relationship Id="rId52" Type="http://schemas.openxmlformats.org/officeDocument/2006/relationships/hyperlink" Target="http://www.sec.gov/Archives/edgar/data/1520006/000152000617000188/a20170630mtdr10q-exhibit32.htm" TargetMode="External"/><Relationship Id="rId53" Type="http://schemas.openxmlformats.org/officeDocument/2006/relationships/hyperlink" Target="http://www.sec.gov/Archives/edgar/data/1520006/000152000617000188/a20170630mtdr10q-exhibit33.htm" TargetMode="External"/><Relationship Id="rId54" Type="http://schemas.openxmlformats.org/officeDocument/2006/relationships/hyperlink" Target="http://www.sec.gov/Archives/edgar/data/1520006/000152000617000188/a20170630mtdr10q-exhibit34.htm" TargetMode="External"/><Relationship Id="rId55" Type="http://schemas.openxmlformats.org/officeDocument/2006/relationships/hyperlink" Target="http://www.sec.gov/Archives/edgar/data/1520006/000152000618000051/a20171231mtdr8k-amendedbyl.htm" TargetMode="External"/><Relationship Id="rId56" Type="http://schemas.openxmlformats.org/officeDocument/2006/relationships/hyperlink" Target="http://www.sec.gov/Archives/edgar/data/1520006/000152000620000037/a20191231mtdr10-kex1055.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2020-05-01T15:52:51Z</dcterms:created>
  <dcterms:modified xsi:type="dcterms:W3CDTF">2020-05-01T15:52:51Z</dcterms:modified>
</cp:coreProperties>
</file>