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line="232"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1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100" w:lineRule="exact"/>
        <w:rPr>
          <w:sz w:val="24"/>
          <w:szCs w:val="24"/>
          <w:color w:val="auto"/>
        </w:rPr>
      </w:pPr>
    </w:p>
    <w:p>
      <w:pPr>
        <w:ind w:left="440" w:right="300" w:hanging="414"/>
        <w:spacing w:after="0" w:line="238" w:lineRule="auto"/>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440" w:right="280" w:hanging="414"/>
        <w:spacing w:after="0" w:line="238" w:lineRule="auto"/>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400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001-35410</w:t>
      </w:r>
    </w:p>
    <w:p>
      <w:pPr>
        <w:spacing w:after="0" w:line="6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Matador Resources Company</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6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148" w:lineRule="exact"/>
        <w:rPr>
          <w:sz w:val="24"/>
          <w:szCs w:val="24"/>
          <w:color w:val="auto"/>
        </w:rPr>
      </w:pPr>
    </w:p>
    <w:tbl>
      <w:tblPr>
        <w:tblLayout w:type="fixed"/>
        <w:tblInd w:w="1640" w:type="dxa"/>
        <w:tblCellMar>
          <w:top w:w="0" w:type="dxa"/>
          <w:left w:w="0" w:type="dxa"/>
          <w:bottom w:w="0" w:type="dxa"/>
          <w:right w:w="0" w:type="dxa"/>
        </w:tblCellMar>
      </w:tblPr>
      <w:tr>
        <w:trPr>
          <w:trHeight w:val="227"/>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14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27-4662601</w:t>
            </w:r>
          </w:p>
        </w:tc>
        <w:tc>
          <w:tcPr>
            <w:tcW w:w="0" w:type="dxa"/>
            <w:vAlign w:val="bottom"/>
          </w:tcPr>
          <w:p>
            <w:pPr>
              <w:spacing w:after="0"/>
              <w:rPr>
                <w:sz w:val="1"/>
                <w:szCs w:val="1"/>
                <w:color w:val="auto"/>
              </w:rPr>
            </w:pPr>
          </w:p>
        </w:tc>
      </w:tr>
      <w:tr>
        <w:trPr>
          <w:trHeight w:val="146"/>
        </w:trPr>
        <w:tc>
          <w:tcPr>
            <w:tcW w:w="5920" w:type="dxa"/>
            <w:vAlign w:val="bottom"/>
          </w:tcPr>
          <w:p>
            <w:pPr>
              <w:jc w:val="center"/>
              <w:ind w:right="3479"/>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40" w:type="dxa"/>
            <w:vAlign w:val="bottom"/>
          </w:tcPr>
          <w:p>
            <w:pPr>
              <w:jc w:val="center"/>
              <w:ind w:left="24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42"/>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9"/>
              </w:rPr>
              <w:t>5400 LBJ Freeway, Suite 1500</w:t>
            </w:r>
          </w:p>
        </w:tc>
        <w:tc>
          <w:tcPr>
            <w:tcW w:w="1440" w:type="dxa"/>
            <w:vAlign w:val="bottom"/>
            <w:vMerge w:val="restart"/>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75240</w:t>
            </w:r>
          </w:p>
        </w:tc>
        <w:tc>
          <w:tcPr>
            <w:tcW w:w="0" w:type="dxa"/>
            <w:vAlign w:val="bottom"/>
          </w:tcPr>
          <w:p>
            <w:pPr>
              <w:spacing w:after="0"/>
              <w:rPr>
                <w:sz w:val="1"/>
                <w:szCs w:val="1"/>
                <w:color w:val="auto"/>
              </w:rPr>
            </w:pPr>
          </w:p>
        </w:tc>
      </w:tr>
      <w:tr>
        <w:trPr>
          <w:trHeight w:val="232"/>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920" w:type="dxa"/>
            <w:vAlign w:val="bottom"/>
          </w:tcPr>
          <w:p>
            <w:pPr>
              <w:jc w:val="center"/>
              <w:ind w:right="34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58"/>
        </w:trPr>
        <w:tc>
          <w:tcPr>
            <w:tcW w:w="5920" w:type="dxa"/>
            <w:vAlign w:val="bottom"/>
          </w:tcPr>
          <w:p>
            <w:pPr>
              <w:jc w:val="right"/>
              <w:ind w:right="1299"/>
              <w:spacing w:after="0"/>
              <w:rPr>
                <w:sz w:val="20"/>
                <w:szCs w:val="20"/>
                <w:color w:val="auto"/>
              </w:rPr>
            </w:pPr>
            <w:r>
              <w:rPr>
                <w:rFonts w:ascii="Times New Roman" w:cs="Times New Roman" w:eastAsia="Times New Roman" w:hAnsi="Times New Roman"/>
                <w:sz w:val="18"/>
                <w:szCs w:val="18"/>
                <w:b w:val="1"/>
                <w:bCs w:val="1"/>
                <w:color w:val="auto"/>
              </w:rPr>
              <w:t>(972) 371-5200</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920" w:type="dxa"/>
            <w:vAlign w:val="bottom"/>
          </w:tcPr>
          <w:p>
            <w:pPr>
              <w:jc w:val="center"/>
              <w:ind w:left="19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8" w:lineRule="exact"/>
        <w:rPr>
          <w:sz w:val="24"/>
          <w:szCs w:val="24"/>
          <w:color w:val="auto"/>
        </w:rPr>
      </w:pPr>
    </w:p>
    <w:tbl>
      <w:tblPr>
        <w:tblLayout w:type="fixed"/>
        <w:tblInd w:w="880" w:type="dxa"/>
        <w:tblCellMar>
          <w:top w:w="0" w:type="dxa"/>
          <w:left w:w="0" w:type="dxa"/>
          <w:bottom w:w="0" w:type="dxa"/>
          <w:right w:w="0" w:type="dxa"/>
        </w:tblCellMar>
      </w:tblPr>
      <w:tr>
        <w:trPr>
          <w:trHeight w:val="190"/>
        </w:trPr>
        <w:tc>
          <w:tcPr>
            <w:tcW w:w="4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MTDR</w:t>
            </w:r>
          </w:p>
        </w:tc>
        <w:tc>
          <w:tcPr>
            <w:tcW w:w="240" w:type="dxa"/>
            <w:vAlign w:val="bottom"/>
          </w:tcPr>
          <w:p>
            <w:pPr>
              <w:spacing w:after="0"/>
              <w:rPr>
                <w:sz w:val="19"/>
                <w:szCs w:val="19"/>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7"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520" w:val="left"/>
          <w:tab w:leader="none" w:pos="1140" w:val="left"/>
        </w:tabs>
        <w:rPr>
          <w:sz w:val="20"/>
          <w:szCs w:val="20"/>
          <w:color w:val="auto"/>
        </w:rPr>
      </w:pPr>
      <w:r>
        <w:rPr>
          <w:rFonts w:ascii="Times New Roman" w:cs="Times New Roman" w:eastAsia="Times New Roman" w:hAnsi="Times New Roman"/>
          <w:sz w:val="16"/>
          <w:szCs w:val="16"/>
          <w:color w:val="auto"/>
        </w:rPr>
        <w:t>days.</w:t>
        <w:tab/>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169" w:lineRule="exact"/>
        <w:rPr>
          <w:sz w:val="24"/>
          <w:szCs w:val="24"/>
          <w:color w:val="auto"/>
        </w:rPr>
      </w:pPr>
    </w:p>
    <w:p>
      <w:pPr>
        <w:ind w:right="24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29" w:lineRule="exact"/>
        <w:rPr>
          <w:sz w:val="24"/>
          <w:szCs w:val="24"/>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Accelerated filer</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2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468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Emerging growth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82"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spacing w:after="0" w:line="184" w:lineRule="exact"/>
        <w:tabs>
          <w:tab w:leader="none" w:pos="7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Yes</w:t>
      </w:r>
      <w:r>
        <w:rPr>
          <w:rFonts w:ascii="MS PGothic" w:cs="MS PGothic" w:eastAsia="MS PGothic" w:hAnsi="MS PGothic"/>
          <w:sz w:val="16"/>
          <w:szCs w:val="16"/>
          <w:color w:val="auto"/>
        </w:rPr>
        <w:t xml:space="preserve">  ☒ </w:t>
      </w:r>
      <w:r>
        <w:rPr>
          <w:rFonts w:ascii="Times New Roman" w:cs="Times New Roman" w:eastAsia="Times New Roman" w:hAnsi="Times New Roman"/>
          <w:sz w:val="16"/>
          <w:szCs w:val="16"/>
          <w:color w:val="auto"/>
        </w:rPr>
        <w:t>No</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May 6, 2026, there were 124,178,227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20" w:type="dxa"/>
            <w:vAlign w:val="bottom"/>
            <w:gridSpan w:val="8"/>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MATADOR RESOURCES COMPANY</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20" w:type="dxa"/>
            <w:vAlign w:val="bottom"/>
            <w:gridSpan w:val="7"/>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20" w:type="dxa"/>
            <w:vAlign w:val="bottom"/>
            <w:gridSpan w:val="8"/>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FOR THE QUARTER ENDED MARCH 31, 2026</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20" w:type="dxa"/>
            <w:vAlign w:val="bottom"/>
            <w:gridSpan w:val="7"/>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20" w:type="dxa"/>
            <w:vAlign w:val="bottom"/>
          </w:tcPr>
          <w:p>
            <w:pPr>
              <w:spacing w:after="0"/>
              <w:rPr>
                <w:sz w:val="15"/>
                <w:szCs w:val="15"/>
                <w:color w:val="auto"/>
              </w:rPr>
            </w:pPr>
          </w:p>
        </w:tc>
        <w:tc>
          <w:tcPr>
            <w:tcW w:w="1030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PART I — FINANCIAL INFORMATION</w:t>
            </w:r>
          </w:p>
        </w:tc>
        <w:tc>
          <w:tcPr>
            <w:tcW w:w="480" w:type="dxa"/>
            <w:vAlign w:val="bottom"/>
            <w:tcBorders>
              <w:top w:val="single" w:sz="8" w:color="auto"/>
            </w:tcBorders>
            <w:gridSpan w:val="2"/>
          </w:tcPr>
          <w:p>
            <w:pPr>
              <w:jc w:val="center"/>
              <w:ind w:left="310"/>
              <w:spacing w:after="0" w:line="182" w:lineRule="exact"/>
              <w:rPr>
                <w:sz w:val="20"/>
                <w:szCs w:val="20"/>
                <w:color w:val="auto"/>
              </w:rPr>
            </w:pPr>
            <w:r>
              <w:rPr>
                <w:rFonts w:ascii="Times New Roman" w:cs="Times New Roman" w:eastAsia="Times New Roman" w:hAnsi="Times New Roman"/>
                <w:sz w:val="18"/>
                <w:szCs w:val="18"/>
                <w:color w:val="0000FF"/>
                <w:w w:val="88"/>
              </w:rPr>
              <w:t>3</w:t>
            </w:r>
          </w:p>
        </w:tc>
        <w:tc>
          <w:tcPr>
            <w:tcW w:w="4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 Financial Statements — Unaudited</w:t>
            </w: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at March 31, 2026 and December 31, 2025</w:t>
            </w:r>
          </w:p>
        </w:tc>
        <w:tc>
          <w:tcPr>
            <w:tcW w:w="3700" w:type="dxa"/>
            <w:vAlign w:val="bottom"/>
            <w:gridSpan w:val="5"/>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2026 and 2025</w:t>
            </w:r>
          </w:p>
        </w:tc>
        <w:tc>
          <w:tcPr>
            <w:tcW w:w="2120" w:type="dxa"/>
            <w:vAlign w:val="bottom"/>
            <w:gridSpan w:val="3"/>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Shareholders’ Equity for the Three Months Ended March 31, 2026 and 2025</w:t>
            </w:r>
          </w:p>
        </w:tc>
        <w:tc>
          <w:tcPr>
            <w:tcW w:w="540" w:type="dxa"/>
            <w:vAlign w:val="bottom"/>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 2025</w:t>
            </w:r>
          </w:p>
        </w:tc>
        <w:tc>
          <w:tcPr>
            <w:tcW w:w="540" w:type="dxa"/>
            <w:vAlign w:val="bottom"/>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080" w:type="dxa"/>
            <w:vAlign w:val="bottom"/>
            <w:gridSpan w:val="2"/>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080" w:type="dxa"/>
            <w:vAlign w:val="bottom"/>
            <w:gridSpan w:val="4"/>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21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080" w:type="dxa"/>
            <w:vAlign w:val="bottom"/>
            <w:gridSpan w:val="4"/>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2580" w:type="dxa"/>
            <w:vAlign w:val="bottom"/>
            <w:gridSpan w:val="5"/>
          </w:tcPr>
          <w:p>
            <w:pPr>
              <w:spacing w:after="0"/>
              <w:rPr>
                <w:sz w:val="18"/>
                <w:szCs w:val="18"/>
                <w:color w:val="auto"/>
              </w:rPr>
            </w:pPr>
          </w:p>
        </w:tc>
        <w:tc>
          <w:tcPr>
            <w:tcW w:w="5180" w:type="dxa"/>
            <w:vAlign w:val="bottom"/>
            <w:gridSpan w:val="6"/>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540" w:type="dxa"/>
            <w:vAlign w:val="bottom"/>
            <w:gridSpan w:val="10"/>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Item 1. Legal Proceedings</w:t>
            </w:r>
          </w:p>
        </w:tc>
        <w:tc>
          <w:tcPr>
            <w:tcW w:w="680" w:type="dxa"/>
            <w:vAlign w:val="bottom"/>
            <w:gridSpan w:val="2"/>
          </w:tcPr>
          <w:p>
            <w:pPr>
              <w:spacing w:after="0"/>
              <w:rPr>
                <w:sz w:val="18"/>
                <w:szCs w:val="18"/>
                <w:color w:val="auto"/>
              </w:rPr>
            </w:pPr>
          </w:p>
        </w:tc>
        <w:tc>
          <w:tcPr>
            <w:tcW w:w="7540" w:type="dxa"/>
            <w:vAlign w:val="bottom"/>
            <w:gridSpan w:val="10"/>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80" w:type="dxa"/>
            <w:vAlign w:val="bottom"/>
          </w:tcPr>
          <w:p>
            <w:pPr>
              <w:spacing w:after="0"/>
              <w:rPr>
                <w:sz w:val="18"/>
                <w:szCs w:val="18"/>
                <w:color w:val="auto"/>
              </w:rPr>
            </w:pPr>
          </w:p>
        </w:tc>
        <w:tc>
          <w:tcPr>
            <w:tcW w:w="8220" w:type="dxa"/>
            <w:vAlign w:val="bottom"/>
            <w:gridSpan w:val="12"/>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Item 2. Repurchase of Equity by the Company or Affiliates</w:t>
            </w:r>
          </w:p>
        </w:tc>
        <w:tc>
          <w:tcPr>
            <w:tcW w:w="5820" w:type="dxa"/>
            <w:vAlign w:val="bottom"/>
            <w:gridSpan w:val="7"/>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400" w:type="dxa"/>
            <w:vAlign w:val="bottom"/>
            <w:tcBorders>
              <w:left w:val="single" w:sz="8" w:color="0000FF"/>
            </w:tcBorders>
            <w:gridSpan w:val="5"/>
            <w:shd w:val="clear" w:color="auto" w:fill="0000FF"/>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2400" w:type="dxa"/>
            <w:vAlign w:val="bottom"/>
            <w:gridSpan w:val="5"/>
          </w:tcPr>
          <w:p>
            <w:pPr>
              <w:spacing w:after="0"/>
              <w:rPr>
                <w:sz w:val="18"/>
                <w:szCs w:val="18"/>
                <w:color w:val="auto"/>
              </w:rPr>
            </w:pPr>
          </w:p>
        </w:tc>
        <w:tc>
          <w:tcPr>
            <w:tcW w:w="5820" w:type="dxa"/>
            <w:vAlign w:val="bottom"/>
            <w:gridSpan w:val="7"/>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20" w:type="dxa"/>
            <w:vAlign w:val="bottom"/>
            <w:gridSpan w:val="1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8220" w:type="dxa"/>
            <w:vAlign w:val="bottom"/>
            <w:gridSpan w:val="12"/>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940" w:type="dxa"/>
            <w:vAlign w:val="bottom"/>
            <w:gridSpan w:val="1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026"/>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 Unaudited</w:t>
      </w:r>
    </w:p>
    <w:p>
      <w:pPr>
        <w:spacing w:after="0" w:line="6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15,314</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64,163</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Oil and natural gas revenues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412,066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286,158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Joint interest billings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140,043</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122,145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103,628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 instruments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34,052</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Lease and well equipment inventory</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45,580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43,842</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140,706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129,368</w:t>
            </w:r>
          </w:p>
        </w:tc>
        <w:tc>
          <w:tcPr>
            <w:tcW w:w="0" w:type="dxa"/>
            <w:vAlign w:val="bottom"/>
          </w:tcPr>
          <w:p>
            <w:pPr>
              <w:spacing w:after="0"/>
              <w:rPr>
                <w:sz w:val="1"/>
                <w:szCs w:val="1"/>
                <w:color w:val="auto"/>
              </w:rPr>
            </w:pPr>
          </w:p>
        </w:tc>
      </w:tr>
      <w:tr>
        <w:trPr>
          <w:trHeight w:val="189"/>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1,084,776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816,568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at cost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Oil and natural gas properties, full-cost method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Evaluated</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14,820,207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14,286,726</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Unproved and unevaluated</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1,772,371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1,823,456</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Midstream properties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1,972,401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1,963,059</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property and equipment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53,199</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Less accumulated depletion, 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(7,687,846)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(7,395,142)</w:t>
            </w:r>
          </w:p>
        </w:tc>
        <w:tc>
          <w:tcPr>
            <w:tcW w:w="0" w:type="dxa"/>
            <w:vAlign w:val="bottom"/>
          </w:tcPr>
          <w:p>
            <w:pPr>
              <w:spacing w:after="0"/>
              <w:rPr>
                <w:sz w:val="1"/>
                <w:szCs w:val="1"/>
                <w:color w:val="auto"/>
              </w:rPr>
            </w:pPr>
          </w:p>
        </w:tc>
      </w:tr>
      <w:tr>
        <w:trPr>
          <w:trHeight w:val="189"/>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Net property and equipment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10,935,141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10,731,298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long-term assets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154,572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162,703</w:t>
            </w:r>
          </w:p>
        </w:tc>
        <w:tc>
          <w:tcPr>
            <w:tcW w:w="0" w:type="dxa"/>
            <w:vAlign w:val="bottom"/>
          </w:tcPr>
          <w:p>
            <w:pPr>
              <w:spacing w:after="0"/>
              <w:rPr>
                <w:sz w:val="1"/>
                <w:szCs w:val="1"/>
                <w:color w:val="auto"/>
              </w:rPr>
            </w:pPr>
          </w:p>
        </w:tc>
      </w:tr>
      <w:tr>
        <w:trPr>
          <w:trHeight w:val="221"/>
        </w:trPr>
        <w:tc>
          <w:tcPr>
            <w:tcW w:w="84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12,174,489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11,710,569</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4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702,371</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540,620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Royalties payable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351,062</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Derivative instruments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306,200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Advances from joint interest owners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64,169</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72,274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75,658</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1,479,015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1,031,509</w:t>
            </w: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Borrowings under Credit Agreement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398,000</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Borrowings under San Mateo Credit Facility</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883,000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Senior unsecured notes payable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2,365,941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2,121,102</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144,063</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 instruments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1,016,696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1,015,931</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140,814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120,312</w:t>
            </w:r>
          </w:p>
        </w:tc>
        <w:tc>
          <w:tcPr>
            <w:tcW w:w="0" w:type="dxa"/>
            <w:vAlign w:val="bottom"/>
          </w:tcPr>
          <w:p>
            <w:pPr>
              <w:spacing w:after="0"/>
              <w:rPr>
                <w:sz w:val="1"/>
                <w:szCs w:val="1"/>
                <w:color w:val="auto"/>
              </w:rPr>
            </w:pPr>
          </w:p>
        </w:tc>
      </w:tr>
      <w:tr>
        <w:trPr>
          <w:trHeight w:val="189"/>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4,782,389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4,682,408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(see Note 9)</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Common stock - $0.01 par value, 160,000,000 shares authorized; 124,446,843 and 124,409,739 shares issued;</w:t>
            </w:r>
          </w:p>
        </w:tc>
        <w:tc>
          <w:tcPr>
            <w:tcW w:w="2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and 124,205,978 and 124,262,322 shares outstanding, respectively</w:t>
            </w:r>
          </w:p>
        </w:tc>
        <w:tc>
          <w:tcPr>
            <w:tcW w:w="2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2,521,758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2,509,118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3,070,423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3,153,112</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Treasury stock, at cost, 240,865 and 147,417 shares, respectively</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(5,333)</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Matador Resources Company shareholders’ equity</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5,584,900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5,658,141</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4"/>
                <w:szCs w:val="14"/>
                <w:color w:val="auto"/>
              </w:rPr>
              <w:t>Non-controlling interest in subsidiaries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328,185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338,511</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5,913,085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5,996,652</w:t>
            </w:r>
          </w:p>
        </w:tc>
        <w:tc>
          <w:tcPr>
            <w:tcW w:w="0" w:type="dxa"/>
            <w:vAlign w:val="bottom"/>
          </w:tcPr>
          <w:p>
            <w:pPr>
              <w:spacing w:after="0"/>
              <w:rPr>
                <w:sz w:val="1"/>
                <w:szCs w:val="1"/>
                <w:color w:val="auto"/>
              </w:rPr>
            </w:pPr>
          </w:p>
        </w:tc>
      </w:tr>
      <w:tr>
        <w:trPr>
          <w:trHeight w:val="190"/>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12,174,489</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11,710,569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40"/>
          </w:cols>
          <w:pgMar w:left="320" w:top="121" w:right="339" w:bottom="1440" w:gutter="0" w:footer="0" w:header="0"/>
        </w:sectPr>
      </w:pP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744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Matador Resources Company and Subsidiaries</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56"/>
        </w:trPr>
        <w:tc>
          <w:tcPr>
            <w:tcW w:w="1280" w:type="dxa"/>
            <w:vAlign w:val="bottom"/>
          </w:tcPr>
          <w:p>
            <w:pPr>
              <w:spacing w:after="0"/>
              <w:rPr>
                <w:sz w:val="24"/>
                <w:szCs w:val="24"/>
                <w:color w:val="auto"/>
              </w:rPr>
            </w:pPr>
          </w:p>
        </w:tc>
        <w:tc>
          <w:tcPr>
            <w:tcW w:w="78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 UNAUDITED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744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128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r>
      <w:tr>
        <w:trPr>
          <w:trHeight w:val="225"/>
        </w:trPr>
        <w:tc>
          <w:tcPr>
            <w:tcW w:w="128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818,731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909,918</w:t>
            </w:r>
          </w:p>
        </w:tc>
      </w:tr>
      <w:tr>
        <w:trPr>
          <w:trHeight w:val="229"/>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33,499</w:t>
            </w:r>
          </w:p>
        </w:tc>
      </w:tr>
      <w:tr>
        <w:trPr>
          <w:trHeight w:val="229"/>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62,756</w:t>
            </w:r>
          </w:p>
        </w:tc>
      </w:tr>
      <w:tr>
        <w:trPr>
          <w:trHeight w:val="230"/>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(loss) gain on derivatives</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r>
      <w:tr>
        <w:trPr>
          <w:trHeight w:val="229"/>
        </w:trPr>
        <w:tc>
          <w:tcPr>
            <w:tcW w:w="8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w:t>
            </w:r>
          </w:p>
        </w:tc>
      </w:tr>
      <w:tr>
        <w:trPr>
          <w:trHeight w:val="223"/>
        </w:trPr>
        <w:tc>
          <w:tcPr>
            <w:tcW w:w="87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1,013,958</w:t>
            </w:r>
          </w:p>
        </w:tc>
      </w:tr>
      <w:tr>
        <w:trPr>
          <w:trHeight w:val="229"/>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operating</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104,411</w:t>
            </w:r>
          </w:p>
        </w:tc>
      </w:tr>
      <w:tr>
        <w:trPr>
          <w:trHeight w:val="230"/>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Transportation and processing</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20,061</w:t>
            </w:r>
          </w:p>
        </w:tc>
      </w:tr>
      <w:tr>
        <w:trPr>
          <w:trHeight w:val="229"/>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Midstream operating</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51,803</w:t>
            </w:r>
          </w:p>
        </w:tc>
      </w:tr>
      <w:tr>
        <w:trPr>
          <w:trHeight w:val="230"/>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Purchased natural gas</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54,133</w:t>
            </w:r>
          </w:p>
        </w:tc>
      </w:tr>
      <w:tr>
        <w:trPr>
          <w:trHeight w:val="229"/>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281,891</w:t>
            </w:r>
          </w:p>
        </w:tc>
      </w:tr>
      <w:tr>
        <w:trPr>
          <w:trHeight w:val="229"/>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Taxes other than income</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77,049</w:t>
            </w:r>
          </w:p>
        </w:tc>
      </w:tr>
      <w:tr>
        <w:trPr>
          <w:trHeight w:val="230"/>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r>
      <w:tr>
        <w:trPr>
          <w:trHeight w:val="229"/>
        </w:trPr>
        <w:tc>
          <w:tcPr>
            <w:tcW w:w="8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33,732</w:t>
            </w:r>
          </w:p>
        </w:tc>
      </w:tr>
      <w:tr>
        <w:trPr>
          <w:trHeight w:val="223"/>
        </w:trPr>
        <w:tc>
          <w:tcPr>
            <w:tcW w:w="87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expenses</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624,807</w:t>
            </w:r>
          </w:p>
        </w:tc>
      </w:tr>
      <w:tr>
        <w:trPr>
          <w:trHeight w:val="22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389,151</w:t>
            </w:r>
          </w:p>
        </w:tc>
      </w:tr>
      <w:tr>
        <w:trPr>
          <w:trHeight w:val="23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(49,489)</w:t>
            </w:r>
          </w:p>
        </w:tc>
      </w:tr>
      <w:tr>
        <w:trPr>
          <w:trHeight w:val="230"/>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on asset sales</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w:t>
            </w:r>
          </w:p>
        </w:tc>
      </w:tr>
      <w:tr>
        <w:trPr>
          <w:trHeight w:val="223"/>
        </w:trPr>
        <w:tc>
          <w:tcPr>
            <w:tcW w:w="872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other expense</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(43,983)</w:t>
            </w:r>
          </w:p>
        </w:tc>
      </w:tr>
      <w:tr>
        <w:trPr>
          <w:trHeight w:val="223"/>
        </w:trPr>
        <w:tc>
          <w:tcPr>
            <w:tcW w:w="87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345,168</w:t>
            </w:r>
          </w:p>
        </w:tc>
      </w:tr>
      <w:tr>
        <w:trPr>
          <w:trHeight w:val="23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22,981</w:t>
            </w:r>
          </w:p>
        </w:tc>
      </w:tr>
      <w:tr>
        <w:trPr>
          <w:trHeight w:val="230"/>
        </w:trPr>
        <w:tc>
          <w:tcPr>
            <w:tcW w:w="8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59,940</w:t>
            </w:r>
          </w:p>
        </w:tc>
      </w:tr>
      <w:tr>
        <w:trPr>
          <w:trHeight w:val="223"/>
        </w:trPr>
        <w:tc>
          <w:tcPr>
            <w:tcW w:w="87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income tax (benefit) provision</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82,921</w:t>
            </w:r>
          </w:p>
        </w:tc>
      </w:tr>
      <w:tr>
        <w:trPr>
          <w:trHeight w:val="22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262,247</w:t>
            </w:r>
          </w:p>
        </w:tc>
      </w:tr>
      <w:tr>
        <w:trPr>
          <w:trHeight w:val="230"/>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w:t>
            </w:r>
          </w:p>
        </w:tc>
      </w:tr>
      <w:tr>
        <w:trPr>
          <w:trHeight w:val="223"/>
        </w:trPr>
        <w:tc>
          <w:tcPr>
            <w:tcW w:w="87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Net (loss) income attributable to Matador Resources Company shareholders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240,085</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7"/>
        </w:trPr>
        <w:tc>
          <w:tcPr>
            <w:tcW w:w="87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(Loss) earnings per common share</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9"/>
        </w:trPr>
        <w:tc>
          <w:tcPr>
            <w:tcW w:w="8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8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8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125,189</w:t>
            </w:r>
          </w:p>
        </w:tc>
      </w:tr>
      <w:tr>
        <w:trPr>
          <w:trHeight w:val="234"/>
        </w:trPr>
        <w:tc>
          <w:tcPr>
            <w:tcW w:w="8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123,480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125,342</w:t>
            </w:r>
          </w:p>
        </w:tc>
      </w:tr>
    </w:tbl>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134"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Total</w:t>
      </w:r>
    </w:p>
    <w:p>
      <w:pPr>
        <w:jc w:val="center"/>
        <w:ind w:left="6200"/>
        <w:spacing w:after="0" w:line="221" w:lineRule="auto"/>
        <w:rPr>
          <w:sz w:val="20"/>
          <w:szCs w:val="20"/>
          <w:color w:val="auto"/>
        </w:rPr>
      </w:pPr>
      <w:r>
        <w:rPr>
          <w:rFonts w:ascii="Times New Roman" w:cs="Times New Roman" w:eastAsia="Times New Roman" w:hAnsi="Times New Roman"/>
          <w:sz w:val="14"/>
          <w:szCs w:val="14"/>
          <w:b w:val="1"/>
          <w:bCs w:val="1"/>
          <w:color w:val="auto"/>
        </w:rPr>
        <w:t>shareholders’</w:t>
      </w:r>
    </w:p>
    <w:p>
      <w:pPr>
        <w:ind w:left="8540"/>
        <w:spacing w:after="0" w:line="221" w:lineRule="auto"/>
        <w:rPr>
          <w:sz w:val="20"/>
          <w:szCs w:val="20"/>
          <w:color w:val="auto"/>
        </w:rPr>
      </w:pPr>
      <w:r>
        <w:rPr>
          <w:rFonts w:ascii="Times New Roman" w:cs="Times New Roman" w:eastAsia="Times New Roman" w:hAnsi="Times New Roman"/>
          <w:sz w:val="14"/>
          <w:szCs w:val="14"/>
          <w:b w:val="1"/>
          <w:bCs w:val="1"/>
          <w:color w:val="auto"/>
        </w:rPr>
        <w:t>equity</w:t>
      </w:r>
    </w:p>
    <w:tbl>
      <w:tblPr>
        <w:tblLayout w:type="fixed"/>
        <w:tblInd w:w="0" w:type="dxa"/>
        <w:tblCellMar>
          <w:top w:w="0" w:type="dxa"/>
          <w:left w:w="0" w:type="dxa"/>
          <w:bottom w:w="0" w:type="dxa"/>
          <w:right w:w="0" w:type="dxa"/>
        </w:tblCellMar>
      </w:tblPr>
      <w:tr>
        <w:trPr>
          <w:trHeight w:val="129"/>
        </w:trPr>
        <w:tc>
          <w:tcPr>
            <w:tcW w:w="3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2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to Matador</w:t>
            </w: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3960" w:type="dxa"/>
            <w:vAlign w:val="bottom"/>
          </w:tcPr>
          <w:p>
            <w:pPr>
              <w:spacing w:after="0"/>
              <w:rPr>
                <w:sz w:val="8"/>
                <w:szCs w:val="8"/>
                <w:color w:val="auto"/>
              </w:rPr>
            </w:pPr>
          </w:p>
        </w:tc>
        <w:tc>
          <w:tcPr>
            <w:tcW w:w="1280" w:type="dxa"/>
            <w:vAlign w:val="bottom"/>
            <w:gridSpan w:val="5"/>
            <w:vMerge w:val="continue"/>
          </w:tcPr>
          <w:p>
            <w:pPr>
              <w:spacing w:after="0"/>
              <w:rPr>
                <w:sz w:val="8"/>
                <w:szCs w:val="8"/>
                <w:color w:val="auto"/>
              </w:rPr>
            </w:pPr>
          </w:p>
        </w:tc>
        <w:tc>
          <w:tcPr>
            <w:tcW w:w="840" w:type="dxa"/>
            <w:vAlign w:val="bottom"/>
            <w:gridSpan w:val="2"/>
            <w:vMerge w:val="restart"/>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8"/>
                <w:szCs w:val="8"/>
                <w:color w:val="auto"/>
              </w:rPr>
            </w:pPr>
          </w:p>
        </w:tc>
        <w:tc>
          <w:tcPr>
            <w:tcW w:w="84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4"/>
                <w:szCs w:val="14"/>
                <w:b w:val="1"/>
                <w:bCs w:val="1"/>
                <w:color w:val="auto"/>
              </w:rPr>
              <w:t>Resources</w:t>
            </w:r>
          </w:p>
        </w:tc>
        <w:tc>
          <w:tcPr>
            <w:tcW w:w="100" w:type="dxa"/>
            <w:vAlign w:val="bottom"/>
          </w:tcPr>
          <w:p>
            <w:pPr>
              <w:spacing w:after="0"/>
              <w:rPr>
                <w:sz w:val="8"/>
                <w:szCs w:val="8"/>
                <w:color w:val="auto"/>
              </w:rPr>
            </w:pPr>
          </w:p>
        </w:tc>
        <w:tc>
          <w:tcPr>
            <w:tcW w:w="96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880" w:type="dxa"/>
            <w:vAlign w:val="bottom"/>
            <w:gridSpan w:val="2"/>
            <w:vMerge w:val="restart"/>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2026</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124,410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$ 2,509,118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3,153,112</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(5,333)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5,658,141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338,511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5,996,652</w:t>
            </w: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($0.375 per share)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(46,817)</w:t>
            </w:r>
          </w:p>
        </w:tc>
        <w:tc>
          <w:tcPr>
            <w:tcW w:w="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(46,817)</w:t>
            </w:r>
          </w:p>
        </w:tc>
        <w:tc>
          <w:tcPr>
            <w:tcW w:w="0" w:type="dxa"/>
            <w:vAlign w:val="bottom"/>
          </w:tcPr>
          <w:p>
            <w:pPr>
              <w:spacing w:after="0"/>
              <w:rPr>
                <w:sz w:val="1"/>
                <w:szCs w:val="1"/>
                <w:color w:val="auto"/>
              </w:rPr>
            </w:pPr>
          </w:p>
        </w:tc>
      </w:tr>
      <w:tr>
        <w:trPr>
          <w:trHeight w:val="142"/>
        </w:trPr>
        <w:tc>
          <w:tcPr>
            <w:tcW w:w="39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stock pursuant to incentive and purchase plans, net of</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for taxes</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8,187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8,187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8,187</w:t>
            </w: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Contribution related to formation of San Mateo, net of tax of $1.4</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5,451</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million (see Note 6)</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(30,380)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(30,380)</w:t>
            </w: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0" w:type="dxa"/>
            <w:vAlign w:val="bottom"/>
          </w:tcPr>
          <w:p>
            <w:pPr>
              <w:spacing w:after="0"/>
              <w:rPr>
                <w:sz w:val="1"/>
                <w:szCs w:val="1"/>
                <w:color w:val="auto"/>
              </w:rPr>
            </w:pPr>
          </w:p>
        </w:tc>
      </w:tr>
      <w:tr>
        <w:trPr>
          <w:trHeight w:val="196"/>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net (loss) income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(35,872)</w:t>
            </w:r>
          </w:p>
        </w:tc>
        <w:tc>
          <w:tcPr>
            <w:tcW w:w="8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(35,872)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(15,818)</w:t>
            </w:r>
          </w:p>
        </w:tc>
        <w:tc>
          <w:tcPr>
            <w:tcW w:w="0" w:type="dxa"/>
            <w:vAlign w:val="bottom"/>
          </w:tcPr>
          <w:p>
            <w:pPr>
              <w:spacing w:after="0"/>
              <w:rPr>
                <w:sz w:val="1"/>
                <w:szCs w:val="1"/>
                <w:color w:val="auto"/>
              </w:rPr>
            </w:pPr>
          </w:p>
        </w:tc>
      </w:tr>
      <w:tr>
        <w:trPr>
          <w:trHeight w:val="221"/>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$ 2,521,758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3,070,423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(8,525)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5,584,900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328,185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5,913,085</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12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 Matador</w:t>
            </w: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5"/>
                <w:szCs w:val="15"/>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402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restart"/>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5"/>
                <w:szCs w:val="5"/>
                <w:color w:val="auto"/>
              </w:rPr>
            </w:pPr>
          </w:p>
        </w:tc>
        <w:tc>
          <w:tcPr>
            <w:tcW w:w="84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4"/>
                <w:szCs w:val="14"/>
                <w:b w:val="1"/>
                <w:bCs w:val="1"/>
                <w:color w:val="auto"/>
              </w:rPr>
              <w:t>Resources</w:t>
            </w:r>
          </w:p>
        </w:tc>
        <w:tc>
          <w:tcPr>
            <w:tcW w:w="120" w:type="dxa"/>
            <w:vAlign w:val="bottom"/>
          </w:tcPr>
          <w:p>
            <w:pPr>
              <w:spacing w:after="0"/>
              <w:rPr>
                <w:sz w:val="5"/>
                <w:szCs w:val="5"/>
                <w:color w:val="auto"/>
              </w:rPr>
            </w:pPr>
          </w:p>
        </w:tc>
        <w:tc>
          <w:tcPr>
            <w:tcW w:w="94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8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4"/>
        </w:trPr>
        <w:tc>
          <w:tcPr>
            <w:tcW w:w="4020" w:type="dxa"/>
            <w:vAlign w:val="bottom"/>
          </w:tcPr>
          <w:p>
            <w:pPr>
              <w:spacing w:after="0"/>
              <w:rPr>
                <w:sz w:val="2"/>
                <w:szCs w:val="2"/>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02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2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58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125,101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$ 2,533,247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2,556,987</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(2,336)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5,089,149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368,283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5,457,432</w:t>
            </w: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($0.3125 per share)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(39,180)</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(39,180)</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stock pursuant to incentive and purchase plans, net of</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(10,443)</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for taxes</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5,669</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Contribution related to formation of San Mateo, net of tax of $0.6</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million (see Note 6)</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less-than-wholly-</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(33,810)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(33,810)</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owned subsidiaries</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240,085</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262,247</w:t>
            </w: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125,329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$ 2,534,016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2,757,892</w:t>
            </w:r>
          </w:p>
        </w:tc>
        <w:tc>
          <w:tcPr>
            <w:tcW w:w="8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(5,669)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5,287,492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356,635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5,644,127</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7480" w:type="dxa"/>
            <w:vAlign w:val="bottom"/>
          </w:tcPr>
          <w:p>
            <w:pPr>
              <w:jc w:val="center"/>
              <w:ind w:left="1139"/>
              <w:spacing w:after="0"/>
              <w:rPr>
                <w:sz w:val="20"/>
                <w:szCs w:val="20"/>
                <w:color w:val="auto"/>
              </w:rPr>
            </w:pPr>
            <w:r>
              <w:rPr>
                <w:rFonts w:ascii="Times New Roman" w:cs="Times New Roman" w:eastAsia="Times New Roman" w:hAnsi="Times New Roman"/>
                <w:sz w:val="18"/>
                <w:szCs w:val="18"/>
                <w:b w:val="1"/>
                <w:bCs w:val="1"/>
                <w:color w:val="auto"/>
                <w:w w:val="99"/>
              </w:rPr>
              <w:t>Matador Resources Company and Subsidiaries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42"/>
        </w:trPr>
        <w:tc>
          <w:tcPr>
            <w:tcW w:w="1280" w:type="dxa"/>
            <w:vAlign w:val="bottom"/>
          </w:tcPr>
          <w:p>
            <w:pPr>
              <w:spacing w:after="0"/>
              <w:rPr>
                <w:sz w:val="24"/>
                <w:szCs w:val="24"/>
                <w:color w:val="auto"/>
              </w:rPr>
            </w:pPr>
          </w:p>
        </w:tc>
        <w:tc>
          <w:tcPr>
            <w:tcW w:w="7800" w:type="dxa"/>
            <w:vAlign w:val="bottom"/>
            <w:gridSpan w:val="2"/>
          </w:tcPr>
          <w:p>
            <w:pPr>
              <w:jc w:val="center"/>
              <w:ind w:left="799"/>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 UNAUDITED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7480" w:type="dxa"/>
            <w:vAlign w:val="bottom"/>
          </w:tcPr>
          <w:p>
            <w:pPr>
              <w:jc w:val="center"/>
              <w:ind w:left="1119"/>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88"/>
        </w:trPr>
        <w:tc>
          <w:tcPr>
            <w:tcW w:w="128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340" w:type="dxa"/>
            <w:vAlign w:val="bottom"/>
            <w:gridSpan w:val="5"/>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r>
      <w:tr>
        <w:trPr>
          <w:trHeight w:val="238"/>
        </w:trPr>
        <w:tc>
          <w:tcPr>
            <w:tcW w:w="128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74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8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95"/>
        </w:trPr>
        <w:tc>
          <w:tcPr>
            <w:tcW w:w="87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Net (loss) income</w:t>
            </w: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(15,818)</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262,247</w:t>
            </w:r>
          </w:p>
        </w:tc>
      </w:tr>
      <w:tr>
        <w:trPr>
          <w:trHeight w:val="210"/>
        </w:trPr>
        <w:tc>
          <w:tcPr>
            <w:tcW w:w="8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95"/>
        </w:trPr>
        <w:tc>
          <w:tcPr>
            <w:tcW w:w="87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Unrealized loss (gain) on derivatives</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(5,071)</w:t>
            </w:r>
          </w:p>
        </w:tc>
      </w:tr>
      <w:tr>
        <w:trPr>
          <w:trHeight w:val="210"/>
        </w:trPr>
        <w:tc>
          <w:tcPr>
            <w:tcW w:w="8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Depletion, depreciation and amortization</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281,891</w:t>
            </w:r>
          </w:p>
        </w:tc>
      </w:tr>
      <w:tr>
        <w:trPr>
          <w:trHeight w:val="195"/>
        </w:trPr>
        <w:tc>
          <w:tcPr>
            <w:tcW w:w="87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Accretion of asset retirement obligations</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1,727</w:t>
            </w:r>
          </w:p>
        </w:tc>
      </w:tr>
      <w:tr>
        <w:trPr>
          <w:trHeight w:val="210"/>
        </w:trPr>
        <w:tc>
          <w:tcPr>
            <w:tcW w:w="8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3,888</w:t>
            </w:r>
          </w:p>
        </w:tc>
      </w:tr>
      <w:tr>
        <w:trPr>
          <w:trHeight w:val="195"/>
        </w:trPr>
        <w:tc>
          <w:tcPr>
            <w:tcW w:w="87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Deferred income tax (benefit) provision</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59,940</w:t>
            </w:r>
          </w:p>
        </w:tc>
      </w:tr>
      <w:tr>
        <w:trPr>
          <w:trHeight w:val="195"/>
        </w:trPr>
        <w:tc>
          <w:tcPr>
            <w:tcW w:w="87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Amortization of debt issuance cost and other debt-related costs</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3,663</w:t>
            </w:r>
          </w:p>
        </w:tc>
      </w:tr>
      <w:tr>
        <w:trPr>
          <w:trHeight w:val="210"/>
        </w:trPr>
        <w:tc>
          <w:tcPr>
            <w:tcW w:w="8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non-cash changes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209</w:t>
            </w:r>
          </w:p>
        </w:tc>
      </w:tr>
      <w:tr>
        <w:trPr>
          <w:trHeight w:val="195"/>
        </w:trPr>
        <w:tc>
          <w:tcPr>
            <w:tcW w:w="87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0"/>
        </w:trPr>
        <w:tc>
          <w:tcPr>
            <w:tcW w:w="87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Accounts receivable, prepaid expenses and other current assets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19,629</w:t>
            </w:r>
          </w:p>
        </w:tc>
      </w:tr>
      <w:tr>
        <w:trPr>
          <w:trHeight w:val="195"/>
        </w:trPr>
        <w:tc>
          <w:tcPr>
            <w:tcW w:w="87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Lease and well equipment inventory</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(10,833)</w:t>
            </w:r>
          </w:p>
        </w:tc>
      </w:tr>
      <w:tr>
        <w:trPr>
          <w:trHeight w:val="210"/>
        </w:trPr>
        <w:tc>
          <w:tcPr>
            <w:tcW w:w="87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Other long-term assets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r>
      <w:tr>
        <w:trPr>
          <w:trHeight w:val="195"/>
        </w:trPr>
        <w:tc>
          <w:tcPr>
            <w:tcW w:w="87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Accounts payable, accrued liabilities and other current liabilities</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44,093</w:t>
            </w:r>
          </w:p>
        </w:tc>
      </w:tr>
      <w:tr>
        <w:trPr>
          <w:trHeight w:val="210"/>
        </w:trPr>
        <w:tc>
          <w:tcPr>
            <w:tcW w:w="87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Royalties payable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32,241</w:t>
            </w:r>
          </w:p>
        </w:tc>
      </w:tr>
      <w:tr>
        <w:trPr>
          <w:trHeight w:val="195"/>
        </w:trPr>
        <w:tc>
          <w:tcPr>
            <w:tcW w:w="87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Advances from joint interest owners</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32,504</w:t>
            </w:r>
          </w:p>
        </w:tc>
      </w:tr>
      <w:tr>
        <w:trPr>
          <w:trHeight w:val="210"/>
        </w:trPr>
        <w:tc>
          <w:tcPr>
            <w:tcW w:w="87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1,943</w:t>
            </w:r>
          </w:p>
        </w:tc>
      </w:tr>
      <w:tr>
        <w:trPr>
          <w:trHeight w:val="189"/>
        </w:trPr>
        <w:tc>
          <w:tcPr>
            <w:tcW w:w="1280" w:type="dxa"/>
            <w:vAlign w:val="bottom"/>
          </w:tcPr>
          <w:p>
            <w:pPr>
              <w:spacing w:after="0"/>
              <w:rPr>
                <w:sz w:val="16"/>
                <w:szCs w:val="16"/>
                <w:color w:val="auto"/>
              </w:rPr>
            </w:pPr>
          </w:p>
        </w:tc>
        <w:tc>
          <w:tcPr>
            <w:tcW w:w="7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470,546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727,879</w:t>
            </w:r>
          </w:p>
        </w:tc>
      </w:tr>
      <w:tr>
        <w:trPr>
          <w:trHeight w:val="210"/>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95"/>
        </w:trPr>
        <w:tc>
          <w:tcPr>
            <w:tcW w:w="87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Drilling, completion and equipping capital expenditures</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(377,375)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(378,362)</w:t>
            </w:r>
          </w:p>
        </w:tc>
      </w:tr>
      <w:tr>
        <w:trPr>
          <w:trHeight w:val="210"/>
        </w:trPr>
        <w:tc>
          <w:tcPr>
            <w:tcW w:w="8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Acquisition of oil and natural gas properties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(81,662)</w:t>
            </w:r>
          </w:p>
        </w:tc>
      </w:tr>
      <w:tr>
        <w:trPr>
          <w:trHeight w:val="195"/>
        </w:trPr>
        <w:tc>
          <w:tcPr>
            <w:tcW w:w="87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Midstream capital expenditures</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(72,934)</w:t>
            </w:r>
          </w:p>
        </w:tc>
      </w:tr>
      <w:tr>
        <w:trPr>
          <w:trHeight w:val="210"/>
        </w:trPr>
        <w:tc>
          <w:tcPr>
            <w:tcW w:w="8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Expenditures for other property and equipment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r>
      <w:tr>
        <w:trPr>
          <w:trHeight w:val="196"/>
        </w:trPr>
        <w:tc>
          <w:tcPr>
            <w:tcW w:w="8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22,238</w:t>
            </w:r>
          </w:p>
        </w:tc>
      </w:tr>
      <w:tr>
        <w:trPr>
          <w:trHeight w:val="203"/>
        </w:trPr>
        <w:tc>
          <w:tcPr>
            <w:tcW w:w="1280" w:type="dxa"/>
            <w:vAlign w:val="bottom"/>
            <w:shd w:val="clear" w:color="auto" w:fill="CCEEFF"/>
          </w:tcPr>
          <w:p>
            <w:pPr>
              <w:spacing w:after="0"/>
              <w:rPr>
                <w:sz w:val="17"/>
                <w:szCs w:val="17"/>
                <w:color w:val="auto"/>
              </w:rPr>
            </w:pP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(457,938)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(511,662)</w:t>
            </w:r>
          </w:p>
        </w:tc>
      </w:tr>
      <w:tr>
        <w:trPr>
          <w:trHeight w:val="195"/>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0"/>
        </w:trPr>
        <w:tc>
          <w:tcPr>
            <w:tcW w:w="8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Repayments of borrowings under Credit Agreement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(595,500)</w:t>
            </w:r>
          </w:p>
        </w:tc>
      </w:tr>
      <w:tr>
        <w:trPr>
          <w:trHeight w:val="195"/>
        </w:trPr>
        <w:tc>
          <w:tcPr>
            <w:tcW w:w="87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Borrowings under Credit Agreement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405,000</w:t>
            </w:r>
          </w:p>
        </w:tc>
      </w:tr>
      <w:tr>
        <w:trPr>
          <w:trHeight w:val="210"/>
        </w:trPr>
        <w:tc>
          <w:tcPr>
            <w:tcW w:w="8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Repayments of borrowings under San Mateo Credit Facility</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r>
      <w:tr>
        <w:trPr>
          <w:trHeight w:val="195"/>
        </w:trPr>
        <w:tc>
          <w:tcPr>
            <w:tcW w:w="87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Borrowings under San Mateo Credit Facility</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140,000</w:t>
            </w:r>
          </w:p>
        </w:tc>
      </w:tr>
      <w:tr>
        <w:trPr>
          <w:trHeight w:val="210"/>
        </w:trPr>
        <w:tc>
          <w:tcPr>
            <w:tcW w:w="8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to amend credit facilities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7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Proceeds from issuance of senior unsecured notes</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to issue senior unsecured notes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7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Purchase of senior unsecured notes</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(509,670)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sale-leaseback financing obligation</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7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Dividends paid</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(39,180)</w:t>
            </w:r>
          </w:p>
        </w:tc>
      </w:tr>
      <w:tr>
        <w:trPr>
          <w:trHeight w:val="195"/>
        </w:trPr>
        <w:tc>
          <w:tcPr>
            <w:tcW w:w="87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Contributions related to formation of San Mateo</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2,800</w:t>
            </w:r>
          </w:p>
        </w:tc>
      </w:tr>
      <w:tr>
        <w:trPr>
          <w:trHeight w:val="210"/>
        </w:trPr>
        <w:tc>
          <w:tcPr>
            <w:tcW w:w="8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Distributions to non-controlling interest owners of less-than-wholly-owned subsidiaries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(35,661)</w:t>
            </w:r>
          </w:p>
        </w:tc>
      </w:tr>
      <w:tr>
        <w:trPr>
          <w:trHeight w:val="195"/>
        </w:trPr>
        <w:tc>
          <w:tcPr>
            <w:tcW w:w="87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Taxes paid related to net share settlement of stock-based compensation</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(10,545)</w:t>
            </w:r>
          </w:p>
        </w:tc>
      </w:tr>
      <w:tr>
        <w:trPr>
          <w:trHeight w:val="210"/>
        </w:trPr>
        <w:tc>
          <w:tcPr>
            <w:tcW w:w="8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190"/>
        </w:trPr>
        <w:tc>
          <w:tcPr>
            <w:tcW w:w="1280" w:type="dxa"/>
            <w:vAlign w:val="bottom"/>
            <w:tcBorders>
              <w:bottom w:val="single" w:sz="8" w:color="CCEEFF"/>
            </w:tcBorders>
          </w:tcPr>
          <w:p>
            <w:pPr>
              <w:spacing w:after="0"/>
              <w:rPr>
                <w:sz w:val="16"/>
                <w:szCs w:val="16"/>
                <w:color w:val="auto"/>
              </w:rPr>
            </w:pPr>
          </w:p>
        </w:tc>
        <w:tc>
          <w:tcPr>
            <w:tcW w:w="74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(233,443)</w:t>
            </w:r>
          </w:p>
        </w:tc>
      </w:tr>
      <w:tr>
        <w:trPr>
          <w:trHeight w:val="20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cash and restricted cash</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(17,226)</w:t>
            </w:r>
          </w:p>
        </w:tc>
      </w:tr>
      <w:tr>
        <w:trPr>
          <w:trHeight w:val="196"/>
        </w:trPr>
        <w:tc>
          <w:tcPr>
            <w:tcW w:w="8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and restricted cash at beginning of period</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79,477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94,742</w:t>
            </w:r>
          </w:p>
        </w:tc>
      </w:tr>
      <w:tr>
        <w:trPr>
          <w:trHeight w:val="221"/>
        </w:trPr>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 at end of period</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92,472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77,516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12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has operations in the Haynesville shale and Cotton Valley plays in Northwest Louisiana. Additionally, the Company conducts midstream operations primarily through its midstream joint venture, San Mateo Midstream, LLC and its subsidiaries (“San Mateo”), in support of, and to provide flow assurance for, the Company’s exploration, development and production operations, and San Mateo provides natural gas processing, oil transportation services, oil, natural gas and produced water gathering services and produced water disposal services to third parties.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Interim Financial Statements, Basis of Presentation, Consolidation and Significant Estimates</w:t>
      </w:r>
    </w:p>
    <w:p>
      <w:pPr>
        <w:spacing w:after="0" w:line="11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2025 filed with the SEC on February 26, 2026 (the “Annual Report”).</w:t>
      </w:r>
    </w:p>
    <w:p>
      <w:pPr>
        <w:spacing w:after="0" w:line="75"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 xml:space="preserve">The Company consolidates certain subsidiaries and joint ventures that are less-than-wholly-owned and are not involved in oil and natural gas exploration, including San Mateo, and the net income and equity attributable to the non-controlling interest in these subsidiaries have been reported separately as required by Accounting Standards Codification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proportionately consolidates certain joint ventures that are less-than-wholly-owned and are involved in oil and natural gas exploration. All intercompany accounts and transactions have been eliminated in consolidation.</w:t>
      </w:r>
    </w:p>
    <w:p>
      <w:pPr>
        <w:spacing w:after="0" w:line="75"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Certain reclassifications to captions within the interim unaudited condensed consolidated balance sheets, statements of operations and statements of changes in shareholders’ equity have been made to the prior period’s financial statements to conform to the current period presentation. These reclassifications had no effect on previously reported results of operations, cash flows or retained earnings. In management’s opinion, these interim unaudited condensed consolidated financial statements include all normal, recurring adjustments that are necessary for a fair presentation of the Company’s interim unaudited condensed consolidated financial statements as of March 31, 2026. Amounts as of December 31, 2025 are derived from the Company’s audited consolidated financial statements included in the Annual Report.</w:t>
      </w:r>
    </w:p>
    <w:p>
      <w:pPr>
        <w:spacing w:after="0" w:line="79"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oil and natural gas revenues, accrued assets and liabilities, stock-based compensation, valuation of derivative instruments, deferred tax assets and liabilities, purchase price allocations and oil and natural gas reserves. The estimates of oil and natural gas reserves quantities and future net cash flows are the basis for the calculations of depletion and impairment of oil and natural gas properties, as well as estimates in the purchase price allocations and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119"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total revenues and revenues from contracts with customers on a disaggregated basis for the three months ended March 31, 2026 and 2025 (in thousands).</w:t>
      </w:r>
    </w:p>
    <w:p>
      <w:pPr>
        <w:spacing w:after="0" w:line="171"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6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941,604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1,006,173</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(loss) gain on derivatives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w:t>
            </w:r>
          </w:p>
        </w:tc>
      </w:tr>
      <w:tr>
        <w:trPr>
          <w:trHeight w:val="223"/>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671,637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1,013,958</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6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749,322</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revenues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160,596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33,499</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62,756</w:t>
            </w:r>
          </w:p>
        </w:tc>
      </w:tr>
      <w:tr>
        <w:trPr>
          <w:trHeight w:val="248"/>
        </w:trPr>
        <w:tc>
          <w:tcPr>
            <w:tcW w:w="82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revenues from contracts with customers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941,604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1,006,173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Property and Equipment</w:t>
      </w:r>
    </w:p>
    <w:p>
      <w:pPr>
        <w:spacing w:after="0" w:line="11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each of the three months ended March 31, 2026 and 2025, the cost center ceiling was higher than the capitalized costs of oil and natural gas properties, and, as a result, no impairment charge was necessary.</w:t>
      </w:r>
    </w:p>
    <w:p>
      <w:pPr>
        <w:spacing w:after="0" w:line="75" w:lineRule="exact"/>
        <w:rPr>
          <w:sz w:val="20"/>
          <w:szCs w:val="20"/>
          <w:color w:val="auto"/>
        </w:rPr>
      </w:pPr>
    </w:p>
    <w:p>
      <w:pPr>
        <w:jc w:val="both"/>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Company capitalized approximately $21.1 million and $17.5 million of its general and administrative costs for the three months ended March 31, 2026 and 2025, respectively. The Company capitalized approximately $7.0 million and $8.7 million of its interest expense for the three months ended March 31, 2026 and 2025,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(Loss) Earnings Per Common Share</w:t>
      </w:r>
    </w:p>
    <w:p>
      <w:pPr>
        <w:spacing w:after="0" w:line="119" w:lineRule="exact"/>
        <w:rPr>
          <w:sz w:val="20"/>
          <w:szCs w:val="20"/>
          <w:color w:val="auto"/>
        </w:rPr>
      </w:pPr>
    </w:p>
    <w:p>
      <w:pPr>
        <w:jc w:val="both"/>
        <w:ind w:right="80" w:firstLine="445"/>
        <w:spacing w:after="0" w:line="266" w:lineRule="auto"/>
        <w:rPr>
          <w:sz w:val="20"/>
          <w:szCs w:val="20"/>
          <w:color w:val="auto"/>
        </w:rPr>
      </w:pPr>
      <w:r>
        <w:rPr>
          <w:rFonts w:ascii="Times New Roman" w:cs="Times New Roman" w:eastAsia="Times New Roman" w:hAnsi="Times New Roman"/>
          <w:sz w:val="18"/>
          <w:szCs w:val="18"/>
          <w:color w:val="auto"/>
        </w:rPr>
        <w:t>The Company reports basic (loss) earnings attributable to Matador shareholders per common share, which excludes the effect of potentially dilutive securities, and diluted (loss) earnings attributable to Matador shareholders per common share, which includes the effect of all potentially dilutive securities unless their impact is anti-dilutive.</w:t>
      </w:r>
    </w:p>
    <w:p>
      <w:pPr>
        <w:spacing w:after="0" w:line="68"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diluted weighted average common shares outstanding for the three months ended March 31, 2026 and 2025 (in thousands).</w:t>
      </w:r>
    </w:p>
    <w:p>
      <w:pPr>
        <w:spacing w:after="0" w:line="96"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468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123,480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125,189</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effect of options and restricted stock units</w:t>
            </w:r>
          </w:p>
        </w:tc>
        <w:tc>
          <w:tcPr>
            <w:tcW w:w="3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3"/>
        </w:trPr>
        <w:tc>
          <w:tcPr>
            <w:tcW w:w="5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32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123,480</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125,342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240" w:type="dxa"/>
            <w:vAlign w:val="bottom"/>
            <w:vMerge w:val="restart"/>
          </w:tcPr>
          <w:p>
            <w:pPr>
              <w:jc w:val="right"/>
              <w:ind w:right="2510"/>
              <w:spacing w:after="0"/>
              <w:rPr>
                <w:sz w:val="20"/>
                <w:szCs w:val="20"/>
                <w:color w:val="auto"/>
              </w:rPr>
            </w:pPr>
            <w:r>
              <w:rPr>
                <w:rFonts w:ascii="Times New Roman" w:cs="Times New Roman" w:eastAsia="Times New Roman" w:hAnsi="Times New Roman"/>
                <w:sz w:val="18"/>
                <w:szCs w:val="18"/>
                <w:color w:val="auto"/>
              </w:rPr>
              <w:t>9</w:t>
            </w: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02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ASSET RETIREMENT OBLIGATIONS</w:t>
      </w:r>
    </w:p>
    <w:p>
      <w:pPr>
        <w:spacing w:after="0" w:line="351" w:lineRule="exact"/>
        <w:rPr>
          <w:sz w:val="20"/>
          <w:szCs w:val="20"/>
          <w:color w:val="auto"/>
        </w:rPr>
      </w:pPr>
    </w:p>
    <w:p>
      <w:pPr>
        <w:ind w:right="8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asset retirement obligations for the three months ended March 31, 2026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asset retirement obligations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150,372</w:t>
            </w:r>
          </w:p>
        </w:tc>
      </w:tr>
      <w:tr>
        <w:trPr>
          <w:trHeight w:val="230"/>
        </w:trPr>
        <w:tc>
          <w:tcPr>
            <w:tcW w:w="10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incurred during period</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29"/>
        </w:trPr>
        <w:tc>
          <w:tcPr>
            <w:tcW w:w="10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 settled during period</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10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Accretion expense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w:t>
            </w:r>
          </w:p>
        </w:tc>
      </w:tr>
      <w:tr>
        <w:trPr>
          <w:trHeight w:val="223"/>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asset retirement obligations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155,066</w:t>
            </w:r>
          </w:p>
        </w:tc>
      </w:tr>
      <w:tr>
        <w:trPr>
          <w:trHeight w:val="229"/>
        </w:trPr>
        <w:tc>
          <w:tcPr>
            <w:tcW w:w="102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current asset retirement obligations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w:t>
            </w:r>
          </w:p>
        </w:tc>
      </w:tr>
      <w:tr>
        <w:trPr>
          <w:trHeight w:val="248"/>
        </w:trPr>
        <w:tc>
          <w:tcPr>
            <w:tcW w:w="10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asset retirement obligations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150,117</w:t>
            </w:r>
          </w:p>
        </w:tc>
      </w:tr>
      <w:tr>
        <w:trPr>
          <w:trHeight w:val="20"/>
        </w:trPr>
        <w:tc>
          <w:tcPr>
            <w:tcW w:w="10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_______________</w:t>
      </w:r>
    </w:p>
    <w:p>
      <w:pPr>
        <w:spacing w:after="0" w:line="120"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liabilities in the Company’s interim unaudited condensed consolidated balance sheet at March 31, 2026.</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121"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The components of debt, including the effects of issuance costs and discounts, net as of March 31, 2026 and December 31, 2025, are set forth below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17"/>
                <w:szCs w:val="17"/>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6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agreements: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Credit Agreement due 2029</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398,000</w:t>
            </w:r>
          </w:p>
        </w:tc>
      </w:tr>
      <w:tr>
        <w:trPr>
          <w:trHeight w:val="229"/>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San Mateo Credit Facility due 2029</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883,000</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6.875% senior notes due 2028 (the “2028 Notes”)</w:t>
            </w: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6.500% senior notes due 2032 (the “2032 Notes”)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29"/>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6.250% senior notes due 2033 (the “2033 Notes”)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6.000% senior notes due 2034 (the “2034 Notes”)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costs and discounts, net</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(28,898)</w:t>
            </w:r>
          </w:p>
        </w:tc>
      </w:tr>
      <w:tr>
        <w:trPr>
          <w:trHeight w:val="223"/>
        </w:trPr>
        <w:tc>
          <w:tcPr>
            <w:tcW w:w="76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senior unsecured notes payable</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2,365,941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2,121,102</w:t>
            </w:r>
          </w:p>
        </w:tc>
      </w:tr>
      <w:tr>
        <w:trPr>
          <w:trHeight w:val="248"/>
        </w:trPr>
        <w:tc>
          <w:tcPr>
            <w:tcW w:w="76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long-term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3,468,941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3,402,102</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Agreements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MRC Energy Company</w:t>
      </w:r>
    </w:p>
    <w:p>
      <w:pPr>
        <w:spacing w:after="0" w:line="11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At March 31, 2026, the Company had $185.0 million in borrowings outstanding under the Company’s reserves-based revolving credit facility (the “Credit Agreement”) and approximately $53.8 million in outstanding letters of credit issued pursuant to the Credit Agreement. Since March 31, 2026, the Company repaid $140.0 million of borrowings under the Credit Agreement, and at May 6, 2026, the Company had $45.0 million in borrowings outstanding under the Credit Agreement.</w:t>
      </w:r>
    </w:p>
    <w:p>
      <w:pPr>
        <w:spacing w:after="0" w:line="72"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The outstanding borrowings under the Credit Agreement mature on March 22, 2029. 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w:t>
      </w:r>
    </w:p>
    <w:p>
      <w:pPr>
        <w:spacing w:after="0" w:line="72" w:lineRule="exact"/>
        <w:rPr>
          <w:sz w:val="20"/>
          <w:szCs w:val="20"/>
          <w:color w:val="auto"/>
        </w:rPr>
      </w:pPr>
    </w:p>
    <w:p>
      <w:pPr>
        <w:jc w:val="both"/>
        <w:ind w:right="140" w:firstLine="445"/>
        <w:spacing w:after="0" w:line="258" w:lineRule="auto"/>
        <w:rPr>
          <w:sz w:val="20"/>
          <w:szCs w:val="20"/>
          <w:color w:val="auto"/>
        </w:rPr>
      </w:pPr>
      <w:r>
        <w:rPr>
          <w:rFonts w:ascii="Times New Roman" w:cs="Times New Roman" w:eastAsia="Times New Roman" w:hAnsi="Times New Roman"/>
          <w:sz w:val="18"/>
          <w:szCs w:val="18"/>
          <w:color w:val="auto"/>
        </w:rPr>
        <w:t>The Credit Agreement requires the Company to maintain (i) a current ratio, which is defined as (x) total consolidated current assets plus the unused availability under the Credit Agreement divided by (y) total consolidated current liabilities less current maturities of debt, of not less than 1.0 at the end of each fiscal quarter, and (ii) a debt to EBITDA ratio, which is defined as debt outstanding (net of up to the greater of $150.0 million or 10% of the elected borrowing commitments of unrestricted cash and cash equivalents), divided by a rolling four quarter EBITDA calculation, of 3.5 or less at the end of each fiscal quarter. The Company was in compliance with the terms of the Credit Agreement at March 31,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 — Continued</w:t>
      </w:r>
    </w:p>
    <w:p>
      <w:pPr>
        <w:spacing w:after="0" w:line="200" w:lineRule="exact"/>
        <w:rPr>
          <w:sz w:val="20"/>
          <w:szCs w:val="20"/>
          <w:color w:val="auto"/>
        </w:rPr>
      </w:pPr>
    </w:p>
    <w:p>
      <w:pPr>
        <w:spacing w:after="0" w:line="2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San Mateo Midstream, LLC</w:t>
      </w:r>
    </w:p>
    <w:p>
      <w:pPr>
        <w:spacing w:after="0" w:line="119" w:lineRule="exact"/>
        <w:rPr>
          <w:sz w:val="20"/>
          <w:szCs w:val="20"/>
          <w:color w:val="auto"/>
        </w:rPr>
      </w:pPr>
    </w:p>
    <w:p>
      <w:pPr>
        <w:ind w:right="340" w:firstLine="445"/>
        <w:spacing w:after="0" w:line="261" w:lineRule="auto"/>
        <w:rPr>
          <w:sz w:val="20"/>
          <w:szCs w:val="20"/>
          <w:color w:val="auto"/>
        </w:rPr>
      </w:pPr>
      <w:r>
        <w:rPr>
          <w:rFonts w:ascii="Times New Roman" w:cs="Times New Roman" w:eastAsia="Times New Roman" w:hAnsi="Times New Roman"/>
          <w:sz w:val="18"/>
          <w:szCs w:val="18"/>
          <w:color w:val="auto"/>
        </w:rPr>
        <w:t>At March 31, 2026, San Mateo had $918.0 million in borrowings outstanding under its secured revolving credit facility (the “San Mateo Credit Facility”) and approximately $15.4 million in outstanding letters of credit issued pursuant to the San Mateo Credit Facility. Since March 31, 2026, San Mateo repaid $58.0 million of borrowings under the San Mateo Credit Facility, and at May 6, 2026, San Mateo had $860.0 million in borrowings outstanding under the San Mateo Credit Facility.</w:t>
      </w:r>
    </w:p>
    <w:p>
      <w:pPr>
        <w:spacing w:after="0" w:line="72"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San Mateo Credit Facility is non-recourse with respect to Matador and its other subsidiaries but is guaranteed by San Mateo’s subsidiaries and secured by substantially all of San Mateo’s assets, including real property. The outstanding borrowings under the San Mateo Credit Facility mature on November 26, 2029.</w:t>
      </w:r>
    </w:p>
    <w:p>
      <w:pPr>
        <w:spacing w:after="0" w:line="68" w:lineRule="exact"/>
        <w:rPr>
          <w:sz w:val="20"/>
          <w:szCs w:val="20"/>
          <w:color w:val="auto"/>
        </w:rPr>
      </w:pPr>
    </w:p>
    <w:p>
      <w:pPr>
        <w:ind w:right="200" w:firstLine="445"/>
        <w:spacing w:after="0" w:line="255" w:lineRule="auto"/>
        <w:rPr>
          <w:sz w:val="20"/>
          <w:szCs w:val="20"/>
          <w:color w:val="auto"/>
        </w:rPr>
      </w:pPr>
      <w:r>
        <w:rPr>
          <w:rFonts w:ascii="Times New Roman" w:cs="Times New Roman" w:eastAsia="Times New Roman" w:hAnsi="Times New Roman"/>
          <w:sz w:val="18"/>
          <w:szCs w:val="18"/>
          <w:color w:val="auto"/>
        </w:rPr>
        <w:t>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debt to EBITDA ratio is greater than 4.50 or San Mateo’s liquidity is less than 10% of the lender commitments under the San Mateo Credit Facility. San Mateo was in compliance with the terms of the San Mateo Credit Facility at March 31, 2026.</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Unsecured Notes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2028 Notes Tender Offer and Redemption</w:t>
      </w:r>
    </w:p>
    <w:p>
      <w:pPr>
        <w:spacing w:after="0" w:line="119" w:lineRule="exact"/>
        <w:rPr>
          <w:sz w:val="20"/>
          <w:szCs w:val="20"/>
          <w:color w:val="auto"/>
        </w:rPr>
      </w:pPr>
    </w:p>
    <w:p>
      <w:pPr>
        <w:ind w:firstLine="445"/>
        <w:spacing w:after="0" w:line="269" w:lineRule="auto"/>
        <w:rPr>
          <w:sz w:val="20"/>
          <w:szCs w:val="20"/>
          <w:color w:val="auto"/>
        </w:rPr>
      </w:pPr>
      <w:r>
        <w:rPr>
          <w:rFonts w:ascii="Times New Roman" w:cs="Times New Roman" w:eastAsia="Times New Roman" w:hAnsi="Times New Roman"/>
          <w:sz w:val="17"/>
          <w:szCs w:val="17"/>
          <w:color w:val="auto"/>
        </w:rPr>
        <w:t>In March 2026, the Company completed the repurchase of an aggregate principal amount of $419.8 million of the $500.0 million of the 2028 Notes pursuant to the Company’s cash tender offer announced on February 26, 2026 (the “2028 Notes Tender Offer”). Additionally, in March 2026, the Company irrevocably deposited funds with the trustee to redeem the remaining aggregate principal amount of $80.2 million of 2028 Notes outstanding on April 15, 2026 (the “2028 Notes Redemption”), and as a result of such deposit, to satisfy and discharge the Company’s obligations under the indenture governing the 2028 Notes. In connection with the 2028 Notes Tender Offer and 2028 Notes Redemption, the Company incurred a loss on debt extinguishment of</w:t>
      </w:r>
    </w:p>
    <w:p>
      <w:pPr>
        <w:spacing w:after="0" w:line="3"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$15.6 million, including a $9.7 million cash prepayment premium and a $5.9 million write-off of remaining unamortized deferred issuance costs and discounts.</w:t>
      </w:r>
    </w:p>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2034 Notes</w:t>
      </w:r>
    </w:p>
    <w:p>
      <w:pPr>
        <w:spacing w:after="0" w:line="119" w:lineRule="exact"/>
        <w:rPr>
          <w:sz w:val="20"/>
          <w:szCs w:val="20"/>
          <w:color w:val="auto"/>
        </w:rPr>
      </w:pPr>
    </w:p>
    <w:p>
      <w:pPr>
        <w:jc w:val="both"/>
        <w:ind w:right="60" w:firstLine="445"/>
        <w:spacing w:after="0" w:line="261" w:lineRule="auto"/>
        <w:rPr>
          <w:sz w:val="20"/>
          <w:szCs w:val="20"/>
          <w:color w:val="auto"/>
        </w:rPr>
      </w:pPr>
      <w:r>
        <w:rPr>
          <w:rFonts w:ascii="Times New Roman" w:cs="Times New Roman" w:eastAsia="Times New Roman" w:hAnsi="Times New Roman"/>
          <w:sz w:val="18"/>
          <w:szCs w:val="18"/>
          <w:color w:val="auto"/>
        </w:rPr>
        <w:t>On March 5, 2026, the Company completed the sale of $750.0 million in aggregate principal amount of the 2034 Notes, which have a 6.0% coupon rate and mature on April 15, 2034. Interest is payable in arrears on each April 15 and October 15. The first interest payment date will be October 15, 2026. The 2034 Notes are jointly and severally guaranteed on a senior unsecured basis by certain subsidiaries of the Company (the “Guarantors”). San Mateo is not a Restricted Subsidiary (as defined in the indenture governing the 2034 Notes (the “2034 Notes Indenture”)) or Guarantor of the 2034 Notes.</w:t>
      </w:r>
    </w:p>
    <w:p>
      <w:pPr>
        <w:spacing w:after="0" w:line="72"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The Company used the net proceeds from the sale of the 2034 Notes of $737.9 million, after deducting initial purchasers’ discounts and estimated offering expenses, to fund the 2028 Notes Tender Offer and 2028 Notes Redemption and for general corporate purposes.</w:t>
      </w:r>
    </w:p>
    <w:p>
      <w:pPr>
        <w:spacing w:after="0" w:line="54"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At any time prior to April 15, 2029, the Company may redeem up to 40% in aggregate principal amount of the 2034 Notes at a redemption price of 106.0% of the principal amount thereof, plus accrued and unpaid interest, if any, to the redemption date, in an amount not greater than the net proceeds of certain equity offerings, so long as the redemption occurs within 180 days of completing such equity offering and at least 60% of the aggregate principal amount of the 2034 Notes remains outstanding immediately after such redemption. In addition, at any time prior to April 15, 2029, the Company may redeem all or part of the 2034 Notes for cash at a redemption price equal to 100% of their principal amount plus an applicable make-whole premium and accrued and unpaid interest, if any, to the applicable redemption date.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 — Continued</w:t>
      </w:r>
    </w:p>
    <w:p>
      <w:pPr>
        <w:spacing w:after="0" w:line="200" w:lineRule="exact"/>
        <w:rPr>
          <w:sz w:val="20"/>
          <w:szCs w:val="20"/>
          <w:color w:val="auto"/>
        </w:rPr>
      </w:pPr>
    </w:p>
    <w:p>
      <w:pPr>
        <w:spacing w:after="0" w:line="259"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On or after April 15, 2029, the Company may redeem all or a part of the 2034 Notes at any time or from time to time at the following redemption prices (expressed as percentages of the principal amount) plus accrued and unpaid interest, if any, to the applicable redemption date, if redeemed during the twelve-month period beginning on April 15 of the years indicated below:</w:t>
      </w:r>
    </w:p>
    <w:p>
      <w:pPr>
        <w:spacing w:after="0" w:line="104" w:lineRule="exact"/>
        <w:rPr>
          <w:sz w:val="20"/>
          <w:szCs w:val="20"/>
          <w:color w:val="auto"/>
        </w:rPr>
      </w:pPr>
    </w:p>
    <w:tbl>
      <w:tblPr>
        <w:tblLayout w:type="fixed"/>
        <w:tblInd w:w="3680" w:type="dxa"/>
        <w:tblCellMar>
          <w:top w:w="0" w:type="dxa"/>
          <w:left w:w="0" w:type="dxa"/>
          <w:bottom w:w="0" w:type="dxa"/>
          <w:right w:w="0" w:type="dxa"/>
        </w:tblCellMar>
      </w:tblPr>
      <w:tr>
        <w:trPr>
          <w:trHeight w:val="238"/>
        </w:trPr>
        <w:tc>
          <w:tcPr>
            <w:tcW w:w="22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 Price</w:t>
            </w:r>
          </w:p>
        </w:tc>
      </w:tr>
      <w:tr>
        <w:trPr>
          <w:trHeight w:val="223"/>
        </w:trPr>
        <w:tc>
          <w:tcPr>
            <w:tcW w:w="2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103.0%</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r>
      <w:tr>
        <w:trPr>
          <w:trHeight w:val="229"/>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71"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Subject to certain exceptions, the 2034 Notes Indenture contains various covenants that limit the Company’s and its Restricted Subsidiaries’ ability to take certain actions, including the following:</w:t>
      </w:r>
    </w:p>
    <w:p>
      <w:pPr>
        <w:spacing w:after="0" w:line="54"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certain investments;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that secure indebtedness;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w:t>
      </w:r>
    </w:p>
    <w:p>
      <w:pPr>
        <w:spacing w:after="0" w:line="117"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In the case of an event of default arising from certain events of bankruptcy or insolvency with respect to Matador, any Restricted Subsidiary that is a Significant Subsidiary (as defined in the 2034 Notes Indenture) or any group of Restricted Subsidiaries that, taken together, would constitute a Significant Subsidiary, all outstanding 2034 Notes will become due and payable immediately without further action or notice. If any other event of default occurs and is continuing, the trustee or the holders of at least 25% in principal amount of the then outstanding 2034 Notes may declare all the 2034 Notes to be due and payable immediately. Events of default include the following:</w:t>
      </w:r>
    </w:p>
    <w:p>
      <w:pPr>
        <w:spacing w:after="0" w:line="75"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on the 2034 Notes;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when due of the principal of, or premium, if any, on the 2034 Notes;</w:t>
      </w:r>
    </w:p>
    <w:p>
      <w:pPr>
        <w:spacing w:after="0" w:line="117" w:lineRule="exact"/>
        <w:rPr>
          <w:rFonts w:ascii="Times New Roman" w:cs="Times New Roman" w:eastAsia="Times New Roman" w:hAnsi="Times New Roman"/>
          <w:sz w:val="18"/>
          <w:szCs w:val="18"/>
          <w:color w:val="auto"/>
        </w:rPr>
      </w:pPr>
    </w:p>
    <w:p>
      <w:pPr>
        <w:ind w:left="340" w:right="48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obligations to offer to purchase or purchase 2034 Notes pursuant to the change of control or asset sale covenants of the 2034 Notes Indenture or to comply with the covenant relating to mergers;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for 180 days after notice to comply with its reporting obligations under the 2034 Notes Indenture;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for 60 days after notice to comply with any of the other agreements in the 2034 Notes Indenture;</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defaults and accelerations with respect to other indebtedness of the Company and its Restricted Subsidiaries in the aggregate principal amount of $100.0 million or more;</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or any Restricted Subsidiary to pay certain final judgments aggregating in excess of $100.0 million within 60 days;</w:t>
      </w:r>
    </w:p>
    <w:p>
      <w:pPr>
        <w:spacing w:after="0" w:line="117" w:lineRule="exact"/>
        <w:rPr>
          <w:rFonts w:ascii="Times New Roman" w:cs="Times New Roman" w:eastAsia="Times New Roman" w:hAnsi="Times New Roman"/>
          <w:sz w:val="18"/>
          <w:szCs w:val="18"/>
          <w:color w:val="auto"/>
        </w:rPr>
      </w:pPr>
    </w:p>
    <w:p>
      <w:pPr>
        <w:ind w:left="340" w:right="76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guarantee by a Guarantor ceases to be in full force and effect, is declared null and void in a judicial proceeding or is denied or disaffirmed by its maker; and</w:t>
      </w:r>
    </w:p>
    <w:p>
      <w:pPr>
        <w:spacing w:after="0" w:line="53"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with respect to the Company or any Restricted Subsidiary that is a Significant Subsidiary or any group of Restricted Subsidiaries that, taken together, would constitute a Significant Subsidiary.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INCOME TAXES</w:t>
      </w:r>
    </w:p>
    <w:p>
      <w:pPr>
        <w:spacing w:after="0" w:line="200" w:lineRule="exact"/>
        <w:rPr>
          <w:sz w:val="20"/>
          <w:szCs w:val="20"/>
          <w:color w:val="auto"/>
        </w:rPr>
      </w:pPr>
    </w:p>
    <w:p>
      <w:pPr>
        <w:spacing w:after="0" w:line="259"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recorded no current tax provision and a deferred income tax benefit of $0.7 million for the three months ended March 31, 2026. The Company recorded a current income tax provision of $23.0 million and a deferred income tax provision of $59.9 million for the three months ended March 31, 2025. The decrease in the current and deferred income tax provision for the three months ended March 31, 2026 compared to the respective period of 2025 was primarily the result of both lower book earnings and the One Big Beautiful Bill Act of 2025 (the “OBBBA”). See Note 8,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of the Company’s Annual Report for further details of the provisions of the OBBBA that most significantly affect its income taxes.</w:t>
      </w:r>
    </w:p>
    <w:p>
      <w:pPr>
        <w:spacing w:after="0" w:line="7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 of 2% for the three months ended March 31, 2026 differed from the U.S. federal statutory rate primarily due to the impact of permanent differences between book and tax income recognized discretely in the current period relative to the loss before income taxes. The Company’s effective tax rate of 26% for the three months ended March 31, 2025 differed from the U.S. federal statutory rate primarily due to state taxes in New Mexico.</w:t>
      </w:r>
    </w:p>
    <w:p>
      <w:pPr>
        <w:spacing w:after="0" w:line="72" w:lineRule="exact"/>
        <w:rPr>
          <w:sz w:val="20"/>
          <w:szCs w:val="20"/>
          <w:color w:val="auto"/>
        </w:rPr>
      </w:pPr>
    </w:p>
    <w:p>
      <w:pPr>
        <w:ind w:right="220" w:firstLine="405"/>
        <w:spacing w:after="0" w:line="271" w:lineRule="auto"/>
        <w:rPr>
          <w:sz w:val="20"/>
          <w:szCs w:val="20"/>
          <w:color w:val="auto"/>
        </w:rPr>
      </w:pPr>
      <w:r>
        <w:rPr>
          <w:rFonts w:ascii="Times New Roman" w:cs="Times New Roman" w:eastAsia="Times New Roman" w:hAnsi="Times New Roman"/>
          <w:sz w:val="18"/>
          <w:szCs w:val="18"/>
          <w:color w:val="auto"/>
        </w:rPr>
        <w:t>The Company did not make any payments for income taxes during the three months ended March 31, 2026 and 2025. The Company’s cash refunds received for income taxes during the three months ended March 31, 2026 and 2025 are as follows (in thousands).</w:t>
      </w:r>
    </w:p>
    <w:p>
      <w:pPr>
        <w:ind w:left="8660"/>
        <w:spacing w:after="0" w:line="232" w:lineRule="auto"/>
        <w:rPr>
          <w:sz w:val="20"/>
          <w:szCs w:val="20"/>
          <w:color w:val="auto"/>
        </w:rPr>
      </w:pPr>
      <w:r>
        <w:rPr>
          <w:rFonts w:ascii="Times New Roman" w:cs="Times New Roman" w:eastAsia="Times New Roman" w:hAnsi="Times New Roman"/>
          <w:sz w:val="18"/>
          <w:szCs w:val="18"/>
          <w:b w:val="1"/>
          <w:bCs w:val="1"/>
          <w:color w:val="auto"/>
        </w:rPr>
        <w:t>Three Months Ended</w:t>
      </w:r>
    </w:p>
    <w:p>
      <w:pPr>
        <w:ind w:left="91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60" w:type="dxa"/>
            <w:vAlign w:val="bottom"/>
            <w:tcBorders>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 Mexico</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7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refunds for income taxes</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119" w:lineRule="exact"/>
        <w:rPr>
          <w:sz w:val="20"/>
          <w:szCs w:val="20"/>
          <w:color w:val="auto"/>
        </w:rPr>
      </w:pPr>
    </w:p>
    <w:p>
      <w:pPr>
        <w:ind w:right="260" w:firstLine="405"/>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awards to certain of its employees of 392,000 service-based restricted stock units to be settled in cash, which are liability instruments, and 392,000 performance-based stock units and 2,000 service-based shares of restricted stock, which are equity instruments. The performance-based stock units vest in an amount between zero and 200% of the target units granted based on the Company’s relative total shareholder return over the three-year period ending December 31, 2028, as compared to a designated peer group. The service-based restricted stock and restricted stock units vest over a three-year period. The fair value of these awards was approximately $37.6 million on their respective grant dates.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 Dividend</w:t>
      </w:r>
    </w:p>
    <w:p>
      <w:pPr>
        <w:spacing w:after="0" w:line="11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Matador’s Board of Directors (the “Board”) declared a quarterly cash dividend of $0.375 per share of common stock in February 2026. The dividend, which totaled $46.8 million, was paid on March 10, 2026 to shareholders of record as of February 27, 2026. On April 22, 2026, the Board declared a quarterly cash dividend of $0.375 per share of common stock payable on June 5, 2026 to shareholders of record as of May 8, 2026.</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11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As further described in the Annual Report, the Company maintains a share repurchase program (the “Share Repurchase Program”) authorizing the repurchase of up to $400.0 million of common stock. During the three months ended March 31, 2026, the Company repurchased 17,702 shares of common stock under the Share Repurchase Program at a weighted average price of $39.92 per common share for a total cost of $0.7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San Mateo Distributions and Contributions</w:t>
      </w:r>
    </w:p>
    <w:p>
      <w:pPr>
        <w:spacing w:after="0" w:line="119"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San Mateo distributed $31.6 million and $35.2 million, respectively, to the Company and $30.4 million and $33.8 million, respectively, to a subsidiary of Five Point Infrastructure LLC (“Five Point”), the Company’s joint venture partner in San Mateo. During the three months ended March 31, 2026 and 2025, there were no contributions to San Mateo by either the Company or Five Point.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EQUITY — Continued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Incentives</w:t>
      </w:r>
    </w:p>
    <w:p>
      <w:pPr>
        <w:spacing w:after="0" w:line="11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Five Point paid the Company $6.9 million and $2.8 million of performance incentives during the three months ended March 31, 2026 and 2025, respectively. These performance incentives are recorded when received, net of the $1.4 million and $0.6 million deferred tax impact to the Company for the three months ended March 31, 2026 and 2025, respectively, in “Additional paid-in capital” in the Company’s interim unaudited condensed consolidated balance sheets. These performance incentives received in the three months ended March 31, 2026 and 2025 are also denoted as “Contributions related to formation of San Mateo” under “Financing activities” in the Company’s interim unaudited condensed consolidated statements of cash flows and changes in shareholders’ equity.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 FINANCIAL INSTRUMENTS</w:t>
      </w:r>
    </w:p>
    <w:p>
      <w:pPr>
        <w:spacing w:after="0" w:line="121"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At March 31, 2026, the Company had various costless collar contracts open and in place to mitigate its exposure to oil and natural gas price volatility, each with an established price floor and ceiling. At March 31, 2026, the Company had natural gas swap and natural gas basis differential swap contracts open and in place to mitigate its exposure to natural gas price volatility, with a specific term (calculation period), notional quantity (volume hedged) and fixed price. The Company had no open contracts associated with natural gas liquids prices at March 31, 2026.</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the Company’s open costless collar contracts at March 31,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7"/>
                <w:szCs w:val="17"/>
                <w:color w:val="auto"/>
              </w:rPr>
            </w:pPr>
          </w:p>
        </w:tc>
        <w:tc>
          <w:tcPr>
            <w:tcW w:w="1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60" w:type="dxa"/>
            <w:vAlign w:val="bottom"/>
          </w:tcPr>
          <w:p>
            <w:pPr>
              <w:spacing w:after="0"/>
              <w:rPr>
                <w:sz w:val="17"/>
                <w:szCs w:val="17"/>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Fair Value of</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Notional Quantity</w:t>
            </w:r>
          </w:p>
        </w:tc>
        <w:tc>
          <w:tcPr>
            <w:tcW w:w="1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Asset</w:t>
            </w:r>
          </w:p>
        </w:tc>
        <w:tc>
          <w:tcPr>
            <w:tcW w:w="0" w:type="dxa"/>
            <w:vAlign w:val="bottom"/>
          </w:tcPr>
          <w:p>
            <w:pPr>
              <w:spacing w:after="0"/>
              <w:rPr>
                <w:sz w:val="1"/>
                <w:szCs w:val="1"/>
                <w:color w:val="auto"/>
              </w:rPr>
            </w:pPr>
          </w:p>
        </w:tc>
      </w:tr>
      <w:tr>
        <w:trPr>
          <w:trHeight w:val="175"/>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2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Calculation Period</w:t>
            </w:r>
          </w:p>
        </w:tc>
        <w:tc>
          <w:tcPr>
            <w:tcW w:w="1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Price Floor</w:t>
            </w:r>
          </w:p>
        </w:tc>
        <w:tc>
          <w:tcPr>
            <w:tcW w:w="100" w:type="dxa"/>
            <w:vAlign w:val="bottom"/>
          </w:tcPr>
          <w:p>
            <w:pPr>
              <w:spacing w:after="0"/>
              <w:rPr>
                <w:sz w:val="15"/>
                <w:szCs w:val="15"/>
                <w:color w:val="auto"/>
              </w:rPr>
            </w:pPr>
          </w:p>
        </w:tc>
        <w:tc>
          <w:tcPr>
            <w:tcW w:w="16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Price Ceiling</w:t>
            </w:r>
          </w:p>
        </w:tc>
        <w:tc>
          <w:tcPr>
            <w:tcW w:w="160" w:type="dxa"/>
            <w:vAlign w:val="bottom"/>
          </w:tcPr>
          <w:p>
            <w:pPr>
              <w:spacing w:after="0"/>
              <w:rPr>
                <w:sz w:val="15"/>
                <w:szCs w:val="15"/>
                <w:color w:val="auto"/>
              </w:rPr>
            </w:pPr>
          </w:p>
        </w:tc>
        <w:tc>
          <w:tcPr>
            <w:tcW w:w="12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43"/>
        </w:trPr>
        <w:tc>
          <w:tcPr>
            <w:tcW w:w="2420" w:type="dxa"/>
            <w:vAlign w:val="bottom"/>
            <w:gridSpan w:val="2"/>
            <w:vMerge w:val="continue"/>
          </w:tcPr>
          <w:p>
            <w:pPr>
              <w:spacing w:after="0"/>
              <w:rPr>
                <w:sz w:val="21"/>
                <w:szCs w:val="21"/>
                <w:color w:val="auto"/>
              </w:rPr>
            </w:pPr>
          </w:p>
        </w:tc>
        <w:tc>
          <w:tcPr>
            <w:tcW w:w="2400" w:type="dxa"/>
            <w:vAlign w:val="bottom"/>
            <w:gridSpan w:val="2"/>
            <w:vMerge w:val="continue"/>
          </w:tcPr>
          <w:p>
            <w:pPr>
              <w:spacing w:after="0"/>
              <w:rPr>
                <w:sz w:val="21"/>
                <w:szCs w:val="21"/>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(Bbl or MMBtu)</w:t>
            </w: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($/Bbl or $/MMBtu)</w:t>
            </w: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($/Bbl or $/MMBtu)</w:t>
            </w:r>
          </w:p>
        </w:tc>
        <w:tc>
          <w:tcPr>
            <w:tcW w:w="160" w:type="dxa"/>
            <w:vAlign w:val="bottom"/>
          </w:tcPr>
          <w:p>
            <w:pPr>
              <w:spacing w:after="0"/>
              <w:rPr>
                <w:sz w:val="21"/>
                <w:szCs w:val="21"/>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23"/>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 WTI</w:t>
            </w:r>
          </w:p>
        </w:tc>
        <w:tc>
          <w:tcPr>
            <w:tcW w:w="10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04/01/2026 - 12/31/2026</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18,425,000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(303,047)</w:t>
            </w:r>
          </w:p>
        </w:tc>
        <w:tc>
          <w:tcPr>
            <w:tcW w:w="0" w:type="dxa"/>
            <w:vAlign w:val="bottom"/>
          </w:tcPr>
          <w:p>
            <w:pPr>
              <w:spacing w:after="0"/>
              <w:rPr>
                <w:sz w:val="1"/>
                <w:szCs w:val="1"/>
                <w:color w:val="auto"/>
              </w:rPr>
            </w:pPr>
          </w:p>
        </w:tc>
      </w:tr>
      <w:tr>
        <w:trPr>
          <w:trHeight w:val="23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Oil - WTI</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01/01/2027 - 12/31/2027</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3,650,000</w:t>
            </w:r>
          </w:p>
        </w:tc>
        <w:tc>
          <w:tcPr>
            <w:tcW w:w="10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(8,975)</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 Henry Hub</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04/01/2026 - 12/31/2026</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18,194</w:t>
            </w:r>
          </w:p>
        </w:tc>
        <w:tc>
          <w:tcPr>
            <w:tcW w:w="0" w:type="dxa"/>
            <w:vAlign w:val="bottom"/>
          </w:tcPr>
          <w:p>
            <w:pPr>
              <w:spacing w:after="0"/>
              <w:rPr>
                <w:sz w:val="1"/>
                <w:szCs w:val="1"/>
                <w:color w:val="auto"/>
              </w:rPr>
            </w:pPr>
          </w:p>
        </w:tc>
      </w:tr>
      <w:tr>
        <w:trPr>
          <w:trHeight w:val="223"/>
        </w:trPr>
        <w:tc>
          <w:tcPr>
            <w:tcW w:w="48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Total open costless collar contracts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(293,828)</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the Company’s open swap contracts at March 31, 2026.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Notional Quantity</w:t>
            </w:r>
          </w:p>
        </w:tc>
        <w:tc>
          <w:tcPr>
            <w:tcW w:w="260" w:type="dxa"/>
            <w:vAlign w:val="bottom"/>
          </w:tcPr>
          <w:p>
            <w:pPr>
              <w:spacing w:after="0"/>
              <w:rPr>
                <w:sz w:val="16"/>
                <w:szCs w:val="16"/>
                <w:color w:val="auto"/>
              </w:rPr>
            </w:pPr>
          </w:p>
        </w:tc>
        <w:tc>
          <w:tcPr>
            <w:tcW w:w="15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Fixed Price</w:t>
            </w:r>
          </w:p>
        </w:tc>
        <w:tc>
          <w:tcPr>
            <w:tcW w:w="180" w:type="dxa"/>
            <w:vAlign w:val="bottom"/>
          </w:tcPr>
          <w:p>
            <w:pPr>
              <w:spacing w:after="0"/>
              <w:rPr>
                <w:sz w:val="16"/>
                <w:szCs w:val="16"/>
                <w:color w:val="auto"/>
              </w:rPr>
            </w:pPr>
          </w:p>
        </w:tc>
        <w:tc>
          <w:tcPr>
            <w:tcW w:w="126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w w:val="97"/>
              </w:rPr>
              <w:t>Asset</w:t>
            </w:r>
          </w:p>
        </w:tc>
        <w:tc>
          <w:tcPr>
            <w:tcW w:w="0" w:type="dxa"/>
            <w:vAlign w:val="bottom"/>
          </w:tcPr>
          <w:p>
            <w:pPr>
              <w:spacing w:after="0"/>
              <w:rPr>
                <w:sz w:val="1"/>
                <w:szCs w:val="1"/>
                <w:color w:val="auto"/>
              </w:rPr>
            </w:pPr>
          </w:p>
        </w:tc>
      </w:tr>
      <w:tr>
        <w:trPr>
          <w:trHeight w:val="175"/>
        </w:trPr>
        <w:tc>
          <w:tcPr>
            <w:tcW w:w="3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2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Calculation Period</w:t>
            </w:r>
          </w:p>
        </w:tc>
        <w:tc>
          <w:tcPr>
            <w:tcW w:w="19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30"/>
        </w:trPr>
        <w:tc>
          <w:tcPr>
            <w:tcW w:w="3640" w:type="dxa"/>
            <w:vAlign w:val="bottom"/>
            <w:gridSpan w:val="2"/>
            <w:vMerge w:val="continue"/>
          </w:tcPr>
          <w:p>
            <w:pPr>
              <w:spacing w:after="0"/>
              <w:rPr>
                <w:sz w:val="19"/>
                <w:szCs w:val="19"/>
                <w:color w:val="auto"/>
              </w:rPr>
            </w:pPr>
          </w:p>
        </w:tc>
        <w:tc>
          <w:tcPr>
            <w:tcW w:w="2380" w:type="dxa"/>
            <w:vAlign w:val="bottom"/>
            <w:gridSpan w:val="2"/>
            <w:vMerge w:val="continue"/>
          </w:tcPr>
          <w:p>
            <w:pPr>
              <w:spacing w:after="0"/>
              <w:rPr>
                <w:sz w:val="19"/>
                <w:szCs w:val="19"/>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260" w:type="dxa"/>
            <w:vAlign w:val="bottom"/>
          </w:tcPr>
          <w:p>
            <w:pPr>
              <w:spacing w:after="0"/>
              <w:rPr>
                <w:sz w:val="19"/>
                <w:szCs w:val="19"/>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($/MMBtu)</w:t>
            </w:r>
          </w:p>
        </w:tc>
        <w:tc>
          <w:tcPr>
            <w:tcW w:w="180" w:type="dxa"/>
            <w:vAlign w:val="bottom"/>
          </w:tcPr>
          <w:p>
            <w:pPr>
              <w:spacing w:after="0"/>
              <w:rPr>
                <w:sz w:val="19"/>
                <w:szCs w:val="19"/>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 Waha</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04/01/2026 - 07/31/2026</w:t>
            </w: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12,200,000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19,981</w:t>
            </w:r>
          </w:p>
        </w:tc>
        <w:tc>
          <w:tcPr>
            <w:tcW w:w="0" w:type="dxa"/>
            <w:vAlign w:val="bottom"/>
          </w:tcPr>
          <w:p>
            <w:pPr>
              <w:spacing w:after="0"/>
              <w:rPr>
                <w:sz w:val="1"/>
                <w:szCs w:val="1"/>
                <w:color w:val="auto"/>
              </w:rPr>
            </w:pPr>
          </w:p>
        </w:tc>
      </w:tr>
      <w:tr>
        <w:trPr>
          <w:trHeight w:val="223"/>
        </w:trPr>
        <w:tc>
          <w:tcPr>
            <w:tcW w:w="3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open swap contracts</w:t>
            </w:r>
          </w:p>
        </w:tc>
        <w:tc>
          <w:tcPr>
            <w:tcW w:w="2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the Company’s open basis differential swap contracts at March 31, 2026.</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0" w:type="dxa"/>
            <w:vAlign w:val="bottom"/>
          </w:tcPr>
          <w:p>
            <w:pPr>
              <w:spacing w:after="0"/>
              <w:rPr>
                <w:sz w:val="1"/>
                <w:szCs w:val="1"/>
                <w:color w:val="auto"/>
              </w:rPr>
            </w:pPr>
          </w:p>
        </w:tc>
      </w:tr>
      <w:tr>
        <w:trPr>
          <w:trHeight w:val="180"/>
        </w:trPr>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Notional Quantity</w:t>
            </w:r>
          </w:p>
        </w:tc>
        <w:tc>
          <w:tcPr>
            <w:tcW w:w="260" w:type="dxa"/>
            <w:vAlign w:val="bottom"/>
          </w:tcPr>
          <w:p>
            <w:pPr>
              <w:spacing w:after="0"/>
              <w:rPr>
                <w:sz w:val="15"/>
                <w:szCs w:val="15"/>
                <w:color w:val="auto"/>
              </w:rPr>
            </w:pPr>
          </w:p>
        </w:tc>
        <w:tc>
          <w:tcPr>
            <w:tcW w:w="1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Fixed Price</w:t>
            </w:r>
          </w:p>
        </w:tc>
        <w:tc>
          <w:tcPr>
            <w:tcW w:w="180" w:type="dxa"/>
            <w:vAlign w:val="bottom"/>
          </w:tcPr>
          <w:p>
            <w:pPr>
              <w:spacing w:after="0"/>
              <w:rPr>
                <w:sz w:val="15"/>
                <w:szCs w:val="15"/>
                <w:color w:val="auto"/>
              </w:rPr>
            </w:pPr>
          </w:p>
        </w:tc>
        <w:tc>
          <w:tcPr>
            <w:tcW w:w="1260" w:type="dxa"/>
            <w:vAlign w:val="bottom"/>
          </w:tcPr>
          <w:p>
            <w:pPr>
              <w:jc w:val="center"/>
              <w:ind w:right="130"/>
              <w:spacing w:after="0" w:line="180" w:lineRule="exact"/>
              <w:rPr>
                <w:sz w:val="20"/>
                <w:szCs w:val="20"/>
                <w:color w:val="auto"/>
              </w:rPr>
            </w:pPr>
            <w:r>
              <w:rPr>
                <w:rFonts w:ascii="Times New Roman" w:cs="Times New Roman" w:eastAsia="Times New Roman" w:hAnsi="Times New Roman"/>
                <w:sz w:val="18"/>
                <w:szCs w:val="18"/>
                <w:b w:val="1"/>
                <w:bCs w:val="1"/>
                <w:color w:val="auto"/>
                <w:w w:val="97"/>
              </w:rPr>
              <w:t>Asset</w:t>
            </w:r>
          </w:p>
        </w:tc>
        <w:tc>
          <w:tcPr>
            <w:tcW w:w="0" w:type="dxa"/>
            <w:vAlign w:val="bottom"/>
          </w:tcPr>
          <w:p>
            <w:pPr>
              <w:spacing w:after="0"/>
              <w:rPr>
                <w:sz w:val="1"/>
                <w:szCs w:val="1"/>
                <w:color w:val="auto"/>
              </w:rPr>
            </w:pPr>
          </w:p>
        </w:tc>
      </w:tr>
      <w:tr>
        <w:trPr>
          <w:trHeight w:val="184"/>
        </w:trPr>
        <w:tc>
          <w:tcPr>
            <w:tcW w:w="3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2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Calculation Period</w:t>
            </w:r>
          </w:p>
        </w:tc>
        <w:tc>
          <w:tcPr>
            <w:tcW w:w="1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30"/>
        </w:trPr>
        <w:tc>
          <w:tcPr>
            <w:tcW w:w="3600" w:type="dxa"/>
            <w:vAlign w:val="bottom"/>
            <w:gridSpan w:val="2"/>
            <w:vMerge w:val="continue"/>
          </w:tcPr>
          <w:p>
            <w:pPr>
              <w:spacing w:after="0"/>
              <w:rPr>
                <w:sz w:val="19"/>
                <w:szCs w:val="19"/>
                <w:color w:val="auto"/>
              </w:rPr>
            </w:pPr>
          </w:p>
        </w:tc>
        <w:tc>
          <w:tcPr>
            <w:tcW w:w="2400" w:type="dxa"/>
            <w:vAlign w:val="bottom"/>
            <w:gridSpan w:val="2"/>
            <w:vMerge w:val="continue"/>
          </w:tcPr>
          <w:p>
            <w:pPr>
              <w:spacing w:after="0"/>
              <w:rPr>
                <w:sz w:val="19"/>
                <w:szCs w:val="19"/>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260" w:type="dxa"/>
            <w:vAlign w:val="bottom"/>
          </w:tcPr>
          <w:p>
            <w:pPr>
              <w:spacing w:after="0"/>
              <w:rPr>
                <w:sz w:val="19"/>
                <w:szCs w:val="19"/>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($/MMBtu)</w:t>
            </w:r>
          </w:p>
        </w:tc>
        <w:tc>
          <w:tcPr>
            <w:tcW w:w="180" w:type="dxa"/>
            <w:vAlign w:val="bottom"/>
          </w:tcPr>
          <w:p>
            <w:pPr>
              <w:spacing w:after="0"/>
              <w:rPr>
                <w:sz w:val="19"/>
                <w:szCs w:val="19"/>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23"/>
        </w:trPr>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Basis Differential</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04/01/2026 - 12/31/2026</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52,426</w:t>
            </w:r>
          </w:p>
        </w:tc>
        <w:tc>
          <w:tcPr>
            <w:tcW w:w="0" w:type="dxa"/>
            <w:vAlign w:val="bottom"/>
          </w:tcPr>
          <w:p>
            <w:pPr>
              <w:spacing w:after="0"/>
              <w:rPr>
                <w:sz w:val="1"/>
                <w:szCs w:val="1"/>
                <w:color w:val="auto"/>
              </w:rPr>
            </w:pPr>
          </w:p>
        </w:tc>
      </w:tr>
      <w:tr>
        <w:trPr>
          <w:trHeight w:val="223"/>
        </w:trPr>
        <w:tc>
          <w:tcPr>
            <w:tcW w:w="3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open basis differential swap contracts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 FINANCIAL INSTRUMENTS — Continued</w:t>
      </w:r>
    </w:p>
    <w:p>
      <w:pPr>
        <w:spacing w:after="0" w:line="200" w:lineRule="exact"/>
        <w:rPr>
          <w:sz w:val="20"/>
          <w:szCs w:val="20"/>
          <w:color w:val="auto"/>
        </w:rPr>
      </w:pPr>
    </w:p>
    <w:p>
      <w:pPr>
        <w:spacing w:after="0" w:line="259" w:lineRule="exact"/>
        <w:rPr>
          <w:sz w:val="20"/>
          <w:szCs w:val="20"/>
          <w:color w:val="auto"/>
        </w:rPr>
      </w:pPr>
    </w:p>
    <w:p>
      <w:pPr>
        <w:ind w:right="320" w:firstLine="445"/>
        <w:spacing w:after="0" w:line="312" w:lineRule="auto"/>
        <w:rPr>
          <w:sz w:val="20"/>
          <w:szCs w:val="20"/>
          <w:color w:val="auto"/>
        </w:rPr>
      </w:pPr>
      <w:r>
        <w:rPr>
          <w:rFonts w:ascii="Times New Roman" w:cs="Times New Roman" w:eastAsia="Times New Roman" w:hAnsi="Times New Roman"/>
          <w:sz w:val="17"/>
          <w:szCs w:val="17"/>
          <w:color w:val="auto"/>
        </w:rPr>
        <w:t>The following table presents the gross asset and liability fair values of the Company’s commodity price derivative financial instruments and the location of these balances in the interim unaudited condensed consolidated balance sheets as of March 31, 2026 and December 31, 2025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Gross amounts</w:t>
            </w:r>
          </w:p>
        </w:tc>
        <w:tc>
          <w:tcPr>
            <w:tcW w:w="160" w:type="dxa"/>
            <w:vAlign w:val="bottom"/>
          </w:tcPr>
          <w:p>
            <w:pPr>
              <w:spacing w:after="0"/>
              <w:rPr>
                <w:sz w:val="17"/>
                <w:szCs w:val="17"/>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Net amounts</w:t>
            </w:r>
          </w:p>
        </w:tc>
        <w:tc>
          <w:tcPr>
            <w:tcW w:w="0" w:type="dxa"/>
            <w:vAlign w:val="bottom"/>
          </w:tcPr>
          <w:p>
            <w:pPr>
              <w:spacing w:after="0"/>
              <w:rPr>
                <w:sz w:val="1"/>
                <w:szCs w:val="1"/>
                <w:color w:val="auto"/>
              </w:rPr>
            </w:pPr>
          </w:p>
        </w:tc>
      </w:tr>
      <w:tr>
        <w:trPr>
          <w:trHeight w:val="18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6"/>
                <w:szCs w:val="16"/>
                <w:color w:val="auto"/>
              </w:rPr>
            </w:pPr>
          </w:p>
        </w:tc>
        <w:tc>
          <w:tcPr>
            <w:tcW w:w="15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netted in the</w:t>
            </w:r>
          </w:p>
        </w:tc>
        <w:tc>
          <w:tcPr>
            <w:tcW w:w="160" w:type="dxa"/>
            <w:vAlign w:val="bottom"/>
          </w:tcPr>
          <w:p>
            <w:pPr>
              <w:spacing w:after="0"/>
              <w:rPr>
                <w:sz w:val="16"/>
                <w:szCs w:val="16"/>
                <w:color w:val="auto"/>
              </w:rPr>
            </w:pPr>
          </w:p>
        </w:tc>
        <w:tc>
          <w:tcPr>
            <w:tcW w:w="150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presented in the</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condensed</w:t>
            </w:r>
          </w:p>
        </w:tc>
        <w:tc>
          <w:tcPr>
            <w:tcW w:w="160" w:type="dxa"/>
            <w:vAlign w:val="bottom"/>
          </w:tcPr>
          <w:p>
            <w:pPr>
              <w:spacing w:after="0"/>
              <w:rPr>
                <w:sz w:val="15"/>
                <w:szCs w:val="15"/>
                <w:color w:val="auto"/>
              </w:rPr>
            </w:pPr>
          </w:p>
        </w:tc>
        <w:tc>
          <w:tcPr>
            <w:tcW w:w="15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condensed</w:t>
            </w:r>
          </w:p>
        </w:tc>
        <w:tc>
          <w:tcPr>
            <w:tcW w:w="0" w:type="dxa"/>
            <w:vAlign w:val="bottom"/>
          </w:tcPr>
          <w:p>
            <w:pPr>
              <w:spacing w:after="0"/>
              <w:rPr>
                <w:sz w:val="1"/>
                <w:szCs w:val="1"/>
                <w:color w:val="auto"/>
              </w:rPr>
            </w:pPr>
          </w:p>
        </w:tc>
      </w:tr>
      <w:tr>
        <w:trPr>
          <w:trHeight w:val="189"/>
        </w:trPr>
        <w:tc>
          <w:tcPr>
            <w:tcW w:w="6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w:t>
            </w:r>
          </w:p>
        </w:tc>
        <w:tc>
          <w:tcPr>
            <w:tcW w:w="260" w:type="dxa"/>
            <w:vAlign w:val="bottom"/>
          </w:tcPr>
          <w:p>
            <w:pPr>
              <w:spacing w:after="0"/>
              <w:rPr>
                <w:sz w:val="16"/>
                <w:szCs w:val="16"/>
                <w:color w:val="auto"/>
              </w:rPr>
            </w:pPr>
          </w:p>
        </w:tc>
        <w:tc>
          <w:tcPr>
            <w:tcW w:w="1500" w:type="dxa"/>
            <w:vAlign w:val="bottom"/>
            <w:gridSpan w:val="2"/>
          </w:tcPr>
          <w:p>
            <w:pPr>
              <w:jc w:val="center"/>
              <w:ind w:right="4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amounts</w:t>
            </w:r>
          </w:p>
        </w:tc>
        <w:tc>
          <w:tcPr>
            <w:tcW w:w="160" w:type="dxa"/>
            <w:vAlign w:val="bottom"/>
          </w:tcPr>
          <w:p>
            <w:pPr>
              <w:spacing w:after="0"/>
              <w:rPr>
                <w:sz w:val="16"/>
                <w:szCs w:val="16"/>
                <w:color w:val="auto"/>
              </w:rPr>
            </w:pPr>
          </w:p>
        </w:tc>
        <w:tc>
          <w:tcPr>
            <w:tcW w:w="158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consolidated</w:t>
            </w:r>
          </w:p>
        </w:tc>
        <w:tc>
          <w:tcPr>
            <w:tcW w:w="160" w:type="dxa"/>
            <w:vAlign w:val="bottom"/>
          </w:tcPr>
          <w:p>
            <w:pPr>
              <w:spacing w:after="0"/>
              <w:rPr>
                <w:sz w:val="16"/>
                <w:szCs w:val="16"/>
                <w:color w:val="auto"/>
              </w:rPr>
            </w:pPr>
          </w:p>
        </w:tc>
        <w:tc>
          <w:tcPr>
            <w:tcW w:w="150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consolidated</w:t>
            </w:r>
          </w:p>
        </w:tc>
        <w:tc>
          <w:tcPr>
            <w:tcW w:w="0" w:type="dxa"/>
            <w:vAlign w:val="bottom"/>
          </w:tcPr>
          <w:p>
            <w:pPr>
              <w:spacing w:after="0"/>
              <w:rPr>
                <w:sz w:val="1"/>
                <w:szCs w:val="1"/>
                <w:color w:val="auto"/>
              </w:rPr>
            </w:pPr>
          </w:p>
        </w:tc>
      </w:tr>
      <w:tr>
        <w:trPr>
          <w:trHeight w:val="230"/>
        </w:trPr>
        <w:tc>
          <w:tcPr>
            <w:tcW w:w="60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recognized</w:t>
            </w:r>
          </w:p>
        </w:tc>
        <w:tc>
          <w:tcPr>
            <w:tcW w:w="160" w:type="dxa"/>
            <w:vAlign w:val="bottom"/>
          </w:tcPr>
          <w:p>
            <w:pPr>
              <w:spacing w:after="0"/>
              <w:rPr>
                <w:sz w:val="19"/>
                <w:szCs w:val="19"/>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160" w:type="dxa"/>
            <w:vAlign w:val="bottom"/>
          </w:tcPr>
          <w:p>
            <w:pPr>
              <w:spacing w:after="0"/>
              <w:rPr>
                <w:sz w:val="19"/>
                <w:szCs w:val="19"/>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0" w:type="dxa"/>
            <w:vAlign w:val="bottom"/>
          </w:tcPr>
          <w:p>
            <w:pPr>
              <w:spacing w:after="0"/>
              <w:rPr>
                <w:sz w:val="1"/>
                <w:szCs w:val="1"/>
                <w:color w:val="auto"/>
              </w:rPr>
            </w:pPr>
          </w:p>
        </w:tc>
      </w:tr>
      <w:tr>
        <w:trPr>
          <w:trHeight w:val="223"/>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118,170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90,600</w:t>
            </w:r>
          </w:p>
        </w:tc>
        <w:tc>
          <w:tcPr>
            <w:tcW w:w="0" w:type="dxa"/>
            <w:vAlign w:val="bottom"/>
          </w:tcPr>
          <w:p>
            <w:pPr>
              <w:spacing w:after="0"/>
              <w:rPr>
                <w:sz w:val="1"/>
                <w:szCs w:val="1"/>
                <w:color w:val="auto"/>
              </w:rPr>
            </w:pPr>
          </w:p>
        </w:tc>
      </w:tr>
      <w:tr>
        <w:trPr>
          <w:trHeight w:val="229"/>
        </w:trPr>
        <w:tc>
          <w:tcPr>
            <w:tcW w:w="6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(306,200)</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0" w:type="dxa"/>
            <w:vAlign w:val="bottom"/>
          </w:tcPr>
          <w:p>
            <w:pPr>
              <w:spacing w:after="0"/>
              <w:rPr>
                <w:sz w:val="1"/>
                <w:szCs w:val="1"/>
                <w:color w:val="auto"/>
              </w:rPr>
            </w:pPr>
          </w:p>
        </w:tc>
      </w:tr>
      <w:tr>
        <w:trPr>
          <w:trHeight w:val="223"/>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(221,421)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(221,421)</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34,052</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34,052</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54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and aggregate gain (loss) of all derivative financial instruments recorded in the interim unaudited condensed consolidated statements of operations for the periods presented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Location in Condensed Consolidated</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Type of Instrument</w:t>
            </w:r>
          </w:p>
        </w:tc>
        <w:tc>
          <w:tcPr>
            <w:tcW w:w="44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0" w:type="dxa"/>
            <w:vAlign w:val="bottom"/>
          </w:tcPr>
          <w:p>
            <w:pPr>
              <w:spacing w:after="0"/>
              <w:rPr>
                <w:sz w:val="1"/>
                <w:szCs w:val="1"/>
                <w:color w:val="auto"/>
              </w:rPr>
            </w:pPr>
          </w:p>
        </w:tc>
      </w:tr>
      <w:tr>
        <w:trPr>
          <w:trHeight w:val="238"/>
        </w:trPr>
        <w:tc>
          <w:tcPr>
            <w:tcW w:w="4580" w:type="dxa"/>
            <w:vAlign w:val="bottom"/>
            <w:gridSpan w:val="2"/>
            <w:vMerge w:val="continue"/>
          </w:tcPr>
          <w:p>
            <w:pPr>
              <w:spacing w:after="0"/>
              <w:rPr>
                <w:sz w:val="20"/>
                <w:szCs w:val="20"/>
                <w:color w:val="auto"/>
              </w:rPr>
            </w:pPr>
          </w:p>
        </w:tc>
        <w:tc>
          <w:tcPr>
            <w:tcW w:w="442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2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w:t>
            </w:r>
          </w:p>
        </w:tc>
        <w:tc>
          <w:tcPr>
            <w:tcW w:w="120" w:type="dxa"/>
            <w:vAlign w:val="bottom"/>
            <w:tcBorders>
              <w:top w:val="single" w:sz="8" w:color="CCEEFF"/>
            </w:tcBorders>
            <w:shd w:val="clear" w:color="auto" w:fill="CCEEFF"/>
          </w:tcPr>
          <w:p>
            <w:pPr>
              <w:spacing w:after="0"/>
              <w:rPr>
                <w:sz w:val="19"/>
                <w:szCs w:val="19"/>
                <w:color w:val="auto"/>
              </w:rPr>
            </w:pPr>
          </w:p>
        </w:tc>
        <w:tc>
          <w:tcPr>
            <w:tcW w:w="4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Oil</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Realized loss on derivatives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Realized gain on derivatives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gridSpan w:val="2"/>
          </w:tcPr>
          <w:p>
            <w:pPr>
              <w:ind w:left="560"/>
              <w:spacing w:after="0"/>
              <w:rPr>
                <w:sz w:val="20"/>
                <w:szCs w:val="20"/>
                <w:color w:val="auto"/>
              </w:rPr>
            </w:pPr>
            <w:r>
              <w:rPr>
                <w:rFonts w:ascii="Times New Roman" w:cs="Times New Roman" w:eastAsia="Times New Roman" w:hAnsi="Times New Roman"/>
                <w:sz w:val="18"/>
                <w:szCs w:val="18"/>
                <w:color w:val="auto"/>
              </w:rPr>
              <w:t>Realized (loss) gain on derivatives</w:t>
            </w:r>
          </w:p>
        </w:tc>
        <w:tc>
          <w:tcPr>
            <w:tcW w:w="4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223"/>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w:t>
            </w: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Unrealized loss on derivatives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(16,142)</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4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Revenues: Unrealized gain on derivatives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57,265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21,213</w:t>
            </w:r>
          </w:p>
        </w:tc>
        <w:tc>
          <w:tcPr>
            <w:tcW w:w="0" w:type="dxa"/>
            <w:vAlign w:val="bottom"/>
          </w:tcPr>
          <w:p>
            <w:pPr>
              <w:spacing w:after="0"/>
              <w:rPr>
                <w:sz w:val="1"/>
                <w:szCs w:val="1"/>
                <w:color w:val="auto"/>
              </w:rPr>
            </w:pPr>
          </w:p>
        </w:tc>
      </w:tr>
      <w:tr>
        <w:trPr>
          <w:trHeight w:val="223"/>
        </w:trPr>
        <w:tc>
          <w:tcPr>
            <w:tcW w:w="45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4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(255,474)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0" w:type="dxa"/>
            <w:vAlign w:val="bottom"/>
          </w:tcPr>
          <w:p>
            <w:pPr>
              <w:spacing w:after="0"/>
              <w:rPr>
                <w:sz w:val="1"/>
                <w:szCs w:val="1"/>
                <w:color w:val="auto"/>
              </w:rPr>
            </w:pPr>
          </w:p>
        </w:tc>
      </w:tr>
      <w:tr>
        <w:trPr>
          <w:trHeight w:val="223"/>
        </w:trPr>
        <w:tc>
          <w:tcPr>
            <w:tcW w:w="45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Total</w:t>
            </w:r>
          </w:p>
        </w:tc>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(269,967)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7,785</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MEASUREMENTS</w:t>
      </w:r>
    </w:p>
    <w:p>
      <w:pPr>
        <w:spacing w:after="0" w:line="121"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6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Unadjusted quoted prices for identical, unrestricted assets or liabilities in active markets.</w:t>
      </w:r>
    </w:p>
    <w:p>
      <w:pPr>
        <w:spacing w:after="0" w:line="117" w:lineRule="exact"/>
        <w:rPr>
          <w:sz w:val="20"/>
          <w:szCs w:val="20"/>
          <w:color w:val="auto"/>
        </w:rPr>
      </w:pPr>
    </w:p>
    <w:p>
      <w:pPr>
        <w:ind w:left="660" w:right="10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Level 2</w:t>
        <w:tab/>
        <w:t>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MEASUREMENTS — Continued</w:t>
      </w:r>
    </w:p>
    <w:p>
      <w:pPr>
        <w:spacing w:after="0" w:line="200" w:lineRule="exact"/>
        <w:rPr>
          <w:sz w:val="20"/>
          <w:szCs w:val="20"/>
          <w:color w:val="auto"/>
        </w:rPr>
      </w:pPr>
    </w:p>
    <w:p>
      <w:pPr>
        <w:spacing w:after="0" w:line="2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that are not corroborated by market data that reflect a company’s own market assumptions.</w:t>
      </w:r>
    </w:p>
    <w:p>
      <w:pPr>
        <w:spacing w:after="0" w:line="117"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68"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valuation of the Company’s financial assets and liabilities that were accounted for at fair value on a recurring basis in accordance with the classifications provided above as of March 31, 2026 and December 31, 2025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8"/>
        </w:trPr>
        <w:tc>
          <w:tcPr>
            <w:tcW w:w="6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2026 using</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23"/>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(Liabilities)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r>
      <w:tr>
        <w:trPr>
          <w:trHeight w:val="229"/>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Oil costless collars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(312,022)</w:t>
            </w:r>
          </w:p>
        </w:tc>
      </w:tr>
      <w:tr>
        <w:trPr>
          <w:trHeight w:val="229"/>
        </w:trPr>
        <w:tc>
          <w:tcPr>
            <w:tcW w:w="6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Natural gas costless collars</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18,194</w:t>
            </w:r>
          </w:p>
        </w:tc>
      </w:tr>
      <w:tr>
        <w:trPr>
          <w:trHeight w:val="230"/>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Natural gas swaps</w:t>
            </w:r>
          </w:p>
        </w:tc>
        <w:tc>
          <w:tcPr>
            <w:tcW w:w="16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19,981</w:t>
            </w:r>
          </w:p>
        </w:tc>
      </w:tr>
      <w:tr>
        <w:trPr>
          <w:trHeight w:val="229"/>
        </w:trPr>
        <w:tc>
          <w:tcPr>
            <w:tcW w:w="6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Natural gas basis differential swaps</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52,426</w:t>
            </w:r>
          </w:p>
        </w:tc>
      </w:tr>
      <w:tr>
        <w:trPr>
          <w:trHeight w:val="223"/>
        </w:trPr>
        <w:tc>
          <w:tcPr>
            <w:tcW w:w="6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(221,421)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(221,421)</w:t>
            </w:r>
          </w:p>
        </w:tc>
      </w:tr>
      <w:tr>
        <w:trPr>
          <w:trHeight w:val="20"/>
        </w:trPr>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8"/>
        </w:trPr>
        <w:tc>
          <w:tcPr>
            <w:tcW w:w="6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 2025 using</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2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(Liabilities)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r>
      <w:tr>
        <w:trPr>
          <w:trHeight w:val="230"/>
        </w:trPr>
        <w:tc>
          <w:tcPr>
            <w:tcW w:w="6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Oil costless collars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29"/>
        </w:trPr>
        <w:tc>
          <w:tcPr>
            <w:tcW w:w="6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Natural gas costless collars</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17,396</w:t>
            </w:r>
          </w:p>
        </w:tc>
      </w:tr>
      <w:tr>
        <w:trPr>
          <w:trHeight w:val="230"/>
        </w:trPr>
        <w:tc>
          <w:tcPr>
            <w:tcW w:w="6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Natural gas basis differential swaps</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15,939</w:t>
            </w:r>
          </w:p>
        </w:tc>
      </w:tr>
      <w:tr>
        <w:trPr>
          <w:trHeight w:val="248"/>
        </w:trPr>
        <w:tc>
          <w:tcPr>
            <w:tcW w:w="6820" w:type="dxa"/>
            <w:vAlign w:val="bottom"/>
            <w:tcBorders>
              <w:top w:val="single" w:sz="8" w:color="CCEEFF"/>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1940" w:firstLine="445"/>
        <w:spacing w:after="0" w:line="376" w:lineRule="auto"/>
        <w:rPr>
          <w:sz w:val="20"/>
          <w:szCs w:val="20"/>
          <w:color w:val="auto"/>
        </w:rPr>
      </w:pPr>
      <w:r>
        <w:rPr>
          <w:rFonts w:ascii="Times New Roman" w:cs="Times New Roman" w:eastAsia="Times New Roman" w:hAnsi="Times New Roman"/>
          <w:sz w:val="18"/>
          <w:szCs w:val="18"/>
          <w:color w:val="auto"/>
        </w:rPr>
        <w:t xml:space="preserve">Additional disclosures related to derivative financial instruments are provided in Note 7,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Other Fair Value Measurements</w:t>
      </w:r>
    </w:p>
    <w:p>
      <w:pPr>
        <w:spacing w:after="0" w:line="1"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the carrying values reported on the interim unaudited condensed consolidated balance sheets for accounts receivable, prepaid expenses and other current assets, accounts payable, accrued liabilities, royalties payable, amounts due to affiliates, advances from joint interest owners and other current liabilities approximated their fair values due to their short-term maturities.</w:t>
      </w:r>
    </w:p>
    <w:p>
      <w:pPr>
        <w:spacing w:after="0" w:line="68"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MEASUREMENTS — Continued</w:t>
      </w:r>
    </w:p>
    <w:p>
      <w:pPr>
        <w:spacing w:after="0" w:line="200" w:lineRule="exact"/>
        <w:rPr>
          <w:sz w:val="20"/>
          <w:szCs w:val="20"/>
          <w:color w:val="auto"/>
        </w:rPr>
      </w:pPr>
    </w:p>
    <w:p>
      <w:pPr>
        <w:spacing w:after="0" w:line="259" w:lineRule="exact"/>
        <w:rPr>
          <w:sz w:val="20"/>
          <w:szCs w:val="20"/>
          <w:color w:val="auto"/>
        </w:rPr>
      </w:pPr>
    </w:p>
    <w:p>
      <w:pPr>
        <w:ind w:right="60" w:firstLine="445"/>
        <w:spacing w:after="0" w:line="279" w:lineRule="auto"/>
        <w:rPr>
          <w:sz w:val="20"/>
          <w:szCs w:val="20"/>
          <w:color w:val="auto"/>
        </w:rPr>
      </w:pPr>
      <w:r>
        <w:rPr>
          <w:rFonts w:ascii="Times New Roman" w:cs="Times New Roman" w:eastAsia="Times New Roman" w:hAnsi="Times New Roman"/>
          <w:sz w:val="18"/>
          <w:szCs w:val="18"/>
          <w:color w:val="auto"/>
        </w:rPr>
        <w:t>The following table summarizes the carrying values and fair values of outstanding senior unsecured notes at March 31, 2026 and December 31, 2025 (in thousands).</w:t>
      </w:r>
    </w:p>
    <w:tbl>
      <w:tblPr>
        <w:tblLayout w:type="fixed"/>
        <w:tblInd w:w="0" w:type="dxa"/>
        <w:tblCellMar>
          <w:top w:w="0" w:type="dxa"/>
          <w:left w:w="0" w:type="dxa"/>
          <w:bottom w:w="0" w:type="dxa"/>
          <w:right w:w="0" w:type="dxa"/>
        </w:tblCellMar>
      </w:tblPr>
      <w:tr>
        <w:trPr>
          <w:trHeight w:val="185"/>
        </w:trPr>
        <w:tc>
          <w:tcPr>
            <w:tcW w:w="3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3"/>
          </w:tcPr>
          <w:p>
            <w:pPr>
              <w:jc w:val="right"/>
              <w:spacing w:after="0" w:line="185"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3"/>
          </w:tcPr>
          <w:p>
            <w:pPr>
              <w:jc w:val="right"/>
              <w:spacing w:after="0" w:line="185"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Pr>
          <w:p>
            <w:pPr>
              <w:spacing w:after="0"/>
              <w:rPr>
                <w:sz w:val="16"/>
                <w:szCs w:val="16"/>
                <w:color w:val="auto"/>
              </w:rPr>
            </w:pPr>
          </w:p>
        </w:tc>
      </w:tr>
      <w:tr>
        <w:trPr>
          <w:trHeight w:val="238"/>
        </w:trPr>
        <w:tc>
          <w:tcPr>
            <w:tcW w:w="3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spacing w:after="0"/>
              <w:rPr>
                <w:sz w:val="20"/>
                <w:szCs w:val="20"/>
                <w:color w:val="auto"/>
              </w:rPr>
            </w:pPr>
          </w:p>
        </w:tc>
      </w:tr>
      <w:tr>
        <w:trPr>
          <w:trHeight w:val="174"/>
        </w:trPr>
        <w:tc>
          <w:tcPr>
            <w:tcW w:w="3740" w:type="dxa"/>
            <w:vAlign w:val="bottom"/>
          </w:tcPr>
          <w:p>
            <w:pPr>
              <w:spacing w:after="0"/>
              <w:rPr>
                <w:sz w:val="15"/>
                <w:szCs w:val="15"/>
                <w:color w:val="auto"/>
              </w:rPr>
            </w:pPr>
          </w:p>
        </w:tc>
        <w:tc>
          <w:tcPr>
            <w:tcW w:w="1540" w:type="dxa"/>
            <w:vAlign w:val="bottom"/>
            <w:gridSpan w:val="2"/>
          </w:tcPr>
          <w:p>
            <w:pPr>
              <w:jc w:val="center"/>
              <w:ind w:right="140"/>
              <w:spacing w:after="0" w:line="174"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Pr>
          <w:p>
            <w:pPr>
              <w:spacing w:after="0"/>
              <w:rPr>
                <w:sz w:val="15"/>
                <w:szCs w:val="15"/>
                <w:color w:val="auto"/>
              </w:rPr>
            </w:pPr>
          </w:p>
        </w:tc>
        <w:tc>
          <w:tcPr>
            <w:tcW w:w="1280" w:type="dxa"/>
            <w:vAlign w:val="bottom"/>
            <w:gridSpan w:val="2"/>
          </w:tcPr>
          <w:p>
            <w:pPr>
              <w:ind w:left="100"/>
              <w:spacing w:after="0" w:line="17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420" w:type="dxa"/>
            <w:vAlign w:val="bottom"/>
          </w:tcPr>
          <w:p>
            <w:pPr>
              <w:spacing w:after="0"/>
              <w:rPr>
                <w:sz w:val="15"/>
                <w:szCs w:val="15"/>
                <w:color w:val="auto"/>
              </w:rPr>
            </w:pPr>
          </w:p>
        </w:tc>
        <w:tc>
          <w:tcPr>
            <w:tcW w:w="1000" w:type="dxa"/>
            <w:vAlign w:val="bottom"/>
          </w:tcPr>
          <w:p>
            <w:pPr>
              <w:jc w:val="right"/>
              <w:ind w:right="470"/>
              <w:spacing w:after="0" w:line="174"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100"/>
              <w:spacing w:after="0" w:line="17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500" w:type="dxa"/>
            <w:vAlign w:val="bottom"/>
          </w:tcPr>
          <w:p>
            <w:pPr>
              <w:spacing w:after="0"/>
              <w:rPr>
                <w:sz w:val="15"/>
                <w:szCs w:val="15"/>
                <w:color w:val="auto"/>
              </w:rPr>
            </w:pPr>
          </w:p>
        </w:tc>
        <w:tc>
          <w:tcPr>
            <w:tcW w:w="940" w:type="dxa"/>
            <w:vAlign w:val="bottom"/>
          </w:tcPr>
          <w:p>
            <w:pPr>
              <w:jc w:val="right"/>
              <w:ind w:right="490"/>
              <w:spacing w:after="0" w:line="174" w:lineRule="exact"/>
              <w:rPr>
                <w:sz w:val="20"/>
                <w:szCs w:val="20"/>
                <w:color w:val="auto"/>
              </w:rPr>
            </w:pPr>
            <w:r>
              <w:rPr>
                <w:rFonts w:ascii="Times New Roman" w:cs="Times New Roman" w:eastAsia="Times New Roman" w:hAnsi="Times New Roman"/>
                <w:sz w:val="18"/>
                <w:szCs w:val="18"/>
                <w:b w:val="1"/>
                <w:bCs w:val="1"/>
                <w:color w:val="auto"/>
              </w:rPr>
              <w:t>Fair</w:t>
            </w:r>
          </w:p>
        </w:tc>
      </w:tr>
      <w:tr>
        <w:trPr>
          <w:trHeight w:val="241"/>
        </w:trPr>
        <w:tc>
          <w:tcPr>
            <w:tcW w:w="3740" w:type="dxa"/>
            <w:vAlign w:val="bottom"/>
          </w:tcPr>
          <w:p>
            <w:pPr>
              <w:spacing w:after="0"/>
              <w:rPr>
                <w:sz w:val="20"/>
                <w:szCs w:val="20"/>
                <w:color w:val="auto"/>
              </w:rPr>
            </w:pP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220" w:type="dxa"/>
            <w:vAlign w:val="bottom"/>
          </w:tcPr>
          <w:p>
            <w:pPr>
              <w:spacing w:after="0"/>
              <w:rPr>
                <w:sz w:val="20"/>
                <w:szCs w:val="20"/>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42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0"/>
                <w:szCs w:val="20"/>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50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25"/>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Notes</w:t>
            </w: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511,585</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2032 Notes</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913,491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914,265</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2033 Notes</w:t>
            </w: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751,920</w:t>
            </w: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2034 Notes</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746,250</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including assets and liabilities acquired in a business combination, lease and well equipment inventory when the market value is determined to be lower than the cost of the inventory, and other property and equipment that are reduced to fair value when they are impaired or held for sale. There were no material nonrecurring fair value measurements for either of the periods presented.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Processing, Transportation and Produced Water Disposal Commitments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Firm Commitments</w:t>
      </w:r>
    </w:p>
    <w:p>
      <w:pPr>
        <w:spacing w:after="0" w:line="119"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From time to time, the Company enters into agreements with third parties whereby the Company commits to deliver anticipated natural gas and oil production and produced water from certain portions of its acreage for transportation, gathering, processing, fractionation, sales and disposal. The Company paid approximately $25.3 million and $21.5 million for services under these agreements during the three months ended March 31, 2026 and 2025,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March 31, 2026, the total deficiencies required to be paid by the Company under these agreements would be approximately $2.29 billion.</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San Mateo Commitments</w:t>
      </w:r>
    </w:p>
    <w:p>
      <w:pPr>
        <w:spacing w:after="0" w:line="119"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Company dedicated to San Mateo its current and certain future leasehold interests in the Rustler Breaks asset area and the Wolf portion of the West Texas asset area and acreage in the southern portion of the Arrowhead asset area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Stateline asset area pursuant to 15-year, fixed-fee natural gas processing agreements. The Company also dedicated to San Mateo certain of its current and future leasehold interests in the Ranger and Antelope Ridge asset areas pursuant to 15-year, fixed-fee natural gas gathering, compression, treating and processing agreements (collectively with the transportation, gathering, produced water disposal and natural gas processing agreements, the “Operational Agreements”). San Mateo provides the Company with firm service under each of the Operational Agreements in exchange for certain minimum volume commitments. The remaining minimum contractual obligation under the Operational Agreements at March 31, 2026 was approximately $701.2 million.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Legal Proceedings</w:t>
      </w:r>
    </w:p>
    <w:p>
      <w:pPr>
        <w:spacing w:after="0" w:line="11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 is a party to several legal proceedings encountered in the ordinary course of its business. While the ultimate outcome and impact on the Company cannot be predicted with certainty, in the opinion of management, it is remote that these legal proceedings will have a material adverse impact on the Company’s financial condition, results of operations or cash flows.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0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SUPPLEMENTAL DISCLOSURES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Payable and Accrued Liabilities</w:t>
      </w:r>
    </w:p>
    <w:p>
      <w:pPr>
        <w:spacing w:after="0" w:line="119"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current accounts payable and accrued liabilities at March 31, 2026 and December 31, 2025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7"/>
                <w:szCs w:val="17"/>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179,337</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evaluated and unproved and unevaluated property costs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151,680</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lease operating expenses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85,009</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on debt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32,157</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derivative payments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partners’ share of joint interest charges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24,427</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33,162</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payable related to purchased natural gas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10,530</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midstream properties costs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asset retirement obligations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10,361</w:t>
            </w:r>
          </w:p>
        </w:tc>
      </w:tr>
      <w:tr>
        <w:trPr>
          <w:trHeight w:val="223"/>
        </w:trPr>
        <w:tc>
          <w:tcPr>
            <w:tcW w:w="7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702,371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540,620</w:t>
            </w:r>
          </w:p>
        </w:tc>
      </w:tr>
      <w:tr>
        <w:trPr>
          <w:trHeight w:val="21"/>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Supplemental Cash Flow Information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supplemental disclosures of cash flow information for the three months ended March 31, 2026 and 2025 (in thousands).</w:t>
      </w:r>
    </w:p>
    <w:p>
      <w:pPr>
        <w:spacing w:after="0" w:line="241"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ind w:left="93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 expense, net of amounts capitalized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32,771</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asset retirement obligations related to mineral properties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asset retirement obligations related to midstream properties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liabilities for drilling, completion and equipping capital expenditures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liabilities for acquisition of oil and natural gas properties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liabilities for midstream properties capital expenditures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recognized as a liability</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of inventory to (from) oil and natural gas properties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w:t>
            </w:r>
          </w:p>
        </w:tc>
      </w:tr>
    </w:tbl>
    <w:p>
      <w:pPr>
        <w:spacing w:after="0" w:line="166"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p>
      <w:pPr>
        <w:spacing w:after="0" w:line="17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ind w:left="93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60" w:type="dxa"/>
            <w:vAlign w:val="bottom"/>
            <w:tcBorders>
              <w:bottom w:val="single" w:sz="8" w:color="CCEEFF"/>
            </w:tcBorders>
          </w:tcPr>
          <w:p>
            <w:pPr>
              <w:spacing w:after="0"/>
              <w:rPr>
                <w:sz w:val="20"/>
                <w:szCs w:val="20"/>
                <w:color w:val="auto"/>
              </w:rPr>
            </w:pPr>
          </w:p>
        </w:tc>
        <w:tc>
          <w:tcPr>
            <w:tcW w:w="40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40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40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62,994</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4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6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w:t>
      </w:r>
    </w:p>
    <w:p>
      <w:pPr>
        <w:spacing w:after="0" w:line="200" w:lineRule="exact"/>
        <w:rPr>
          <w:sz w:val="20"/>
          <w:szCs w:val="20"/>
          <w:color w:val="auto"/>
        </w:rPr>
      </w:pPr>
    </w:p>
    <w:p>
      <w:pPr>
        <w:spacing w:after="0" w:line="25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The Company has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has operations in the Haynesville shale and Cotton Valley plays in Northwest Louisiana. The midstream segment conducts midstream operations in support of, and provides flow assurance for, the Company’s exploration, development and production operations and provides natural gas processing, oil transportation services, oil, natural gas and produced water gathering services and produced water disposal services to third parties. The majority of the Company’s midstream operations in the Delaware Basin are conducted through San Mateo.</w:t>
      </w:r>
    </w:p>
    <w:p>
      <w:pPr>
        <w:spacing w:after="0" w:line="8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the Chairman and Chief Executive Officer. The CODM uses operating income to assess income generated from each segment to allocate resources by either reinvesting profits as midstream or drilling and completion capital expenditures, or for determining the appropriate amounts for acquisition spend, the repayment of debt, the payment of dividends and repurchases of common stock.</w:t>
      </w:r>
    </w:p>
    <w:p>
      <w:pPr>
        <w:spacing w:after="0" w:line="68" w:lineRule="exact"/>
        <w:rPr>
          <w:sz w:val="20"/>
          <w:szCs w:val="20"/>
          <w:color w:val="auto"/>
        </w:rPr>
      </w:pPr>
    </w:p>
    <w:p>
      <w:pPr>
        <w:ind w:right="200" w:firstLine="445"/>
        <w:spacing w:after="0" w:line="255" w:lineRule="auto"/>
        <w:rPr>
          <w:sz w:val="20"/>
          <w:szCs w:val="20"/>
          <w:color w:val="auto"/>
        </w:rPr>
      </w:pPr>
      <w:r>
        <w:rPr>
          <w:rFonts w:ascii="Times New Roman" w:cs="Times New Roman" w:eastAsia="Times New Roman" w:hAnsi="Times New Roman"/>
          <w:sz w:val="18"/>
          <w:szCs w:val="18"/>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180" w:type="dxa"/>
            <w:vAlign w:val="bottom"/>
          </w:tcPr>
          <w:p>
            <w:pPr>
              <w:spacing w:after="0"/>
              <w:rPr>
                <w:sz w:val="17"/>
                <w:szCs w:val="17"/>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7"/>
                <w:szCs w:val="17"/>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Consolidations and</w:t>
            </w:r>
          </w:p>
        </w:tc>
        <w:tc>
          <w:tcPr>
            <w:tcW w:w="160" w:type="dxa"/>
            <w:vAlign w:val="bottom"/>
          </w:tcPr>
          <w:p>
            <w:pPr>
              <w:spacing w:after="0"/>
              <w:rPr>
                <w:sz w:val="17"/>
                <w:szCs w:val="17"/>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815,951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818,731</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(93,857)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42,091</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80,782</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(14,493)</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(255,474)</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expense</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(39,652)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162,753</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67,177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(54,205)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462,063</w:t>
            </w:r>
          </w:p>
        </w:tc>
        <w:tc>
          <w:tcPr>
            <w:tcW w:w="0" w:type="dxa"/>
            <w:vAlign w:val="bottom"/>
          </w:tcPr>
          <w:p>
            <w:pPr>
              <w:spacing w:after="0"/>
              <w:rPr>
                <w:sz w:val="1"/>
                <w:szCs w:val="1"/>
                <w:color w:val="auto"/>
              </w:rPr>
            </w:pPr>
          </w:p>
        </w:tc>
      </w:tr>
      <w:tr>
        <w:trPr>
          <w:trHeight w:val="221"/>
        </w:trPr>
        <w:tc>
          <w:tcPr>
            <w:tcW w:w="39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(3)</w:t>
            </w:r>
          </w:p>
        </w:tc>
        <w:tc>
          <w:tcPr>
            <w:tcW w:w="16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18,568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62,739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(34,486)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46,821</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9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(4)</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10,187,710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1,833,540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153,239</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12,174,489</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9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(5)</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496,926</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lease operating expense for the exploration and production segment and midstream operating expense for the midstream segment.</w:t>
      </w:r>
    </w:p>
    <w:p>
      <w:pPr>
        <w:spacing w:after="0" w:line="122" w:lineRule="exact"/>
        <w:rPr>
          <w:rFonts w:ascii="Times New Roman" w:cs="Times New Roman" w:eastAsia="Times New Roman" w:hAnsi="Times New Roman"/>
          <w:sz w:val="14"/>
          <w:szCs w:val="14"/>
          <w:color w:val="auto"/>
        </w:rPr>
      </w:pPr>
    </w:p>
    <w:p>
      <w:pPr>
        <w:jc w:val="both"/>
        <w:ind w:left="340" w:right="320" w:hanging="332"/>
        <w:spacing w:after="0" w:line="271"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$275.3 million and $17.0 million for the exploration and production and midstream segments, respectively. Also includes corporate depletion, depreciation and amortization expenses of $0.4 million. Other expenses for each reportable segment also include (i) transportation and processing, (ii) general and administrative expenses, (iii) accretion of asset retirement obligations, (iv) purchased natural gas and (v) taxes other than income.</w:t>
      </w:r>
    </w:p>
    <w:p>
      <w:pPr>
        <w:spacing w:after="0" w:line="7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$20.1 million in net income attributable to non-controlling interest in subsidiaries related to the midstream segment.</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intercompany receivables and investments in subsidiaries.</w:t>
      </w:r>
    </w:p>
    <w:p>
      <w:pPr>
        <w:spacing w:after="0" w:line="122" w:lineRule="exact"/>
        <w:rPr>
          <w:rFonts w:ascii="Times New Roman" w:cs="Times New Roman" w:eastAsia="Times New Roman" w:hAnsi="Times New Roman"/>
          <w:sz w:val="14"/>
          <w:szCs w:val="14"/>
          <w:color w:val="auto"/>
        </w:rPr>
      </w:pPr>
    </w:p>
    <w:p>
      <w:pPr>
        <w:ind w:left="340" w:right="260" w:hanging="332"/>
        <w:spacing w:after="0" w:line="282"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$61.4 million attributable to land and seismic acquisition expenditures related to the exploration and production segment and $5.2 million in capital expenditures attributable to non-controlling interest in subsidiaries related to the midstream segment.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160" w:type="dxa"/>
            <w:vAlign w:val="bottom"/>
          </w:tcPr>
          <w:p>
            <w:pPr>
              <w:spacing w:after="0"/>
              <w:rPr>
                <w:sz w:val="17"/>
                <w:szCs w:val="17"/>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7"/>
                <w:szCs w:val="17"/>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Consolidations and</w:t>
            </w:r>
          </w:p>
        </w:tc>
        <w:tc>
          <w:tcPr>
            <w:tcW w:w="160" w:type="dxa"/>
            <w:vAlign w:val="bottom"/>
          </w:tcPr>
          <w:p>
            <w:pPr>
              <w:spacing w:after="0"/>
              <w:rPr>
                <w:sz w:val="17"/>
                <w:szCs w:val="17"/>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6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1"/>
                <w:szCs w:val="21"/>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09"/>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909,918</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(86,480)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33,499</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62,756</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expense</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(41,456)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156,214</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(45,024)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468,593</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389,151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(4)</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9,310,313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1,665,288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106,440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11,082,041</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(5)</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554,278</w:t>
            </w:r>
          </w:p>
        </w:tc>
        <w:tc>
          <w:tcPr>
            <w:tcW w:w="0" w:type="dxa"/>
            <w:vAlign w:val="bottom"/>
          </w:tcPr>
          <w:p>
            <w:pPr>
              <w:spacing w:after="0"/>
              <w:rPr>
                <w:sz w:val="1"/>
                <w:szCs w:val="1"/>
                <w:color w:val="auto"/>
              </w:rPr>
            </w:pPr>
          </w:p>
        </w:tc>
      </w:tr>
      <w:tr>
        <w:trPr>
          <w:trHeight w:val="297"/>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lease operating expense for the exploration and production segment and midstream operating expense for the midstream segment.</w:t>
      </w:r>
    </w:p>
    <w:p>
      <w:pPr>
        <w:spacing w:after="0" w:line="163" w:lineRule="exact"/>
        <w:rPr>
          <w:rFonts w:ascii="Times New Roman" w:cs="Times New Roman" w:eastAsia="Times New Roman" w:hAnsi="Times New Roman"/>
          <w:sz w:val="14"/>
          <w:szCs w:val="14"/>
          <w:color w:val="auto"/>
        </w:rPr>
      </w:pPr>
    </w:p>
    <w:p>
      <w:pPr>
        <w:ind w:left="340" w:right="220" w:hanging="332"/>
        <w:spacing w:after="0" w:line="281"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$269.5 million and $12.1 million for the exploration and production and midstream segments, respectively. Also includes corporate depletion, depreciation and amortization expenses of $0.4 million. Other expenses for each reportable segment also include (i) transportation and processing, (ii) general and administrative expenses, (iii) accretion of asset retirement obligations, (iv) purchased natural gas and (v) taxes other than income.</w:t>
      </w:r>
    </w:p>
    <w:p>
      <w:pPr>
        <w:spacing w:after="0" w:line="6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$22.2 million in net income attributable to non-controlling interest in subsidiaries related to the midstream segment.</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intercompany receivables and investments in subsidiaries.</w:t>
      </w:r>
    </w:p>
    <w:p>
      <w:pPr>
        <w:spacing w:after="0" w:line="122" w:lineRule="exact"/>
        <w:rPr>
          <w:rFonts w:ascii="Times New Roman" w:cs="Times New Roman" w:eastAsia="Times New Roman" w:hAnsi="Times New Roman"/>
          <w:sz w:val="14"/>
          <w:szCs w:val="14"/>
          <w:color w:val="auto"/>
        </w:rPr>
      </w:pPr>
    </w:p>
    <w:p>
      <w:pPr>
        <w:ind w:left="340" w:right="120" w:hanging="332"/>
        <w:spacing w:after="0" w:line="302"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$81.8 million attributable to land and seismic acquisition expenditures related to the exploration and production segment and $30.8 million in capital expenditures attributable to non-controlling interest in subsidiaries related to the midstream segment.</w:t>
      </w: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2025 (the “Annual Report”) filed with the Securities and Exchange Commission (the “SEC”) on February 26, 2026, along with Management’s Discussion and Analysis of Financial Condition and Results of Operations contained in the Annual Report. The Annual Report is accessible on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 xml:space="preserve"> and on our website at </w:t>
      </w:r>
      <w:r>
        <w:rPr>
          <w:rFonts w:ascii="Times New Roman" w:cs="Times New Roman" w:eastAsia="Times New Roman" w:hAnsi="Times New Roman"/>
          <w:sz w:val="18"/>
          <w:szCs w:val="18"/>
          <w:i w:val="1"/>
          <w:iCs w:val="1"/>
          <w:u w:val="single" w:color="auto"/>
          <w:color w:val="auto"/>
        </w:rPr>
        <w:t>www.matadorresources.com</w:t>
      </w:r>
      <w:r>
        <w:rPr>
          <w:rFonts w:ascii="Times New Roman" w:cs="Times New Roman" w:eastAsia="Times New Roman" w:hAnsi="Times New Roman"/>
          <w:sz w:val="18"/>
          <w:szCs w:val="18"/>
          <w:i w:val="1"/>
          <w:iCs w:val="1"/>
          <w:color w:val="auto"/>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spacing w:after="0" w:line="77"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In this Quarterly Report on Form 10-Q (this “Quarterly Report”), (i) references to “we,” “our” or the “Company” refer to Matador Resources Company and its subsidiaries as a whole (unless the context indicates otherwise), (ii) references to “Matador” refer solely to Matador Resources Company and (iii) references to “San Mateo” refer to San Mateo Midstream, LLC, collectively with its subsidiaries. For certain oil and natural gas terms used in this Quarterly Report, please see the “Glossary of Oil and Natural Gas Terms” included with the Annual Report.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Certain statements in this Quarterly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All statements, other than statements of historical fact, included in this Quarterly Report regarding our strategy, future operations, estimated revenues and losses, projected costs, prospects, plans and objectives of management are forward-looking statements. Such statements are generally identifiable by the terminology used such as “anticipate,” “believe,” “continue,” “could,” “estimate,” “expect,” “forecasted,” “hypothetical,” “intend,” “may,” “might,” “plan,” “potential,” “predict,” “project,” “seek,” “should,” “would” or other similar words, although not all forward-looking statements contain such identifying words.</w:t>
      </w:r>
    </w:p>
    <w:p>
      <w:pPr>
        <w:spacing w:after="0" w:line="84" w:lineRule="exact"/>
        <w:rPr>
          <w:sz w:val="20"/>
          <w:szCs w:val="20"/>
          <w:color w:val="auto"/>
        </w:rPr>
      </w:pPr>
    </w:p>
    <w:p>
      <w:pPr>
        <w:ind w:right="40" w:firstLine="445"/>
        <w:spacing w:after="0" w:line="252" w:lineRule="auto"/>
        <w:rPr>
          <w:sz w:val="20"/>
          <w:szCs w:val="20"/>
          <w:color w:val="auto"/>
        </w:rPr>
      </w:pPr>
      <w:r>
        <w:rPr>
          <w:rFonts w:ascii="Times New Roman" w:cs="Times New Roman" w:eastAsia="Times New Roman" w:hAnsi="Times New Roman"/>
          <w:sz w:val="18"/>
          <w:szCs w:val="18"/>
          <w:color w:val="auto"/>
        </w:rPr>
        <w:t>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those described in the “Risk Factors” section of the Annual Report, as well as the following factors, among others: general economic conditions, including the effects of inflation and interest rates; tariffs and trade tensions; our ability to execute our business plan, including whether our drilling program is successful; changes in oil, natural gas and natural gas liquids (“NGL”) prices and the demand for oil, natural gas and NGLs; our ability to replace reserves and efficiently develop current reserves; the operating results of our midstream business’s oil, natural gas and water gathering and transportation systems, pipelines and facilities, the acquiring of third-party business and the drilling of any additional salt water disposal wells; costs of operations; delays and other difficulties related to producing oil, natural gas and NGLs or the construction, expansion or operation of our midstream assets; delays and other difficulties related to regulatory and governmental approvals and restrictions; impact on our operations due to seismic events; availability of sufficient capital to execute our business plan, including from future cash flows, capital markets, available borrowing capacity under our revolving credit facilities and otherwise; our ability to make acquisitions on economically acceptable terms; our ability to integrate acquisitions; the operating results of and availability of any potential distributions from our joint ventures; weather conditions, environmental conditions and natural disasters; disruption from our acquisitions making it more difficult to maintain business and operational relationships; significant transaction costs associated with our acquisitions; evolving cybersecurity risks; the risk of litigation and/or regulatory actions related to our acquisitions; and the other factors discussed below and elsewhere in this Quarterly Report and in other documents that we file with or furnish to the SEC, all of which are difficult to predict. Forward-looking statements may include statements about:</w:t>
      </w:r>
    </w:p>
    <w:p>
      <w:pPr>
        <w:spacing w:after="0" w:line="8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future reserves and the present value thereof, including whether or not a full-cost ceiling impairment could be realized;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and liquidity;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and payment of dividends,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strategy, budget, projections and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of oil, natural gas and NGLs;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natural gas and NGL prices, including our realized prices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future production of oil and natural gas;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1" w:name="page22"/>
    <w:bookmarkEnd w:id="21"/>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drilling and production equipment;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oil storage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oil field labor;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nature and timing of capital expenditures, including future exploration and development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drilling of wells;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and consummate acquisition and divestiture opportunities;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acquisitions with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and taxation of the oil and natural gas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restrictions;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of oil and natural gas;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exploitation projects or property acquisitions;</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midstream business to construct, maintain and operate midstream pipelines and facilities, including the operation of cryogenic natural gas processing plants and the drilling of additional salt water disposal wells;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midstream business to attract third-party volumes;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of exploiting and developing our properties and conducting other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oil and natural gas industry, including in both the exploration and production and midstream segments;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and hedging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initiatives and efforts relating to environmental, social and governance matters;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credit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and developments in oil-producing and natural gas-producing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One Big Beautiful Bill Act of 2025 (the “OBBBA”);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objectives, expectations and intentions contained in this Quarterly Report or in our other filings with the SEC that are not historical.</w:t>
      </w:r>
    </w:p>
    <w:p>
      <w:pPr>
        <w:spacing w:after="0" w:line="9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spacing w:after="0" w:line="54"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have operations in the Haynesville shale and Cotton Valley plays in Northwest Louisiana. Additionally, we conduct midstream operations in support of, and to provide flow assurance for, our exploration, development and production operations and provide natural gas processing, oil transportation services, oil, natural gas and produced water gathering services and produced water disposal services to third parties.</w:t>
      </w: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31"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First Quarter Highlights</w:t>
      </w:r>
    </w:p>
    <w:p>
      <w:pPr>
        <w:spacing w:after="0" w:line="11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our total oil equivalent production was 18.7 million BOE, and our average daily oil equivalent production was 207,594 BOE per day, of which 120,277 Bbl per day, or 58%, was oil and 523.9 MMcf per day, or 42%, was natural gas. Our average daily oil production of 120,277 Bbl per day for the three months ended March 31, 2026 increased 5% year-over-year from 115,030 Bbl per day for the three months ended March 31, 2025. Our average daily natural gas production of 523.9 MMcf per day for the three months ended March 31, 2026 increased 4% year-over-year from 501.6 MMcf per day for the three months ended March 31, 2025.</w:t>
      </w:r>
    </w:p>
    <w:p>
      <w:pPr>
        <w:spacing w:after="0" w:line="75" w:lineRule="exact"/>
        <w:rPr>
          <w:sz w:val="20"/>
          <w:szCs w:val="20"/>
          <w:color w:val="auto"/>
        </w:rPr>
      </w:pPr>
    </w:p>
    <w:p>
      <w:pPr>
        <w:ind w:right="580" w:firstLine="445"/>
        <w:spacing w:after="0" w:line="282" w:lineRule="auto"/>
        <w:rPr>
          <w:sz w:val="20"/>
          <w:szCs w:val="20"/>
          <w:color w:val="auto"/>
        </w:rPr>
      </w:pPr>
      <w:r>
        <w:rPr>
          <w:rFonts w:ascii="Times New Roman" w:cs="Times New Roman" w:eastAsia="Times New Roman" w:hAnsi="Times New Roman"/>
          <w:sz w:val="18"/>
          <w:szCs w:val="18"/>
          <w:color w:val="auto"/>
        </w:rPr>
        <w:t>The Delaware Basin contributed 100% of our daily oil production and 97% of our daily natural gas production in the first quarter of 2026, as compared to 100% of our daily oil production and 96% of our daily natural gas production in the first quarter of 2025.</w:t>
      </w:r>
    </w:p>
    <w:p>
      <w:pPr>
        <w:spacing w:after="0" w:line="54" w:lineRule="exact"/>
        <w:rPr>
          <w:sz w:val="20"/>
          <w:szCs w:val="20"/>
          <w:color w:val="auto"/>
        </w:rPr>
      </w:pPr>
    </w:p>
    <w:p>
      <w:pPr>
        <w:ind w:right="160" w:firstLine="445"/>
        <w:spacing w:after="0" w:line="220" w:lineRule="exact"/>
        <w:rPr>
          <w:sz w:val="20"/>
          <w:szCs w:val="20"/>
          <w:color w:val="auto"/>
        </w:rPr>
      </w:pPr>
      <w:r>
        <w:rPr>
          <w:rFonts w:ascii="Times New Roman" w:cs="Times New Roman" w:eastAsia="Times New Roman" w:hAnsi="Times New Roman"/>
          <w:sz w:val="18"/>
          <w:szCs w:val="18"/>
          <w:color w:val="auto"/>
        </w:rPr>
        <w:t>For the first quarter of 2026, we reported a net loss attributable to Matador shareholders of $35.9 million, or $0.29 per diluted common share, on a GAAP basis, primarily resulting from a $255.5 million unrealized loss on derivatives, as compared to net income attributable to Matador shareholders of $240.1 million, or $1.92 per diluted common share, for the first quarter of 2025. For the first quarter of 2026, our Adjusted EBITDA,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was $577.2 million, as compared to Adjusted EBITDA of $644.2 million during the first quarter of 2025.</w:t>
      </w:r>
    </w:p>
    <w:p>
      <w:pPr>
        <w:spacing w:after="0" w:line="92"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For a definition of Adjusted EBITDA and a reconciliation of Adjusted EBITDA to our net (loss) income and net cash provided by operating activities, see “—Liquidity and Capital Resources—Non-GAAP Financial Measures.” For more information regarding our financial results for the three months ended March 31, 2026, see “—Results of Operations”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Capital Expenditure Budget</w:t>
      </w:r>
    </w:p>
    <w:p>
      <w:pPr>
        <w:spacing w:after="0" w:line="119"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Our 2026 estimated capital expenditure budget consists of $1.35 to $1.44 billion for drilling, completing and equipping (“D/C/E”) capital expenditures and $100.0 to $110.0 million for midstream capital expenditures, which includes our proportionate share of San Mateo’s estimated 2026 capital expenditures as well as the estimated 2026 capital expenditures for other wholly-owned midstream projects.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 Update</w:t>
      </w:r>
    </w:p>
    <w:p>
      <w:pPr>
        <w:spacing w:after="0" w:line="119" w:lineRule="exact"/>
        <w:rPr>
          <w:sz w:val="20"/>
          <w:szCs w:val="20"/>
          <w:color w:val="auto"/>
        </w:rPr>
      </w:pPr>
    </w:p>
    <w:p>
      <w:pPr>
        <w:jc w:val="both"/>
        <w:ind w:right="220" w:firstLine="405"/>
        <w:spacing w:after="0" w:line="266" w:lineRule="auto"/>
        <w:rPr>
          <w:sz w:val="20"/>
          <w:szCs w:val="20"/>
          <w:color w:val="auto"/>
        </w:rPr>
      </w:pPr>
      <w:r>
        <w:rPr>
          <w:rFonts w:ascii="Times New Roman" w:cs="Times New Roman" w:eastAsia="Times New Roman" w:hAnsi="Times New Roman"/>
          <w:sz w:val="18"/>
          <w:szCs w:val="18"/>
          <w:color w:val="auto"/>
        </w:rPr>
        <w:t>Matador’s Board of Directors (the “Board”) declared and paid quarterly cash dividends of $0.375 per share of common stock in the first quarter of 2026. On April 22, 2026, the Board declared a quarterly cash dividend of $0.375 per share of common stock payable on June 5, 2026 to shareholders of record as of May 8, 2026.</w:t>
      </w:r>
    </w:p>
    <w:p>
      <w:pPr>
        <w:spacing w:after="0" w:line="68" w:lineRule="exact"/>
        <w:rPr>
          <w:sz w:val="20"/>
          <w:szCs w:val="20"/>
          <w:color w:val="auto"/>
        </w:rPr>
      </w:pPr>
    </w:p>
    <w:p>
      <w:pPr>
        <w:ind w:right="120" w:firstLine="445"/>
        <w:spacing w:after="0" w:line="254" w:lineRule="auto"/>
        <w:rPr>
          <w:sz w:val="20"/>
          <w:szCs w:val="20"/>
          <w:color w:val="auto"/>
        </w:rPr>
      </w:pPr>
      <w:r>
        <w:rPr>
          <w:rFonts w:ascii="Times New Roman" w:cs="Times New Roman" w:eastAsia="Times New Roman" w:hAnsi="Times New Roman"/>
          <w:sz w:val="18"/>
          <w:szCs w:val="18"/>
          <w:color w:val="auto"/>
        </w:rPr>
        <w:t>In March 2026, we completed the repurchase of an aggregate principal amount of $419.8 million of the $500.0 million of outstanding senior notes due 2028 (the “2028 Notes”) as part of our cash tender offer announced on February 26, 2026 (the “2028 Notes Tender Offer”). Additionally, in March 2026, we irrevocably deposited funds with the trustee to redeem the remaining aggregate principal amount of $80.2 million of 2028 Notes outstanding on April 15, 2026 (the “2028 Notes Redemption”), and as a result of such deposit, to satisfy and discharge our obligations under the indenture governing the 2028 Notes.</w:t>
      </w:r>
    </w:p>
    <w:p>
      <w:pPr>
        <w:spacing w:after="0" w:line="79" w:lineRule="exact"/>
        <w:rPr>
          <w:sz w:val="20"/>
          <w:szCs w:val="20"/>
          <w:color w:val="auto"/>
        </w:rPr>
      </w:pPr>
    </w:p>
    <w:p>
      <w:pPr>
        <w:ind w:right="80" w:firstLine="445"/>
        <w:spacing w:after="0" w:line="289" w:lineRule="auto"/>
        <w:rPr>
          <w:sz w:val="20"/>
          <w:szCs w:val="20"/>
          <w:color w:val="auto"/>
        </w:rPr>
      </w:pPr>
      <w:r>
        <w:rPr>
          <w:rFonts w:ascii="Times New Roman" w:cs="Times New Roman" w:eastAsia="Times New Roman" w:hAnsi="Times New Roman"/>
          <w:sz w:val="17"/>
          <w:szCs w:val="17"/>
          <w:color w:val="auto"/>
        </w:rPr>
        <w:t>Additionally, in March 2026, we completed the sale of $750.0 million in aggregate principal amount of our 6.00% senior notes due 2034 (the “2034 Notes”). We used the net proceeds from the sale of the 2034 Notes (the “2034 Notes Offering”) of $737.9 million, after deducting initial purchasers’ discounts and estimated offering expenses, to fund the 2028 Notes Tender Offer and 2028 Notes Redemption and for general corporate purposes.</w:t>
      </w:r>
    </w:p>
    <w:p>
      <w:pPr>
        <w:spacing w:after="0" w:line="50"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For a summary of our sources and availability of liquidity as of March 31, 2026, see “Liquidity and Capital Resources” in Part I, Item 2 of this Quarterly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have been no changes to our critical accounting policies and estimates from those set forth in the Annual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7"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unaudited revenues and production data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96"/>
        </w:trPr>
        <w:tc>
          <w:tcPr>
            <w:tcW w:w="6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6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6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Revenues (in thousands)</w:t>
            </w:r>
            <w:r>
              <w:rPr>
                <w:rFonts w:ascii="Times New Roman" w:cs="Times New Roman" w:eastAsia="Times New Roman" w:hAnsi="Times New Roman"/>
                <w:sz w:val="23"/>
                <w:szCs w:val="23"/>
                <w:b w:val="1"/>
                <w:bCs w:val="1"/>
                <w:color w:val="auto"/>
                <w:vertAlign w:val="superscript"/>
              </w:rPr>
              <w:t>(1)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788,349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749,322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(130,214)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6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oil and natural gas revenues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909,918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9"/>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0"/>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(loss) gain on derivatives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29"/>
        </w:trPr>
        <w:tc>
          <w:tcPr>
            <w:tcW w:w="6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(255,474)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(260,545)</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(5,138)%</w:t>
            </w:r>
          </w:p>
        </w:tc>
      </w:tr>
      <w:tr>
        <w:trPr>
          <w:trHeight w:val="223"/>
        </w:trPr>
        <w:tc>
          <w:tcPr>
            <w:tcW w:w="62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1,013,958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(342,321)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6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Net Production Volumes</w:t>
            </w:r>
            <w:r>
              <w:rPr>
                <w:rFonts w:ascii="Times New Roman" w:cs="Times New Roman" w:eastAsia="Times New Roman" w:hAnsi="Times New Roman"/>
                <w:sz w:val="23"/>
                <w:szCs w:val="23"/>
                <w:b w:val="1"/>
                <w:bCs w:val="1"/>
                <w:color w:val="auto"/>
                <w:vertAlign w:val="superscript"/>
              </w:rPr>
              <w:t>(1)</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 (MBbl)</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(Bcf)</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6280" w:type="dxa"/>
            <w:vAlign w:val="bottom"/>
            <w:shd w:val="clear" w:color="auto" w:fill="CCEEFF"/>
          </w:tcPr>
          <w:p>
            <w:pPr>
              <w:ind w:left="760"/>
              <w:spacing w:after="0" w:line="230" w:lineRule="exact"/>
              <w:rPr>
                <w:sz w:val="20"/>
                <w:szCs w:val="20"/>
                <w:color w:val="auto"/>
              </w:rPr>
            </w:pPr>
            <w:r>
              <w:rPr>
                <w:rFonts w:ascii="Times New Roman" w:cs="Times New Roman" w:eastAsia="Times New Roman" w:hAnsi="Times New Roman"/>
                <w:sz w:val="18"/>
                <w:szCs w:val="18"/>
                <w:color w:val="auto"/>
              </w:rPr>
              <w:t>Total oil equivalent (MBOE)</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6280" w:type="dxa"/>
            <w:vAlign w:val="bottom"/>
          </w:tcPr>
          <w:p>
            <w:pPr>
              <w:ind w:left="760"/>
              <w:spacing w:after="0" w:line="230" w:lineRule="exact"/>
              <w:rPr>
                <w:sz w:val="20"/>
                <w:szCs w:val="20"/>
                <w:color w:val="auto"/>
              </w:rPr>
            </w:pPr>
            <w:r>
              <w:rPr>
                <w:rFonts w:ascii="Times New Roman" w:cs="Times New Roman" w:eastAsia="Times New Roman" w:hAnsi="Times New Roman"/>
                <w:sz w:val="18"/>
                <w:szCs w:val="18"/>
                <w:color w:val="auto"/>
              </w:rPr>
              <w:t>Average daily production (BOE/d)</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Sales Prices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without realized derivatives (per Bbl)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 with realized derivatives (per Bbl)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without realized derivatives (per Mcf)</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with realized derivatives (per Mcf)</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13" w:lineRule="exact"/>
        <w:rPr>
          <w:sz w:val="20"/>
          <w:szCs w:val="20"/>
          <w:color w:val="auto"/>
        </w:rPr>
      </w:pPr>
    </w:p>
    <w:p>
      <w:pPr>
        <w:ind w:left="340" w:right="320" w:hanging="332"/>
        <w:spacing w:after="0" w:line="302"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report our production volumes in two streams: oil and natural gas, including both dry and liquids-rich natural gas. Revenues associated with NGLs are included with our natural gas revenues.</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using a conversion ratio of one Bbl of oil per six Mcf of natural gas.</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Three Months Ended March 31, 2026 as Compared to Three Months Ended March 31, 2025</w:t>
      </w:r>
    </w:p>
    <w:p>
      <w:pPr>
        <w:spacing w:after="0" w:line="117"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Oil and natural gas revenues. </w:t>
      </w:r>
      <w:r>
        <w:rPr>
          <w:rFonts w:ascii="Times New Roman" w:cs="Times New Roman" w:eastAsia="Times New Roman" w:hAnsi="Times New Roman"/>
          <w:sz w:val="18"/>
          <w:szCs w:val="18"/>
          <w:color w:val="auto"/>
        </w:rPr>
        <w:t>The increase in oil revenues resulted from the 5% increase in our oil production and the 1% increase in the weighted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oil price realized for the three months ended March 31, 2026, as compared to the three months ended March 31, 2025. The decrease in natural gas revenues primarily resulted from the 82% decrease in the weighted average natural gas price realized for the three months ended March 31, 2026, as compared to the three months ended March 31, 2025, which was partially offset by the 4% increase in our natural gas production. For further discussion of factors impacting commodity prices, see “—General Outlook and Trends.”</w:t>
      </w:r>
    </w:p>
    <w:p>
      <w:pPr>
        <w:spacing w:after="0" w:line="75"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Third-party midstream services revenues. </w:t>
      </w:r>
      <w:r>
        <w:rPr>
          <w:rFonts w:ascii="Times New Roman" w:cs="Times New Roman" w:eastAsia="Times New Roman" w:hAnsi="Times New Roman"/>
          <w:sz w:val="18"/>
          <w:szCs w:val="18"/>
          <w:color w:val="auto"/>
        </w:rPr>
        <w:t>Third-party midstream services revenues are those revenues from midstream operations related to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including working interest owners in our operated wells. The increase in third-party midstream services revenues was primarily attributable to a $9.0 million increase in our third-party natural gas gathering and processing revenues during the three months ended March 31, 2026, as compared to the three months ended March 31, 2025, which was partially offset by a $0.7 million decrease in our third-party water disposal revenues during the three months ended March 31, 2026, as compared to the three months ended March 31, 2025.</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4" w:name="page25"/>
    <w:bookmarkEnd w:id="24"/>
    <w:p>
      <w:pPr>
        <w:ind w:right="8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of purchased natural gas. </w:t>
      </w:r>
      <w:r>
        <w:rPr>
          <w:rFonts w:ascii="Times New Roman" w:cs="Times New Roman" w:eastAsia="Times New Roman" w:hAnsi="Times New Roman"/>
          <w:sz w:val="18"/>
          <w:szCs w:val="18"/>
          <w:color w:val="auto"/>
        </w:rPr>
        <w:t>The increase in sales of purchased natural gas was primarily the result of an 87% increase in natural gas volumes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sold, which was partially offset by a 31% decrease in natural gas price realized in those sales. Sales of purchased natural gas reflect those natural gas purchase transactions that we periodically enter into with third parties whereby we purchase natural gas and (i) subsequently sell the natural gas to other purchasers or (ii) process the natural gas at San Mateo’s cryogenic natural gas processing plants and subsequently sell the residue natural gas and NGLs to other purchasers. These revenues, and the expenses related to these transactions included in “Purchased natural gas,” are presented on a gross basis in our interim unaudited condensed consolidated statements of operations.</w:t>
      </w:r>
    </w:p>
    <w:p>
      <w:pPr>
        <w:spacing w:after="0" w:line="74" w:lineRule="exact"/>
        <w:rPr>
          <w:sz w:val="20"/>
          <w:szCs w:val="20"/>
          <w:color w:val="auto"/>
        </w:rPr>
      </w:pPr>
    </w:p>
    <w:p>
      <w:pPr>
        <w:ind w:right="80" w:firstLine="44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Realized (loss) gain on derivatives. </w:t>
      </w:r>
      <w:r>
        <w:rPr>
          <w:rFonts w:ascii="Times New Roman" w:cs="Times New Roman" w:eastAsia="Times New Roman" w:hAnsi="Times New Roman"/>
          <w:sz w:val="18"/>
          <w:szCs w:val="18"/>
          <w:color w:val="auto"/>
        </w:rPr>
        <w:t>Our realized loss on derivatives was $14.5 million for the three months ended March 31, 2026, as compared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realized gain of $2.7 million for the three months ended March 31, 2025. For the three months ended March 31, 2026, we recorded a net loss of $51.8 million related to our oil costless collars resulting primarily from oil prices that were above the ceiling of certain of our oil costless collar contracts. This loss was partially offset by a net gain of $37.3 million primarily related to our natural gas costless collar and swap contracts, resulting primarily from natural gas basis differentials that were below the fixed prices of certain of our natural gas basis differential swap contracts. For the three months ended March 31, 2025, we recorded a net gain of $2.7 million related to our natural gas basis differential swap contracts, resulting primarily from natural gas basis differentials that were below the fixed prices of certain of our natural gas basis differential swap contracts. We realized an average loss on our oil derivatives of approximately $4.79 per Bbl produced during the three months ended March 31, 2026, as compared to no realized gains or losses from oil derivatives during the three months ended March 31, 2025. We realized an average gain on our natural gas derivatives of approximately $0.80 per Mcf produced during the three months ended March 31, 2026, as compared to an average gain of approximately $0.06 per Mcf produced during the three months ended March 31, 2025. See Note 7,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for further details on our derivatives.</w:t>
      </w:r>
    </w:p>
    <w:p>
      <w:pPr>
        <w:spacing w:after="0" w:line="84" w:lineRule="exact"/>
        <w:rPr>
          <w:sz w:val="20"/>
          <w:szCs w:val="20"/>
          <w:color w:val="auto"/>
        </w:rPr>
      </w:pPr>
    </w:p>
    <w:p>
      <w:pPr>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Unrealized (loss) gain on derivatives. </w:t>
      </w:r>
      <w:r>
        <w:rPr>
          <w:rFonts w:ascii="Times New Roman" w:cs="Times New Roman" w:eastAsia="Times New Roman" w:hAnsi="Times New Roman"/>
          <w:sz w:val="18"/>
          <w:szCs w:val="18"/>
          <w:color w:val="auto"/>
        </w:rPr>
        <w:t>During the three months ended March 31, 2026, the aggregate net fair value of our open oil and natural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costless collar, natural gas swap and natural gas basis differential swap contracts changed to a net liability of $221.4 million from a net asset of $34.1 million at December 31, 2025, resulting in an unrealized loss on derivatives of $255.5 million for the three months ended March 31, 2026. During the three months ended March 31, 2025, the aggregate net fair value of our open oil and natural gas costless collar and natural gas basis differential swap contracts changed to a net asset of $21.0 million from a net asset of $16.0 million at December 31, 2024, resulting in an unrealized gain on derivatives of $5.1 million for the three months ended March 31, 2025. See Note 7,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for further details on our derivatives.</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7"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unaudited operating expenses and other income (expense)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96"/>
        </w:trPr>
        <w:tc>
          <w:tcPr>
            <w:tcW w:w="6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expenses per BOE)</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6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Lease operating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6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Transportation and processing</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6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Midstream operating</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6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Purchased natural gas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6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6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Taxes other than income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6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29"/>
        </w:trPr>
        <w:tc>
          <w:tcPr>
            <w:tcW w:w="63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3"/>
        </w:trPr>
        <w:tc>
          <w:tcPr>
            <w:tcW w:w="63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389,151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(342,330)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6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on asset sales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6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63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Total other expense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(19,340)</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23"/>
        </w:trPr>
        <w:tc>
          <w:tcPr>
            <w:tcW w:w="63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(361,670)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59,940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(60,624)</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6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income tax (benefit) provision</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82,921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(278,065)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6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Matador Resources Company shareholders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240,085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(275,957)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Expenses per BOE</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9"/>
        </w:trPr>
        <w:tc>
          <w:tcPr>
            <w:tcW w:w="6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Lease operating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Transportation and processing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6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Midstream operating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6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Taxes other than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bl>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Three Months Ended March 31, 2026 as Compared to Three Months Ended March 31, 2025</w:t>
      </w:r>
    </w:p>
    <w:p>
      <w:pPr>
        <w:spacing w:after="0" w:line="117" w:lineRule="exact"/>
        <w:rPr>
          <w:sz w:val="20"/>
          <w:szCs w:val="20"/>
          <w:color w:val="auto"/>
        </w:rPr>
      </w:pPr>
    </w:p>
    <w:p>
      <w:pPr>
        <w:ind w:right="1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Lease operating. </w:t>
      </w:r>
      <w:r>
        <w:rPr>
          <w:rFonts w:ascii="Times New Roman" w:cs="Times New Roman" w:eastAsia="Times New Roman" w:hAnsi="Times New Roman"/>
          <w:sz w:val="18"/>
          <w:szCs w:val="18"/>
          <w:color w:val="auto"/>
        </w:rPr>
        <w:t>The increase in lease operating expense was primarily attributable to the increased number of wells being operated by us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operators (where we own a working interest) for the three months ended March 31, 2026, as compared to the three months ended March 31, 2025.</w:t>
      </w:r>
    </w:p>
    <w:p>
      <w:pPr>
        <w:spacing w:after="0" w:line="50" w:lineRule="exact"/>
        <w:rPr>
          <w:sz w:val="20"/>
          <w:szCs w:val="20"/>
          <w:color w:val="auto"/>
        </w:rPr>
      </w:pPr>
    </w:p>
    <w:p>
      <w:pPr>
        <w:ind w:right="6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Transportation and processing. </w:t>
      </w:r>
      <w:r>
        <w:rPr>
          <w:rFonts w:ascii="Times New Roman" w:cs="Times New Roman" w:eastAsia="Times New Roman" w:hAnsi="Times New Roman"/>
          <w:sz w:val="18"/>
          <w:szCs w:val="18"/>
          <w:color w:val="auto"/>
        </w:rPr>
        <w:t>The decrease in transportation and processing expenses is primarily due to additional allowable deductions identified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state of New Mexico and a change in the mix of revenue contracts between the periods.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6" w:name="page27"/>
    <w:bookmarkEnd w:id="26"/>
    <w:p>
      <w:pPr>
        <w:ind w:right="14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Midstream operating. </w:t>
      </w:r>
      <w:r>
        <w:rPr>
          <w:rFonts w:ascii="Times New Roman" w:cs="Times New Roman" w:eastAsia="Times New Roman" w:hAnsi="Times New Roman"/>
          <w:sz w:val="18"/>
          <w:szCs w:val="18"/>
          <w:color w:val="auto"/>
        </w:rPr>
        <w:t>The increase in midstream operating expense was primarily attributable to increased throughput volumes from Matador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San Mateo customers, which resulted in a $3.3 million increase in expenses associated with plant processing and a $2.3 million increase in expenses associated with our expanded pipeline operations for the three months ended March 31, 2026, as compared to the three months ended March 31, 2025, which was partially offset by a $2.0 million decrease in expenses associated with our commercial produced water disposal operations for the three months ended March 31, 2026, as compared to the three months ended March 31, 2025.</w:t>
      </w:r>
    </w:p>
    <w:p>
      <w:pPr>
        <w:spacing w:after="0" w:line="75" w:lineRule="exact"/>
        <w:rPr>
          <w:sz w:val="20"/>
          <w:szCs w:val="20"/>
          <w:color w:val="auto"/>
        </w:rPr>
      </w:pPr>
    </w:p>
    <w:p>
      <w:pPr>
        <w:ind w:right="32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Purchased natural gas. </w:t>
      </w:r>
      <w:r>
        <w:rPr>
          <w:rFonts w:ascii="Times New Roman" w:cs="Times New Roman" w:eastAsia="Times New Roman" w:hAnsi="Times New Roman"/>
          <w:sz w:val="18"/>
          <w:szCs w:val="18"/>
          <w:color w:val="auto"/>
        </w:rPr>
        <w:t>The decrease in purchased natural gas expense was primarily due to a decline of approximately 129% in average Waha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which was partially offset by a 31% increase in volumes purchased due to the weaker market pricing, during the three months ended March 31, 2026, as compared to the three months ended March 31, 2025.</w:t>
      </w:r>
    </w:p>
    <w:p>
      <w:pPr>
        <w:spacing w:after="0" w:line="65" w:lineRule="exact"/>
        <w:rPr>
          <w:sz w:val="20"/>
          <w:szCs w:val="20"/>
          <w:color w:val="auto"/>
        </w:rPr>
      </w:pPr>
    </w:p>
    <w:p>
      <w:pPr>
        <w:ind w:right="20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Depletion, depreciation and amortization. </w:t>
      </w:r>
      <w:r>
        <w:rPr>
          <w:rFonts w:ascii="Times New Roman" w:cs="Times New Roman" w:eastAsia="Times New Roman" w:hAnsi="Times New Roman"/>
          <w:sz w:val="18"/>
          <w:szCs w:val="18"/>
          <w:color w:val="auto"/>
        </w:rPr>
        <w:t>The increase in depletion, depreciation and amortization was primarily a result of the 5% increase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oil equivalent production for the three months ended March 31, 2026, as compared to the three months ended March 31, 2025.</w:t>
      </w:r>
    </w:p>
    <w:p>
      <w:pPr>
        <w:spacing w:after="0" w:line="50" w:lineRule="exact"/>
        <w:rPr>
          <w:sz w:val="20"/>
          <w:szCs w:val="20"/>
          <w:color w:val="auto"/>
        </w:rPr>
      </w:pPr>
    </w:p>
    <w:p>
      <w:pPr>
        <w:ind w:right="4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Taxes other than income. </w:t>
      </w:r>
      <w:r>
        <w:rPr>
          <w:rFonts w:ascii="Times New Roman" w:cs="Times New Roman" w:eastAsia="Times New Roman" w:hAnsi="Times New Roman"/>
          <w:sz w:val="18"/>
          <w:szCs w:val="18"/>
          <w:color w:val="auto"/>
        </w:rPr>
        <w:t>The decrease in taxes other than income is primarily due to the decrease in natural gas revenues, partially offset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oil revenues between the two periods.</w:t>
      </w:r>
    </w:p>
    <w:p>
      <w:pPr>
        <w:spacing w:after="0" w:line="50" w:lineRule="exact"/>
        <w:rPr>
          <w:sz w:val="20"/>
          <w:szCs w:val="20"/>
          <w:color w:val="auto"/>
        </w:rPr>
      </w:pPr>
    </w:p>
    <w:p>
      <w:pPr>
        <w:ind w:right="2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The increase in general and administrative expense was largely attributable to employee compensation costs, including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$6.8 million increase in stock-based compensation expense primarily associated with our cash-settled stock awards, the values of which are remeasured at each reporting period.</w:t>
      </w:r>
    </w:p>
    <w:p>
      <w:pPr>
        <w:spacing w:after="0" w:line="65"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For the three months ended March 31, 2026, we incurred total interest expense of $58.6 million. We capitalized $7.0 million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expense on certain qualifying projects for the three months ended March 31, 2026 and expensed the remaining $51.5 million to operations. For the three months ended March 31, 2025, we incurred total interest expense of $58.2 million. We capitalized $8.7 million of our interest expense on certain qualifying projects for the three months ended March 31, 2025 and expensed the remaining $49.5 million to operations.</w:t>
      </w:r>
    </w:p>
    <w:p>
      <w:pPr>
        <w:spacing w:after="0" w:line="72" w:lineRule="exact"/>
        <w:rPr>
          <w:sz w:val="20"/>
          <w:szCs w:val="20"/>
          <w:color w:val="auto"/>
        </w:rPr>
      </w:pPr>
    </w:p>
    <w:p>
      <w:pPr>
        <w:ind w:right="54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on debt extinguishment. </w:t>
      </w:r>
      <w:r>
        <w:rPr>
          <w:rFonts w:ascii="Times New Roman" w:cs="Times New Roman" w:eastAsia="Times New Roman" w:hAnsi="Times New Roman"/>
          <w:sz w:val="18"/>
          <w:szCs w:val="18"/>
          <w:color w:val="auto"/>
        </w:rPr>
        <w:t>In connection with the 2028 Notes Tender Offer and 2028 Notes Redemption, we incurred a loss on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extinguishment of $15.6 million, including a $9.7 million cash prepayment premium and a $5.9 million write-off of remaining unamortized deferred issuance costs and discounts.</w:t>
      </w:r>
    </w:p>
    <w:p>
      <w:pPr>
        <w:spacing w:after="0" w:line="65" w:lineRule="exact"/>
        <w:rPr>
          <w:sz w:val="20"/>
          <w:szCs w:val="20"/>
          <w:color w:val="auto"/>
        </w:rPr>
      </w:pPr>
    </w:p>
    <w:p>
      <w:pPr>
        <w:ind w:right="2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(benefit) provision. </w:t>
      </w:r>
      <w:r>
        <w:rPr>
          <w:rFonts w:ascii="Times New Roman" w:cs="Times New Roman" w:eastAsia="Times New Roman" w:hAnsi="Times New Roman"/>
          <w:sz w:val="18"/>
          <w:szCs w:val="18"/>
          <w:color w:val="auto"/>
        </w:rPr>
        <w:t>The decreases in the current and deferred income tax provisions between the periods were primarily due to both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book earnings and the OBBBA. See Note 8,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of our Annual Report for further details of the provisions of the OBBBA that most significantly affect our income taxes. Our effective income tax rate of 2% for the three months ended March 31, 2026 differed from the U.S. federal statutory rate primarily due to the impact of permanent differences between book and tax income recognized discretely in the current period relative to the loss before income taxes. Our effective tax rate of 26% for the three months ended March 31, 2025 differed from the U.S. federal statutory rate primarily due to state taxes in New Mexico.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Our primary use of capital has been, and we expect will continue to be during the remainder of 2026 and for the foreseeable future, for the acquisition, exploration and development of oil and natural gas properties and for midstream investments. We expect to fund our 2026 capital expenditures through a combination of cash on hand, operating cash flows and performance incentives paid to us by Five Point Infrastructure LLC or its affiliates. If capital expenditures were to exceed these sources of cash during the remainder of 2026, we expect to fund any such excess capital expenditures, including for significant acquisitions, through borrowings under our secured revolving credit facility (the “Credit Agreement”) or San Mateo’s secured revolving credit facility (the “San Mateo Credit Facility”) (assuming availability under such facilities) or through other capital sources, including borrowings under expanded or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generate operating cash flows and access outside sources of capital.</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color w:val="auto"/>
        </w:rPr>
        <w:t xml:space="preserve">The table below reflects our sources and availability of liquidity at March 31, 2026. See Note 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further details.</w:t>
      </w:r>
    </w:p>
    <w:p>
      <w:pPr>
        <w:spacing w:after="0" w:line="153" w:lineRule="exact"/>
        <w:rPr>
          <w:sz w:val="20"/>
          <w:szCs w:val="20"/>
          <w:color w:val="auto"/>
        </w:rPr>
      </w:pPr>
    </w:p>
    <w:p>
      <w:pPr>
        <w:ind w:left="20"/>
        <w:spacing w:after="0"/>
        <w:tabs>
          <w:tab w:leader="none" w:pos="8000" w:val="left"/>
          <w:tab w:leader="none" w:pos="9840" w:val="left"/>
        </w:tabs>
        <w:rPr>
          <w:sz w:val="20"/>
          <w:szCs w:val="20"/>
          <w:color w:val="auto"/>
        </w:rPr>
      </w:pPr>
      <w:r>
        <w:rPr>
          <w:rFonts w:ascii="Times New Roman" w:cs="Times New Roman" w:eastAsia="Times New Roman" w:hAnsi="Times New Roman"/>
          <w:sz w:val="14"/>
          <w:szCs w:val="14"/>
          <w:b w:val="1"/>
          <w:bCs w:val="1"/>
          <w:color w:val="auto"/>
        </w:rPr>
        <w:t>(In thousands)</w:t>
      </w:r>
      <w:r>
        <w:rPr>
          <w:sz w:val="20"/>
          <w:szCs w:val="20"/>
          <w:color w:val="auto"/>
        </w:rPr>
        <w:tab/>
      </w:r>
      <w:r>
        <w:rPr>
          <w:rFonts w:ascii="Times New Roman" w:cs="Times New Roman" w:eastAsia="Times New Roman" w:hAnsi="Times New Roman"/>
          <w:sz w:val="14"/>
          <w:szCs w:val="14"/>
          <w:b w:val="1"/>
          <w:bCs w:val="1"/>
          <w:color w:val="auto"/>
        </w:rPr>
        <w:t>Total Balance</w:t>
      </w:r>
      <w:r>
        <w:rPr>
          <w:sz w:val="20"/>
          <w:szCs w:val="20"/>
          <w:color w:val="auto"/>
        </w:rPr>
        <w:tab/>
      </w:r>
      <w:r>
        <w:rPr>
          <w:rFonts w:ascii="Times New Roman" w:cs="Times New Roman" w:eastAsia="Times New Roman" w:hAnsi="Times New Roman"/>
          <w:sz w:val="14"/>
          <w:szCs w:val="14"/>
          <w:b w:val="1"/>
          <w:bCs w:val="1"/>
          <w:color w:val="auto"/>
        </w:rPr>
        <w:t>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7199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71995" cy="15430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8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30,451</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30,451</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2,011,156</w:t>
            </w:r>
          </w:p>
        </w:tc>
      </w:tr>
      <w:tr>
        <w:trPr>
          <w:trHeight w:val="234"/>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Mateo Credit Facility</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918,000</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166,600</w:t>
            </w:r>
          </w:p>
        </w:tc>
      </w:tr>
      <w:tr>
        <w:trPr>
          <w:trHeight w:val="23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6.500% senior notes due 2032 (the “2032 Notes”)</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6.250% senior notes due 2033 (the “2033 Notes”)</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6.000% senior notes due 2034 (the “2034 Notes”)</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-590550</wp:posOffset>
            </wp:positionV>
            <wp:extent cx="707199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7199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071995"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79" w:lineRule="exact"/>
        <w:rPr>
          <w:sz w:val="20"/>
          <w:szCs w:val="20"/>
          <w:color w:val="auto"/>
        </w:rPr>
      </w:pPr>
    </w:p>
    <w:p>
      <w:pPr>
        <w:sectPr>
          <w:pgSz w:w="11900" w:h="16838" w:orient="portrait"/>
          <w:cols w:equalWidth="0" w:num="2">
            <w:col w:w="10740" w:space="80"/>
            <w:col w:w="400"/>
          </w:cols>
          <w:pgMar w:left="320" w:top="1037" w:right="359" w:bottom="1440" w:gutter="0" w:footer="0" w:header="0"/>
          <w:type w:val="continuous"/>
        </w:sect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by approximately $53.8 million in outstanding letters of credit issued pursuant to the Credit Agreement.</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by approximately $15.4 million in outstanding letters of credit issued pursuant to the San Mateo Credit Facility.</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we have access to additional financing and refinancing, if needed, although we can make no assurances as to the form or terms of such financing.</w:t>
      </w:r>
    </w:p>
    <w:p>
      <w:pPr>
        <w:spacing w:after="0" w:line="127" w:lineRule="exact"/>
        <w:rPr>
          <w:sz w:val="20"/>
          <w:szCs w:val="20"/>
          <w:color w:val="auto"/>
        </w:rPr>
      </w:pPr>
    </w:p>
    <w:p>
      <w:pPr>
        <w:jc w:val="both"/>
        <w:ind w:right="160" w:firstLine="445"/>
        <w:spacing w:after="0" w:line="266" w:lineRule="auto"/>
        <w:rPr>
          <w:sz w:val="20"/>
          <w:szCs w:val="20"/>
          <w:color w:val="auto"/>
        </w:rPr>
      </w:pPr>
      <w:r>
        <w:rPr>
          <w:rFonts w:ascii="Times New Roman" w:cs="Times New Roman" w:eastAsia="Times New Roman" w:hAnsi="Times New Roman"/>
          <w:sz w:val="18"/>
          <w:szCs w:val="18"/>
          <w:color w:val="auto"/>
        </w:rPr>
        <w:t xml:space="preserve">In March 2026, we completed the 2034 Notes Offering. We used the net proceeds from the 2034 Notes Offering of $737.9 million, after deducting initial purchasers’ discounts and estimated offering expenses, to fund the 2028 Notes Tender Offer and 2028 Notes Redemption and for general corporate purposes. See Note 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further details of these debt transactions.</w:t>
      </w:r>
    </w:p>
    <w:p>
      <w:pPr>
        <w:spacing w:after="0" w:line="6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Since March 31, 2026, we repaid $140.0 million of borrowings under the Credit Agreement, and at May 6, 2026, we had $45.0 million in borrowings outstanding under the Credit Agreement. Since March 31, 2026, San Mateo repaid $58.0 million of borrowings under the San Mateo Credit Facility, and at May 6, 2026, San Mateo had $860.0 million in borrowings outstanding under the San Mateo Credit Facility.</w:t>
      </w:r>
    </w:p>
    <w:p>
      <w:pPr>
        <w:spacing w:after="0" w:line="7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Board declared and paid quarterly cash dividends of $0.375 per share of common stock in the first quarter of 2026. On April 22, 2026, the Board declared a quarterly cash dividend of $0.375 per share of common stock payable on June 5, 2026 to shareholders of record as of May 8, 2026.</w:t>
      </w:r>
    </w:p>
    <w:p>
      <w:pPr>
        <w:spacing w:after="0" w:line="54"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As further described in the Annual Report, we maintain a share repurchase program (the “Share Repurchase Program”) authorizing the repurchase of up to $400.0 million of common stock. During the three months ended March 31, 2026, we repurchased 17,702 shares of common stock under the Share Repurchase Program at a weighted average price of $39.92 per common share for a total cost of $0.7 million.</w:t>
      </w:r>
    </w:p>
    <w:p>
      <w:pPr>
        <w:spacing w:after="0" w:line="68"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We expect that development of our Delaware Basin assets will be the primary focus of our operations and capital expenditures for the remainder of 2026. We have built significant optionality into our drilling program, which should generally allow us to decrease or increase the number of rigs we operate as necessary based on changing commodity prices and other factors. Our 2026 estimated capital expenditure budget consists of $1.35 to $1.44 billion for D/C/E capital expenditures and $100.0 to $110.0 million for midstream capital expenditures, which includes our proportionate share of San Mateo’s estimated 2026 capital expenditures as well as the estimated 2026 capital expenditures for other wholly-owned midstream projects. Substantially all of these 2026 estimated capital expenditures are expected to be allocated to (i) the further delineation and development of our leasehold position, (ii) the construction, installation and maintenance of midstream assets and (iii) our participation in certain non-operated well opportunities. Our Delaware Basin operated drilling program for the remainder of 2026 is expected to focus on the continued development of our various asset areas throughout the Delaware Basin, with a continued emphasis on drilling and completing a high percentage of longer horizontal wells.</w:t>
      </w:r>
    </w:p>
    <w:p>
      <w:pPr>
        <w:spacing w:after="0" w:line="80" w:lineRule="exact"/>
        <w:rPr>
          <w:sz w:val="20"/>
          <w:szCs w:val="20"/>
          <w:color w:val="auto"/>
        </w:rPr>
      </w:pPr>
    </w:p>
    <w:p>
      <w:pPr>
        <w:ind w:right="500" w:firstLine="405"/>
        <w:spacing w:after="0" w:line="261" w:lineRule="auto"/>
        <w:rPr>
          <w:sz w:val="20"/>
          <w:szCs w:val="20"/>
          <w:color w:val="auto"/>
        </w:rPr>
      </w:pPr>
      <w:r>
        <w:rPr>
          <w:rFonts w:ascii="Times New Roman" w:cs="Times New Roman" w:eastAsia="Times New Roman" w:hAnsi="Times New Roman"/>
          <w:sz w:val="18"/>
          <w:szCs w:val="18"/>
          <w:color w:val="auto"/>
        </w:rPr>
        <w:t>We intend to continue evaluating the opportunistic acquisition of producing properties, acreage and mineral interests and midstream assets, principally in the Delaware Basin. Purchase price multiples and per-acre prices can vary significantly based on the asset or prospect. As a result, it is difficult to estimate these capital expenditures with any degree of certainty; therefore, we have not provided estimated capital expenditures related to acquiring producing properties, acreage and mineral interests and midstream assets for 2026.</w:t>
      </w:r>
    </w:p>
    <w:p>
      <w:pPr>
        <w:spacing w:after="0" w:line="7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As we have done in recent years, we may divest portions of our non-core assets as well as consider monetizing other assets, such as certain midstream assets and mineral and royalty interests, as value-creating opportunities arise. Divestitures and other types of monetizations are difficult to estimate with any degree of certainty. Therefore, we have not provided estimated proceeds related to divestitures or monetizations for 2026.</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type w:val="continuous"/>
        </w:sectPr>
      </w:pPr>
    </w:p>
    <w:bookmarkStart w:id="28" w:name="page29"/>
    <w:bookmarkEnd w:id="28"/>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Our 2026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spacing w:after="0" w:line="80"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 xml:space="preserve">Exploration and development activities are subject to a number of risks and uncertainties, which could cause these activities to be less successful than we anticipate. A significant portion of our anticipated cash flows from operations for the remainder of 2026 is expected to come from producing wells and development activities on currently proved properties in the Delaware Basin and the Haynesville shale in Northwest Louisiana. Our existing operated and non-operated wells may not produce at the levels we are forecasting or may be temporarily shut in or restricted due to low commodity prices, and our exploration and development activities in these areas may not be as successful as we anticipate. Additionally, our anticipated cash flows from operations are based upon current expectations of oil and natural gas prices for 2026 and the hedges we currently have in place. For further discussion of our expectations of such commodity prices, see “—General Outlook and Trends” below. At times, we use commodity derivative financial instruments to mitigate our exposure to fluctuations in oil, natural gas and NGL prices and to partially offset reductions in our cash flows from operations resulting from declines in commodity prices. See Note 7,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in this Quarterly Report for a summary of our open derivative financial instruments.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unaudited cash flows for the three months ended March 31, 2026 and 2025 are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2"/>
        </w:trPr>
        <w:tc>
          <w:tcPr>
            <w:tcW w:w="55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4"/>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(257,333)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233,830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restricted cash</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143"/>
        </w:trPr>
        <w:tc>
          <w:tcPr>
            <w:tcW w:w="55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Adjusted EBITDA attributable to Matador Resources Company</w:t>
            </w: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243"/>
        </w:trPr>
        <w:tc>
          <w:tcPr>
            <w:tcW w:w="55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shareholders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577,170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340" w:right="300" w:hanging="332"/>
        <w:spacing w:after="0" w:line="302"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For a definition of Adjusted EBITDA and a reconciliation of Adjusted EBITDA to our net (loss) income and net cash provided by operating activities, see “—Non-GAAP Financial Measures” below.</w:t>
      </w:r>
    </w:p>
    <w:p>
      <w:pPr>
        <w:spacing w:after="0" w:line="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Excluding changes in operating assets and liabilities, net cash provided by operating activities decreased $44.3 million to $564.2 million for the three months ended March 31, 2026 from $608.5 million for the three months ended March 31, 2025. This decrease was primarily attributable to lower realized natural gas prices for the three months ended March 31, 2026, as compared to the three months ended March 31, 2025, which was partially offset by increased oil and natural gas production and higher realized oil prices for the three months ended March 31, 2026, as compared to the three months ended March 31, 2025. Changes in our operating assets and liabilities between the periods resulted in a $213.1 million decrease in net cash provided by operating activities for the three months ended March 31, 2026, as compared to the three months ended March 31, 2025.</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The decrease in net cash used in investing activities between the periods was primarily due to (i) a $55.3 million decrease in midstream capital expenditures and (ii) a $20.0 million decrease in expenditures related to the acquisition of oil and natural gas properties, partially offset by a $21.4 million decrease in cash provided by proceeds from the sale of assets.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9" w:name="page30"/>
    <w:bookmarkEnd w:id="29"/>
    <w:p>
      <w:pPr>
        <w:ind w:left="220"/>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119"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The decrease in net cash used in financing activities between the periods was primarily due to (i) $737.9 million of net proceeds received from the 2034 Notes Offering during the period and (ii) $24.0 million of proceeds from the sale-leaseback financing obligation, partially offset by (i) $509.7 million used to repurchase the principal amount of the 2028 Notes and (ii) a $22.5 million increase in net repayments under the Credit Agreement.</w:t>
      </w:r>
    </w:p>
    <w:p>
      <w:pPr>
        <w:spacing w:after="0" w:line="66" w:lineRule="exact"/>
        <w:rPr>
          <w:sz w:val="20"/>
          <w:szCs w:val="20"/>
          <w:color w:val="auto"/>
        </w:rPr>
      </w:pPr>
    </w:p>
    <w:p>
      <w:pPr>
        <w:ind w:right="20" w:firstLine="445"/>
        <w:spacing w:after="0" w:line="284" w:lineRule="auto"/>
        <w:rPr>
          <w:sz w:val="20"/>
          <w:szCs w:val="20"/>
          <w:color w:val="auto"/>
        </w:rPr>
      </w:pPr>
      <w:r>
        <w:rPr>
          <w:rFonts w:ascii="Times New Roman" w:cs="Times New Roman" w:eastAsia="Times New Roman" w:hAnsi="Times New Roman"/>
          <w:sz w:val="18"/>
          <w:szCs w:val="18"/>
          <w:color w:val="auto"/>
        </w:rPr>
        <w:t xml:space="preserve">See Note 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this Quarterly Report for a summary of our debt, including the Credit Agreement, the San Mateo Credit Facility, the 2032 Notes, the 2033 Notes and the 2034 Notes.</w:t>
      </w:r>
    </w:p>
    <w:p>
      <w:pPr>
        <w:spacing w:after="0" w:line="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Non-GAAP Financial Measures</w:t>
      </w:r>
    </w:p>
    <w:p>
      <w:pPr>
        <w:spacing w:after="0" w:line="119"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We define Adjusted EBITDA as earnings before interest expense, income taxes, depletion, depreciation and amortization, accretion of asset retirement obligations, unrealized derivative gains and losses, non-recurring transaction costs for certain acquisitions, non-cash stock-based compensation expense, loss on debt extinguishment, net gain or loss on asset sales and impairments and certain other non-cash items. Adjusted EBITDA is not a measure of net (loss) income or cash flows as determined by GAAP. Adjusted EBITDA is a supplemental non-GAAP financial measure that is used by management and external users of our consolidated financial statements, such as industry analysts, investors, lenders and rating agencies.</w:t>
      </w:r>
    </w:p>
    <w:p>
      <w:pPr>
        <w:spacing w:after="0" w:line="75"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(loss) income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72"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Adjusted EBITDA should not be considered an alternative to, or more meaningful than, net (loss) income or net cash provided by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75"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calculation of Adjusted EBITDA and the reconciliation of Adjusted EBITDA to the GAAP financial measures of net (loss) income and net cash provided by operating activities, respectively.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4"/>
        </w:trPr>
        <w:tc>
          <w:tcPr>
            <w:tcW w:w="8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 Adjusted EBITDA Reconciliation to Net (Loss) Income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Matador Resources Company shareholders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240,085</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w:t>
            </w:r>
          </w:p>
        </w:tc>
        <w:tc>
          <w:tcPr>
            <w:tcW w:w="0" w:type="dxa"/>
            <w:vAlign w:val="bottom"/>
          </w:tcPr>
          <w:p>
            <w:pPr>
              <w:spacing w:after="0"/>
              <w:rPr>
                <w:sz w:val="1"/>
                <w:szCs w:val="1"/>
                <w:color w:val="auto"/>
              </w:rPr>
            </w:pPr>
          </w:p>
        </w:tc>
      </w:tr>
      <w:tr>
        <w:trPr>
          <w:trHeight w:val="223"/>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262,247</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49,489</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(benefit) provision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82,921</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281,891</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asset sales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non-recurring expense (income)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0" w:type="dxa"/>
            <w:vAlign w:val="bottom"/>
          </w:tcPr>
          <w:p>
            <w:pPr>
              <w:spacing w:after="0"/>
              <w:rPr>
                <w:sz w:val="1"/>
                <w:szCs w:val="1"/>
                <w:color w:val="auto"/>
              </w:rPr>
            </w:pPr>
          </w:p>
        </w:tc>
      </w:tr>
      <w:tr>
        <w:trPr>
          <w:trHeight w:val="223"/>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Adjusted EBITDA</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673,806</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attributable to non-controlling interest in subsidiaries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(29,583)</w:t>
            </w:r>
          </w:p>
        </w:tc>
        <w:tc>
          <w:tcPr>
            <w:tcW w:w="0" w:type="dxa"/>
            <w:vAlign w:val="bottom"/>
          </w:tcPr>
          <w:p>
            <w:pPr>
              <w:spacing w:after="0"/>
              <w:rPr>
                <w:sz w:val="1"/>
                <w:szCs w:val="1"/>
                <w:color w:val="auto"/>
              </w:rPr>
            </w:pPr>
          </w:p>
        </w:tc>
      </w:tr>
      <w:tr>
        <w:trPr>
          <w:trHeight w:val="223"/>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577,170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644,223</w:t>
            </w:r>
          </w:p>
        </w:tc>
        <w:tc>
          <w:tcPr>
            <w:tcW w:w="0" w:type="dxa"/>
            <w:vAlign w:val="bottom"/>
          </w:tcPr>
          <w:p>
            <w:pPr>
              <w:spacing w:after="0"/>
              <w:rPr>
                <w:sz w:val="1"/>
                <w:szCs w:val="1"/>
                <w:color w:val="auto"/>
              </w:rPr>
            </w:pPr>
          </w:p>
        </w:tc>
      </w:tr>
      <w:tr>
        <w:trPr>
          <w:trHeight w:val="20"/>
        </w:trPr>
        <w:tc>
          <w:tcPr>
            <w:tcW w:w="86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8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8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r>
      <w:tr>
        <w:trPr>
          <w:trHeight w:val="196"/>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 Adjusted EBITDA Reconciliation to Net Cash Provided by Operating Activities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470,546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727,879</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operating assets and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(119,385)</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 of non-cash portion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45,826</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provision</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22,981</w:t>
            </w: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non-cash and non-recurring income (expense)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attributable to non-controlling interest in subsidiaries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(29,583)</w:t>
            </w:r>
          </w:p>
        </w:tc>
      </w:tr>
      <w:tr>
        <w:trPr>
          <w:trHeight w:val="223"/>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577,170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644,223</w:t>
            </w:r>
          </w:p>
        </w:tc>
      </w:tr>
      <w:tr>
        <w:trPr>
          <w:trHeight w:val="21"/>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we reported a net loss attributable to Matador shareholders of $35.9 million, as compared to net income of $240.1 million for the three months ended March 31, 2025. The decrease in net income attributable to Matador shareholders primarily resulted from a $255.5 million unrealized loss on derivatives for the three months ended March 31, 2026, as compared to a $5.1 million unrealized gain on derivatives for the three months ended March 31, 2025, combined with lower realized natural gas prices for the comparative periods. These decreases were partially offset by an $83.6 million decrease in the income tax provision, which was primarily due to the enactment of the OBBBA, and increased oil and natural gas production for the three months ended March 31, 2026, as compared to the three months ended March 31, 2025.</w:t>
      </w:r>
    </w:p>
    <w:p>
      <w:pPr>
        <w:spacing w:after="0" w:line="7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Adjusted EBITDA, a non-GAAP financial measure, decreased $67.1 million to $577.2 million for the three months ended March 31, 2026, as compared to $644.2 million for the three months ended March 31, 2025. This decrease was primarily attributable to lower realized natural gas prices for the three months ended March 31, 2026, as compared to the three months ended March 31, 2025, partially offset by increased oil and natural gas production for the three months ended March 31, 2026, as compared to the three months ended March 31,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From time to time, we enter into off-balance sheet arrangements and transactions that can give rise to material off-balance sheet obligations.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March 31, 2026, the material off-balance sheet arrangements and transactions that we have entered into include (i) non-operated drilling commitments,</w:t>
      </w:r>
    </w:p>
    <w:p>
      <w:pPr>
        <w:spacing w:after="0" w:line="9" w:lineRule="exact"/>
        <w:rPr>
          <w:sz w:val="20"/>
          <w:szCs w:val="20"/>
          <w:color w:val="auto"/>
        </w:rPr>
      </w:pPr>
    </w:p>
    <w:p>
      <w:pPr>
        <w:ind w:right="160" w:firstLine="8"/>
        <w:spacing w:after="0" w:line="252" w:lineRule="auto"/>
        <w:tabs>
          <w:tab w:leader="none" w:pos="2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we have no transactions, arrangements or other relationships with unconsolidated entities or other persons that are reasonably likely to materially affect our liquidity or availability of or requirements for capital resources. See “—Obligations and Commitments” below and Note 9,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this Quarterly Report for more information regarding our off-balance sheet arrangements. Such information is incorporated herein by reference.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Obligations and Commitments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had the following material contractual obligations and commitments at March 31, 2026: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22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3 - 5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right="154"/>
              <w:spacing w:after="0" w:line="131" w:lineRule="exact"/>
              <w:rPr>
                <w:sz w:val="20"/>
                <w:szCs w:val="20"/>
                <w:color w:val="auto"/>
              </w:rPr>
            </w:pPr>
            <w:r>
              <w:rPr>
                <w:rFonts w:ascii="Times New Roman" w:cs="Times New Roman" w:eastAsia="Times New Roman" w:hAnsi="Times New Roman"/>
                <w:sz w:val="14"/>
                <w:szCs w:val="14"/>
                <w:b w:val="1"/>
                <w:bCs w:val="1"/>
                <w:color w:val="auto"/>
              </w:rPr>
              <w:t>More</w:t>
            </w:r>
          </w:p>
        </w:tc>
        <w:tc>
          <w:tcPr>
            <w:tcW w:w="0" w:type="dxa"/>
            <w:vAlign w:val="bottom"/>
          </w:tcPr>
          <w:p>
            <w:pPr>
              <w:spacing w:after="0"/>
              <w:rPr>
                <w:sz w:val="1"/>
                <w:szCs w:val="1"/>
                <w:color w:val="auto"/>
              </w:rPr>
            </w:pPr>
          </w:p>
        </w:tc>
      </w:tr>
      <w:tr>
        <w:trPr>
          <w:trHeight w:val="148"/>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0" w:type="dxa"/>
            <w:vAlign w:val="bottom"/>
          </w:tcPr>
          <w:p>
            <w:pPr>
              <w:spacing w:after="0"/>
              <w:rPr>
                <w:sz w:val="1"/>
                <w:szCs w:val="1"/>
                <w:color w:val="auto"/>
              </w:rPr>
            </w:pPr>
          </w:p>
        </w:tc>
      </w:tr>
      <w:tr>
        <w:trPr>
          <w:trHeight w:val="195"/>
        </w:trPr>
        <w:tc>
          <w:tcPr>
            <w:tcW w:w="48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2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9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4"/>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Borrowings, including letters of credit</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1,172,244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238,844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933,400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Senior unsecured notes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2,400,000</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leases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70,741</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Non-operated drilling commitments</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Drilling rig contracts</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Asset retirement obligations</w:t>
            </w:r>
            <w:r>
              <w:rPr>
                <w:rFonts w:ascii="Times New Roman" w:cs="Times New Roman" w:eastAsia="Times New Roman" w:hAnsi="Times New Roman"/>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139,488</w:t>
            </w:r>
          </w:p>
        </w:tc>
        <w:tc>
          <w:tcPr>
            <w:tcW w:w="0" w:type="dxa"/>
            <w:vAlign w:val="bottom"/>
          </w:tcPr>
          <w:p>
            <w:pPr>
              <w:spacing w:after="0"/>
              <w:rPr>
                <w:sz w:val="1"/>
                <w:szCs w:val="1"/>
                <w:color w:val="auto"/>
              </w:rPr>
            </w:pPr>
          </w:p>
        </w:tc>
      </w:tr>
      <w:tr>
        <w:trPr>
          <w:trHeight w:val="181"/>
        </w:trPr>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Transportation, gathering, processing and disposal agreements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82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with non-affiliates</w:t>
            </w:r>
            <w:r>
              <w:rPr>
                <w:rFonts w:ascii="Times New Roman" w:cs="Times New Roman" w:eastAsia="Times New Roman" w:hAnsi="Times New Roman"/>
                <w:sz w:val="23"/>
                <w:szCs w:val="23"/>
                <w:color w:val="auto"/>
                <w:vertAlign w:val="superscript"/>
              </w:rPr>
              <w:t>(6)</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2,292,272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1,094,138</w:t>
            </w:r>
          </w:p>
        </w:tc>
        <w:tc>
          <w:tcPr>
            <w:tcW w:w="0" w:type="dxa"/>
            <w:vAlign w:val="bottom"/>
          </w:tcPr>
          <w:p>
            <w:pPr>
              <w:spacing w:after="0"/>
              <w:rPr>
                <w:sz w:val="1"/>
                <w:szCs w:val="1"/>
                <w:color w:val="auto"/>
              </w:rPr>
            </w:pPr>
          </w:p>
        </w:tc>
      </w:tr>
      <w:tr>
        <w:trPr>
          <w:trHeight w:val="181"/>
        </w:trPr>
        <w:tc>
          <w:tcPr>
            <w:tcW w:w="4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Transportation, gathering, processing and disposal agreements</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82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with San Mateo</w:t>
            </w:r>
            <w:r>
              <w:rPr>
                <w:rFonts w:ascii="Times New Roman" w:cs="Times New Roman" w:eastAsia="Times New Roman" w:hAnsi="Times New Roman"/>
                <w:sz w:val="23"/>
                <w:szCs w:val="23"/>
                <w:color w:val="auto"/>
                <w:vertAlign w:val="superscript"/>
              </w:rPr>
              <w:t>(7)</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250,423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206,590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201,425</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Midstream contracts</w:t>
            </w:r>
            <w:r>
              <w:rPr>
                <w:rFonts w:ascii="Times New Roman" w:cs="Times New Roman" w:eastAsia="Times New Roman" w:hAnsi="Times New Roman"/>
                <w:sz w:val="23"/>
                <w:szCs w:val="23"/>
                <w:color w:val="auto"/>
                <w:vertAlign w:val="superscript"/>
              </w:rPr>
              <w:t>(8)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6,933,861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1,590,938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3,905,792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340" w:right="20" w:hanging="332"/>
        <w:spacing w:after="0" w:line="265"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principal maturities only. At March 31, 2026, we had $185.0 million in borrowings outstanding under the Credit Agreement and approximately $53.8 million in outstanding letters of credit issued pursuant to the Credit Agreement. The outstanding borrowings under the Credit Agreement mature on March 22, 2029. At March 31, 2026, San Mateo had $918.0 million of borrowings outstanding under the San Mateo Credit Facility and approximately $15.4 million in outstanding letters of credit issued pursuant to the San Mateo Credit Facility. The outstanding borrowings under the San Mateo Credit Facility mature on November 26, 2029. Assuming the amounts outstanding and interest rates of 5.43% and 5.67% respectively, for the Credit Agreement and the San Mateo Credit Facility at March 31, 2026, the interest expense for such facilities is expected to be approximately $10.2 million and $52.8 million, respectively, each year until maturity.</w:t>
      </w:r>
    </w:p>
    <w:p>
      <w:pPr>
        <w:spacing w:after="0" w:line="80" w:lineRule="exact"/>
        <w:rPr>
          <w:rFonts w:ascii="Times New Roman" w:cs="Times New Roman" w:eastAsia="Times New Roman" w:hAnsi="Times New Roman"/>
          <w:sz w:val="14"/>
          <w:szCs w:val="14"/>
          <w:color w:val="auto"/>
        </w:rPr>
      </w:pPr>
    </w:p>
    <w:p>
      <w:pPr>
        <w:ind w:left="340" w:right="100" w:hanging="332"/>
        <w:spacing w:after="0" w:line="271"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principal maturities only. Interest expense on the $900.0 million of outstanding 2032 Notes as of March 31, 2026 is expected to be approximately $58.5 million each year until maturity. Interest expense on the $750.0 million of outstanding 2033 Notes as of March 31, 2026 is expected to be approximately $46.9 million each year until maturity. Interest expense on the $750.0 million of outstanding 2034 Notes as of March 31, 2026 is expected to be approximately $45.0 million each year until maturity.</w:t>
      </w:r>
    </w:p>
    <w:p>
      <w:pPr>
        <w:spacing w:after="0" w:line="7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March 31, 2026, we had outstanding commitments to participate in the drilling and completion of various non-operated wells.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own or operate our own drilling rigs, but instead we enter into contracts with third parties for such drilling rigs.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discounted cash flow estimates for future asset retirement obligations at March 31, 2026.</w:t>
      </w:r>
    </w:p>
    <w:p>
      <w:pPr>
        <w:spacing w:after="0" w:line="122" w:lineRule="exact"/>
        <w:rPr>
          <w:rFonts w:ascii="Times New Roman" w:cs="Times New Roman" w:eastAsia="Times New Roman" w:hAnsi="Times New Roman"/>
          <w:sz w:val="14"/>
          <w:szCs w:val="14"/>
          <w:color w:val="auto"/>
        </w:rPr>
      </w:pPr>
    </w:p>
    <w:p>
      <w:pPr>
        <w:ind w:left="340" w:right="160" w:hanging="332"/>
        <w:spacing w:after="0" w:line="268"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minimum volume commitments, including contracts related to firm transportation on Energy Transfer’s Hugh Brinson Pipeline. If we do not meet the minimum volume commitments under these agreements, we would be required to pay certain deficiency fees. See Note 9,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in this Quarterly Report for more information about these contractual commitments.</w:t>
      </w:r>
    </w:p>
    <w:p>
      <w:pPr>
        <w:spacing w:after="0" w:line="77" w:lineRule="exact"/>
        <w:rPr>
          <w:rFonts w:ascii="Times New Roman" w:cs="Times New Roman" w:eastAsia="Times New Roman" w:hAnsi="Times New Roman"/>
          <w:sz w:val="14"/>
          <w:szCs w:val="14"/>
          <w:color w:val="auto"/>
        </w:rPr>
      </w:pPr>
    </w:p>
    <w:p>
      <w:pPr>
        <w:ind w:left="340" w:right="40" w:hanging="332"/>
        <w:spacing w:after="0" w:line="176" w:lineRule="exact"/>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dedicated to San Mateo our current and certain future leasehold interests in the Rustler Breaks asset area and the Wolf portion of the West Texas asset area and acreage in the southern portion of the Arrowhead asset area (the “Greater Stebbins Area”) and Stateline asset area pursuant to 15-year, fixed-fee oil transportation, oil, natural gas and produced water gathering and produced water disposal agreements. In addition, we dedicated to San Mateo our current and certain future leasehold interests in the Rustler Breaks asset area and acreage in the Greater Stebbins Area and Stateline asset area pursuant to 15</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year, fixed-fee natural gas processing agreements. We also dedicated to San Mateo certain of our current and future leasehold interests in the Ranger and Antelope Ridge asset areas pursuant to 15-year, fixed-fee natural gas gathering, compression, treating and processing agreements with San Mateo, whereby San Mateo will gather, compress, treat and process natural gas produced from our operated wells in northern Lea County, New Mexico. See Note 9,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in this Quarterly Report for more information about these contractual commitments.</w:t>
      </w:r>
    </w:p>
    <w:p>
      <w:pPr>
        <w:spacing w:after="0" w:line="8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March 31, 2026, we had outstanding commitments for capital expenditures to be utilized in San Mateo’s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General Outlook and Trends</w:t>
      </w:r>
    </w:p>
    <w:p>
      <w:pPr>
        <w:spacing w:after="0" w:line="121"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Our business success and financial results are dependent on many factors beyond our control, such as economic, political and regulatory developments, as well as competition from other sources of energy. For example, the current administration and Congress have altered, and may continue to alter, our current regulatory framework and may impact our business and the oil and gas industry generally. Commodity price volatility, in particular, is a significant risk to our business, cash flows and results of operations. Commodity prices are affected by changes in market supply and demand, which are impacted by overall economic activity, ongoing military conflicts, including ongoing military conflicts between Russia and Ukraine and in the Middle East, political instability, particularly in China and in the Middle East, geopolitical tensions involving Iran (including the potential for stricter U.S. sanctions on Iranian oil exports, regional conflicts and potential disruptions to shipping routes in the Strait of Hormuz), the actions of Organization of Petroleum Exporting Countries, Russia and certain other oil-exporting countries, weather, pipeline capacity constraints, inventory storage levels, oil and natural gas price differentials and other factors.</w:t>
      </w:r>
    </w:p>
    <w:p>
      <w:pPr>
        <w:spacing w:after="0" w:line="80"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prices we receive for oil, natural gas and NGLs heavily influence our revenues, profitability, cash flow available for capital expenditures, the repayment of debt, the payment of cash dividends, if any, and the repurchase of common stock, if any, access to capital, borrowing capacity under our Credit Agreement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 material adverse effect on our financial condition, results of operations, cash flows and reserves and our ability to comply with the financial covenants under our Credit Agreement. See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 in the Annual Report.</w:t>
      </w:r>
    </w:p>
    <w:p>
      <w:pPr>
        <w:spacing w:after="0" w:line="80" w:lineRule="exact"/>
        <w:rPr>
          <w:sz w:val="20"/>
          <w:szCs w:val="20"/>
          <w:color w:val="auto"/>
        </w:rPr>
      </w:pPr>
    </w:p>
    <w:p>
      <w:pPr>
        <w:ind w:right="300" w:firstLine="445"/>
        <w:spacing w:after="0" w:line="255" w:lineRule="auto"/>
        <w:rPr>
          <w:sz w:val="20"/>
          <w:szCs w:val="20"/>
          <w:color w:val="auto"/>
        </w:rPr>
      </w:pPr>
      <w:r>
        <w:rPr>
          <w:rFonts w:ascii="Times New Roman" w:cs="Times New Roman" w:eastAsia="Times New Roman" w:hAnsi="Times New Roman"/>
          <w:sz w:val="18"/>
          <w:szCs w:val="18"/>
          <w:color w:val="auto"/>
        </w:rPr>
        <w:t>Oil prices were higher in the first quarter of 2026, as compared to the first quarter of 2025. For the three months ended March 31, 2026, oil prices averaged $73.09 per Bbl, ranging from a low of $55.99 per Bbl in early January to a high of $102.88 per Bbl in late March, based upon the West Texas Intermediate (“WTI”) oil futures contract price for the earliest delivery date. Oil prices averaged $71.42 per Bbl for the three months ended March 31, 2025. We realized a weighted average oil price of $72.83 per Bbl ($68.04 with realized losses from oil derivatives) for our oil production for the three months ended March 31, 2026, as compared to $72.38 per Bbl (with no realized gains or losses from oil derivatives) for our oil production for the three months ended March 31, 2025. Oil prices have remained volatile since March 31, 2026. At May 6, 2026, the WTI oil futures contract for the earliest delivery date had increased from the average price for the first quarter of 2026 of $73.09 per Bbl, settling at $95.08 per Bbl.</w:t>
      </w:r>
    </w:p>
    <w:p>
      <w:pPr>
        <w:spacing w:after="0" w:line="81" w:lineRule="exact"/>
        <w:rPr>
          <w:sz w:val="20"/>
          <w:szCs w:val="20"/>
          <w:color w:val="auto"/>
        </w:rPr>
      </w:pPr>
    </w:p>
    <w:p>
      <w:pPr>
        <w:ind w:right="80" w:firstLine="445"/>
        <w:spacing w:after="0" w:line="253" w:lineRule="auto"/>
        <w:rPr>
          <w:sz w:val="20"/>
          <w:szCs w:val="20"/>
          <w:color w:val="auto"/>
        </w:rPr>
      </w:pPr>
      <w:r>
        <w:rPr>
          <w:rFonts w:ascii="Times New Roman" w:cs="Times New Roman" w:eastAsia="Times New Roman" w:hAnsi="Times New Roman"/>
          <w:sz w:val="18"/>
          <w:szCs w:val="18"/>
          <w:color w:val="auto"/>
        </w:rPr>
        <w:t>Natural gas prices were lower in the first quarter of 2026, as compared to the first quarter of 2025. For the three months ended March 31, 2026, natural gas prices averaged $3.47 per MMBtu, ranging from a high of $7.46 per MMBtu in late January to a low of $2.83 per MMBtu in late February, based upon the NYMEX Henry Hub natural gas futures contract price for the earliest delivery date. Natural gas prices averaged $3.87 per MMBtu for the three months ended March 31, 2025. We report production volumes in two streams, oil and natural gas (which includes both dry gas and NGLs). We realized a weighted average natural gas price of $0.64 per Mcf ($1.44 per Mcf including realized gains from natural gas derivatives) for our natural gas production (including revenues attributable to NGLs) for the three months ended March 31, 2026, as compared to $3.56 per Mcf ($3.62 per Mcf including realized gains from natural gas derivatives) for our natural gas production (including revenues attributable to NGLs) for the three months ended March 31, 2025. Certain volumes of our natural gas production are sold at prices established at the beginning of each month by the various markets where we sell our natural gas production, and certain volumes of our natural gas production are sold at daily market prices. At May 6, 2026, the NYMEX Henry Hub natural gas futures contract price for the earliest delivery date had decreased from the average price for the first quarter of 2026 of $3.47 per MMBtu, to $2.73 per MMBtu.</w:t>
      </w:r>
    </w:p>
    <w:p>
      <w:pPr>
        <w:spacing w:after="0" w:line="84"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The prices we receive for oil and natural gas production often reflect a discount to the relevant benchmark prices, such as the WTI oil price or the NYMEX Henry Hub natural gas price. The difference between the benchmark price and the price we receive is called a differential. At March 31, 2026, most of our oil production from the Delaware Basin was sold based on prices established in Midland, Texas, and a significant portion of our natural gas production from the Delaware Basin was sold based on Houston Ship Channel pricing, while the remainder of our Delaware Basin natural gas production was sold primarily based on prices established at the Waha hub in far West Texas.</w:t>
      </w:r>
    </w:p>
    <w:p>
      <w:pPr>
        <w:spacing w:after="0" w:line="75" w:lineRule="exact"/>
        <w:rPr>
          <w:sz w:val="20"/>
          <w:szCs w:val="20"/>
          <w:color w:val="auto"/>
        </w:rPr>
      </w:pPr>
    </w:p>
    <w:p>
      <w:pPr>
        <w:jc w:val="both"/>
        <w:ind w:right="540" w:firstLine="445"/>
        <w:spacing w:after="0" w:line="266" w:lineRule="auto"/>
        <w:rPr>
          <w:sz w:val="20"/>
          <w:szCs w:val="20"/>
          <w:color w:val="auto"/>
        </w:rPr>
      </w:pPr>
      <w:r>
        <w:rPr>
          <w:rFonts w:ascii="Times New Roman" w:cs="Times New Roman" w:eastAsia="Times New Roman" w:hAnsi="Times New Roman"/>
          <w:sz w:val="18"/>
          <w:szCs w:val="18"/>
          <w:color w:val="auto"/>
        </w:rPr>
        <w:t>The Midland-Cushing (Oklahoma) oil price differential has been highly volatile in recent years. At May 6, 2026, this oil price differential was positive at approximately +$2.65 per Bbl. At May 6, 2026, we had no derivative contracts in place to mitigate our exposure to this Midland-Cushing (Oklahoma) oil price differential for 2026.</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3" w:name="page34"/>
    <w:bookmarkEnd w:id="33"/>
    <w:p>
      <w:pPr>
        <w:ind w:right="120" w:firstLine="445"/>
        <w:spacing w:after="0" w:line="253" w:lineRule="auto"/>
        <w:rPr>
          <w:sz w:val="20"/>
          <w:szCs w:val="20"/>
          <w:color w:val="auto"/>
        </w:rPr>
      </w:pPr>
      <w:r>
        <w:rPr>
          <w:rFonts w:ascii="Times New Roman" w:cs="Times New Roman" w:eastAsia="Times New Roman" w:hAnsi="Times New Roman"/>
          <w:sz w:val="18"/>
          <w:szCs w:val="18"/>
          <w:color w:val="auto"/>
        </w:rPr>
        <w:t>Certain volumes of our Delaware Basin natural gas production are exposed to the Waha-Henry Hub basis differential, which has also been highly volatile in recent years. In recent years, concerns about natural gas pipeline takeaway capacity out of the Delaware Basin began to increase and as a result, the Waha-Henry Hub basis differential began to widen. The Waha-Henry Hub basis differential averaged ($5.99) per MMBtu for the three months ended March 31, 2026. Between March 31, 2026 and May 6, 2026, this natural gas price differential remained wide at approximately ($6.57) per MMBtu. A significant portion of our Delaware Basin natural gas production, however, is sold at Houston Ship Channel pricing and is not exposed to Waha pricing. During 2023 and 2024, we typically realized a narrower differential to natural gas sold at the Waha hub despite higher transportation charges incurred to transport the natural gas to the Gulf Coast. At certain times, we may also sell a portion of our natural gas production into other markets to improve our realized natural gas pricing. Further, approximately 3% of our reported natural gas production for the three months ended March 31, 2026 was attributable to the Haynesville shale play, which is not exposed to Waha pricing. In addition, most of our natural gas volumes in the Delaware Basin are processed for NGLs, resulting in a further reduction in the reported natural gas volumes exposed to Waha pricing.</w:t>
      </w:r>
    </w:p>
    <w:p>
      <w:pPr>
        <w:spacing w:after="0" w:line="73" w:lineRule="exact"/>
        <w:rPr>
          <w:sz w:val="20"/>
          <w:szCs w:val="20"/>
          <w:color w:val="auto"/>
        </w:rPr>
      </w:pPr>
    </w:p>
    <w:p>
      <w:pPr>
        <w:jc w:val="both"/>
        <w:ind w:right="260" w:firstLine="445"/>
        <w:spacing w:after="0"/>
        <w:rPr>
          <w:sz w:val="20"/>
          <w:szCs w:val="20"/>
          <w:color w:val="auto"/>
        </w:rPr>
      </w:pPr>
      <w:r>
        <w:rPr>
          <w:rFonts w:ascii="Times New Roman" w:cs="Times New Roman" w:eastAsia="Times New Roman" w:hAnsi="Times New Roman"/>
          <w:sz w:val="18"/>
          <w:szCs w:val="18"/>
          <w:color w:val="auto"/>
        </w:rPr>
        <w:t>We secured 500,000 MMBtu per day of firm natural gas transportation on Energy Transfer’s new Hugh Brinson pipeline, which Energy Transfer expects will begin flowing natural gas during the third or fourth quarter of 2026 and to be fully in-service by year-end 2026. The Hugh Brinson pipeline will provide Matador access to Henry Hub markets along the Louisiana Gulf Coast and to other opportunities such as liquefied natural gas (LNG) plants and export terminals along this pipeline route that have historically experienced more favorable pricing to the Waha hub.</w:t>
      </w:r>
    </w:p>
    <w:p>
      <w:pPr>
        <w:spacing w:after="0" w:line="90"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 During the first three months of 2026, we recorded a net loss of $51.8 million related to our oil costless collars resulting primarily from oil prices that were above the ceiling of certain of our oil costless collar contracts. This loss was partially offset by a net gain of $37.3 million, resulting primarily from natural gas basis differentials that were below the fixed prices of certain of our natural gas basis differential swap contracts.</w:t>
      </w:r>
    </w:p>
    <w:p>
      <w:pPr>
        <w:spacing w:after="0" w:line="81"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We have at times, including in 2025 and 2026, experienced pipeline-related interruptions to our oil, natural gas or NGL production or produced water disposal.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material interruptions with produced water disposal, takeaway capacity or NGL fractionation, our oil and natural gas revenues, business, financial condition, results of operations and cash flows could be adversely affected. Should we experience future periods of negative pricing for natural gas, as we have experienced historically, including in 2025 and 2026, we may again temporarily shut in certain high gas-oil ratio wells and take other actions to mitigate the impact on our realized natural gas prices and results.</w:t>
      </w:r>
    </w:p>
    <w:p>
      <w:pPr>
        <w:spacing w:after="0" w:line="81"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We have at times experienced inflation in the costs of certain oilfield services, including diesel, steel, labor, trucking, sand, personnel and completion costs, among others. Should oil prices increase, we may be subject to additional service cost inflation in future periods, which may increase our costs to drill, complete, equip and operate wells. In addition, supply chain disruptions, tariffs and trade restrictions and other inflationary pressures experienced in recent periods throughout the United States and global economy and in the oil and natural gas industry may limit our ability to procure the necessary products and services we need for drilling, completing and producing wells in a timely and cost-effective manner, which could result in reduced margins and delays to our operations and could, in turn, adversely affect our business, financial condition, results of operations and cash flows.</w:t>
      </w:r>
    </w:p>
    <w:p>
      <w:pPr>
        <w:spacing w:after="0" w:line="79"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significant reduction in capital expenditures and drilling activities could materially impact our production volumes, revenues, reserves, cash flows and the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in the Annual Report.</w:t>
      </w:r>
    </w:p>
    <w:p>
      <w:pPr>
        <w:spacing w:after="0" w:line="80" w:lineRule="exact"/>
        <w:rPr>
          <w:sz w:val="20"/>
          <w:szCs w:val="20"/>
          <w:color w:val="auto"/>
        </w:rPr>
      </w:pPr>
    </w:p>
    <w:p>
      <w:pPr>
        <w:jc w:val="both"/>
        <w:ind w:right="120" w:firstLine="445"/>
        <w:spacing w:after="0" w:line="266" w:lineRule="auto"/>
        <w:rPr>
          <w:sz w:val="20"/>
          <w:szCs w:val="20"/>
          <w:color w:val="auto"/>
        </w:rPr>
      </w:pPr>
      <w:r>
        <w:rPr>
          <w:rFonts w:ascii="Times New Roman" w:cs="Times New Roman" w:eastAsia="Times New Roman" w:hAnsi="Times New Roman"/>
          <w:sz w:val="18"/>
          <w:szCs w:val="18"/>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more information about the Company’s regulatory matters, see “Business—Regulation” and “Risk Factors—Risks Related to Laws and Regulations” in the Annual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the sources and effects of our market risk since December 31, 2025, which are disclosed in Part II, Item 7A of the Annual Report and incorporated herein by reference.</w:t>
      </w:r>
    </w:p>
    <w:p>
      <w:pPr>
        <w:spacing w:after="0" w:line="52" w:lineRule="exact"/>
        <w:rPr>
          <w:sz w:val="20"/>
          <w:szCs w:val="20"/>
          <w:color w:val="auto"/>
        </w:rPr>
      </w:pPr>
    </w:p>
    <w:p>
      <w:pPr>
        <w:jc w:val="both"/>
        <w:ind w:right="26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Commodity price exposure. </w:t>
      </w:r>
      <w:r>
        <w:rPr>
          <w:rFonts w:ascii="Times New Roman" w:cs="Times New Roman" w:eastAsia="Times New Roman" w:hAnsi="Times New Roman"/>
          <w:sz w:val="18"/>
          <w:szCs w:val="18"/>
          <w:color w:val="auto"/>
        </w:rPr>
        <w:t>We are exposed to market risk as the prices of oil, natural gas and NGLs fluctuate as a result of changes in supply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67"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or options have different fixed price components. When the settlement price is below the price floor established by the collar, we receive from our counterparty an amount equal to the difference between the settlement price and the price floor multiplied by the contract oil, natural gas or NGL volume. When the settlement price is above the price ceiling established by the costless collar, we pay our counterparty an amount equal to the difference between the settlement price and the price ceiling multiplied by the contract oil, natural gas or NGL volume. In a swap contract, a floating price is exchanged for a fixed price over a specified period, providing downside price protection.</w:t>
      </w:r>
    </w:p>
    <w:p>
      <w:pPr>
        <w:spacing w:after="0" w:line="84" w:lineRule="exact"/>
        <w:rPr>
          <w:sz w:val="20"/>
          <w:szCs w:val="20"/>
          <w:color w:val="auto"/>
        </w:rPr>
      </w:pPr>
    </w:p>
    <w:p>
      <w:pPr>
        <w:jc w:val="both"/>
        <w:ind w:right="200" w:firstLine="445"/>
        <w:spacing w:after="0" w:line="312" w:lineRule="auto"/>
        <w:rPr>
          <w:sz w:val="20"/>
          <w:szCs w:val="20"/>
          <w:color w:val="auto"/>
        </w:rPr>
      </w:pPr>
      <w:r>
        <w:rPr>
          <w:rFonts w:ascii="Times New Roman" w:cs="Times New Roman" w:eastAsia="Times New Roman" w:hAnsi="Times New Roman"/>
          <w:sz w:val="17"/>
          <w:szCs w:val="17"/>
          <w:color w:val="auto"/>
        </w:rPr>
        <w:t>We record all derivative financial instruments at fair value, which is determined using purchase and sale information available for similarly traded securities. Additionally, we have considered the credit standing of the counterparties in determining the fair value of our derivative financial instruments.</w:t>
      </w:r>
    </w:p>
    <w:p>
      <w:pPr>
        <w:spacing w:after="0" w:line="32"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At March 31, 2026, we had various costless collar contracts open and in place to mitigate our exposure to oil and natural gas price volatility, each with an established price floor and ceiling. At March 31, 2026, we had natural gas swap and natural gas basis differential swap contracts open and in place to mitigate our exposure to natural gas price volatility, with a specific term (calculation period), notional quantity (volume hedged) and fixed price. We had no open contracts associated with NGL prices at March 31, 2026.</w:t>
      </w:r>
    </w:p>
    <w:p>
      <w:pPr>
        <w:spacing w:after="0" w:line="70" w:lineRule="exact"/>
        <w:rPr>
          <w:sz w:val="20"/>
          <w:szCs w:val="20"/>
          <w:color w:val="auto"/>
        </w:rPr>
      </w:pPr>
    </w:p>
    <w:p>
      <w:pPr>
        <w:ind w:right="40" w:firstLine="445"/>
        <w:spacing w:after="0" w:line="284" w:lineRule="auto"/>
        <w:rPr>
          <w:sz w:val="20"/>
          <w:szCs w:val="20"/>
          <w:color w:val="auto"/>
        </w:rPr>
      </w:pPr>
      <w:r>
        <w:rPr>
          <w:rFonts w:ascii="Times New Roman" w:cs="Times New Roman" w:eastAsia="Times New Roman" w:hAnsi="Times New Roman"/>
          <w:sz w:val="18"/>
          <w:szCs w:val="18"/>
          <w:color w:val="auto"/>
        </w:rPr>
        <w:t xml:space="preserve">See Note 7,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in this Quarterly Report for a summary of our open derivative financial instruments. Such information is incorporated herein by reference.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of Disclosure Controls and Procedures</w:t>
      </w:r>
    </w:p>
    <w:p>
      <w:pPr>
        <w:spacing w:after="0" w:line="119" w:lineRule="exact"/>
        <w:rPr>
          <w:sz w:val="20"/>
          <w:szCs w:val="20"/>
          <w:color w:val="auto"/>
        </w:rPr>
      </w:pPr>
    </w:p>
    <w:p>
      <w:pPr>
        <w:ind w:right="20" w:firstLine="445"/>
        <w:spacing w:after="0" w:line="273" w:lineRule="auto"/>
        <w:rPr>
          <w:sz w:val="20"/>
          <w:szCs w:val="20"/>
          <w:color w:val="auto"/>
        </w:rPr>
      </w:pPr>
      <w:r>
        <w:rPr>
          <w:rFonts w:ascii="Times New Roman" w:cs="Times New Roman" w:eastAsia="Times New Roman" w:hAnsi="Times New Roman"/>
          <w:sz w:val="17"/>
          <w:szCs w:val="17"/>
          <w:color w:val="auto"/>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March 31, 2026 to ensure that (i) information required to be disclosed in the reports it files and submits under the Exchange Act is recorded, processed, summarized and reported within the time periods specified in the SEC’s rules and forms and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Internal Control over Financial Reporting</w:t>
      </w:r>
    </w:p>
    <w:p>
      <w:pPr>
        <w:spacing w:after="0" w:line="9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there were no changes in our internal controls that have materially affected or are reasonably likely to have a material effect on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4" w:right="49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spacing w:after="0" w:line="68"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there were no material changes regarding the legal proceedings we have disclosed in “Item 3. Legal Proceedings” in the Annual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subject to various risks and uncertainties in the course of our business. For a discussion of such risks and uncertainties, please see “Item 1A.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 in the Annual Report. There have been no material changes to the risk factors we have disclosed in the Annual Report.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Repurchase of Equity by the Company or Affiliates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contains information about our acquisition of equity securities during the quarter ended March 31, 2026:</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1, 2026 to January 31, 2026</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 2026 to February 28, 2026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 2026 to March 31, 2026</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7"/>
                <w:szCs w:val="17"/>
                <w:color w:val="auto"/>
              </w:rPr>
            </w:pP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176"/>
        </w:trPr>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Purchased as</w:t>
            </w:r>
          </w:p>
        </w:tc>
        <w:tc>
          <w:tcPr>
            <w:tcW w:w="100" w:type="dxa"/>
            <w:vAlign w:val="bottom"/>
          </w:tcPr>
          <w:p>
            <w:pPr>
              <w:spacing w:after="0"/>
              <w:rPr>
                <w:sz w:val="15"/>
                <w:szCs w:val="15"/>
                <w:color w:val="auto"/>
              </w:rPr>
            </w:pPr>
          </w:p>
        </w:tc>
        <w:tc>
          <w:tcPr>
            <w:tcW w:w="19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Value in thousands) of</w:t>
            </w:r>
          </w:p>
        </w:tc>
        <w:tc>
          <w:tcPr>
            <w:tcW w:w="0" w:type="dxa"/>
            <w:vAlign w:val="bottom"/>
          </w:tcPr>
          <w:p>
            <w:pPr>
              <w:spacing w:after="0"/>
              <w:rPr>
                <w:sz w:val="1"/>
                <w:szCs w:val="1"/>
                <w:color w:val="auto"/>
              </w:rPr>
            </w:pPr>
          </w:p>
        </w:tc>
      </w:tr>
      <w:tr>
        <w:trPr>
          <w:trHeight w:val="189"/>
        </w:trPr>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8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00" w:type="dxa"/>
            <w:vAlign w:val="bottom"/>
          </w:tcPr>
          <w:p>
            <w:pPr>
              <w:spacing w:after="0"/>
              <w:rPr>
                <w:sz w:val="16"/>
                <w:szCs w:val="16"/>
                <w:color w:val="auto"/>
              </w:rPr>
            </w:pPr>
          </w:p>
        </w:tc>
        <w:tc>
          <w:tcPr>
            <w:tcW w:w="190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that May Yet Be</w:t>
            </w:r>
          </w:p>
        </w:tc>
        <w:tc>
          <w:tcPr>
            <w:tcW w:w="0" w:type="dxa"/>
            <w:vAlign w:val="bottom"/>
          </w:tcPr>
          <w:p>
            <w:pPr>
              <w:spacing w:after="0"/>
              <w:rPr>
                <w:sz w:val="1"/>
                <w:szCs w:val="1"/>
                <w:color w:val="auto"/>
              </w:rPr>
            </w:pPr>
          </w:p>
        </w:tc>
      </w:tr>
      <w:tr>
        <w:trPr>
          <w:trHeight w:val="175"/>
        </w:trPr>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43"/>
        </w:trPr>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2"/>
              </w:rPr>
              <w:t>Purchased</w:t>
            </w:r>
            <w:r>
              <w:rPr>
                <w:rFonts w:ascii="Times New Roman" w:cs="Times New Roman" w:eastAsia="Times New Roman" w:hAnsi="Times New Roman"/>
                <w:sz w:val="23"/>
                <w:szCs w:val="23"/>
                <w:b w:val="1"/>
                <w:bCs w:val="1"/>
                <w:color w:val="auto"/>
                <w:w w:val="92"/>
                <w:vertAlign w:val="superscript"/>
              </w:rPr>
              <w:t>(1)(2)</w:t>
            </w:r>
          </w:p>
        </w:tc>
        <w:tc>
          <w:tcPr>
            <w:tcW w:w="100" w:type="dxa"/>
            <w:vAlign w:val="bottom"/>
          </w:tcPr>
          <w:p>
            <w:pPr>
              <w:spacing w:after="0"/>
              <w:rPr>
                <w:sz w:val="21"/>
                <w:szCs w:val="21"/>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184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3"/>
              </w:rPr>
              <w:t>Programs</w:t>
            </w:r>
            <w:r>
              <w:rPr>
                <w:rFonts w:ascii="Times New Roman" w:cs="Times New Roman" w:eastAsia="Times New Roman" w:hAnsi="Times New Roman"/>
                <w:sz w:val="23"/>
                <w:szCs w:val="23"/>
                <w:b w:val="1"/>
                <w:bCs w:val="1"/>
                <w:color w:val="auto"/>
                <w:w w:val="93"/>
                <w:vertAlign w:val="superscript"/>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center"/>
              <w:ind w:right="50"/>
              <w:spacing w:after="0" w:line="243" w:lineRule="exact"/>
              <w:rPr>
                <w:sz w:val="20"/>
                <w:szCs w:val="20"/>
                <w:color w:val="auto"/>
              </w:rPr>
            </w:pPr>
            <w:r>
              <w:rPr>
                <w:rFonts w:ascii="Times New Roman" w:cs="Times New Roman" w:eastAsia="Times New Roman" w:hAnsi="Times New Roman"/>
                <w:sz w:val="18"/>
                <w:szCs w:val="18"/>
                <w:b w:val="1"/>
                <w:bCs w:val="1"/>
                <w:color w:val="auto"/>
                <w:w w:val="97"/>
              </w:rPr>
              <w:t>Plans or Programs</w:t>
            </w:r>
            <w:r>
              <w:rPr>
                <w:rFonts w:ascii="Times New Roman" w:cs="Times New Roman" w:eastAsia="Times New Roman" w:hAnsi="Times New Roman"/>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18"/>
        </w:trPr>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17,851</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20" w:type="dxa"/>
            <w:vAlign w:val="bottom"/>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343,443</w:t>
            </w:r>
          </w:p>
        </w:tc>
        <w:tc>
          <w:tcPr>
            <w:tcW w:w="0" w:type="dxa"/>
            <w:vAlign w:val="bottom"/>
          </w:tcPr>
          <w:p>
            <w:pPr>
              <w:spacing w:after="0"/>
              <w:rPr>
                <w:sz w:val="1"/>
                <w:szCs w:val="1"/>
                <w:color w:val="auto"/>
              </w:rPr>
            </w:pPr>
          </w:p>
        </w:tc>
      </w:tr>
      <w:tr>
        <w:trPr>
          <w:trHeight w:val="230"/>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27,486</w:t>
            </w: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343,443</w:t>
            </w:r>
          </w:p>
        </w:tc>
        <w:tc>
          <w:tcPr>
            <w:tcW w:w="0" w:type="dxa"/>
            <w:vAlign w:val="bottom"/>
          </w:tcPr>
          <w:p>
            <w:pPr>
              <w:spacing w:after="0"/>
              <w:rPr>
                <w:sz w:val="1"/>
                <w:szCs w:val="1"/>
                <w:color w:val="auto"/>
              </w:rPr>
            </w:pPr>
          </w:p>
        </w:tc>
      </w:tr>
      <w:tr>
        <w:trPr>
          <w:trHeight w:val="234"/>
        </w:trPr>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40,902</w:t>
            </w: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20" w:type="dxa"/>
            <w:vAlign w:val="bottom"/>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343,443</w:t>
            </w:r>
          </w:p>
        </w:tc>
        <w:tc>
          <w:tcPr>
            <w:tcW w:w="0" w:type="dxa"/>
            <w:vAlign w:val="bottom"/>
          </w:tcPr>
          <w:p>
            <w:pPr>
              <w:spacing w:after="0"/>
              <w:rPr>
                <w:sz w:val="1"/>
                <w:szCs w:val="1"/>
                <w:color w:val="auto"/>
              </w:rPr>
            </w:pPr>
          </w:p>
        </w:tc>
      </w:tr>
      <w:tr>
        <w:trPr>
          <w:trHeight w:val="223"/>
        </w:trPr>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86,239</w:t>
            </w: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-333375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-633730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2" w:lineRule="exact"/>
        <w:rPr>
          <w:sz w:val="20"/>
          <w:szCs w:val="20"/>
          <w:color w:val="auto"/>
        </w:rPr>
      </w:pPr>
    </w:p>
    <w:p>
      <w:pPr>
        <w:sectPr>
          <w:pgSz w:w="11900" w:h="16838" w:orient="portrait"/>
          <w:cols w:equalWidth="0" w:num="2">
            <w:col w:w="3680" w:space="720"/>
            <w:col w:w="6840"/>
          </w:cols>
          <w:pgMar w:left="320" w:top="927" w:right="339" w:bottom="1440" w:gutter="0" w:footer="0" w:header="0"/>
          <w:type w:val="continuous"/>
        </w:sectPr>
      </w:pPr>
    </w:p>
    <w:p>
      <w:pPr>
        <w:ind w:left="340" w:right="340" w:hanging="332"/>
        <w:spacing w:after="0" w:line="302"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2026, the Company re-acquired 68,537 shares of common stock from certain employees in order to satisfy the employees’ tax liability in connection with the vesting of restricted stock.</w:t>
      </w:r>
    </w:p>
    <w:p>
      <w:pPr>
        <w:spacing w:after="0" w:line="53" w:lineRule="exact"/>
        <w:rPr>
          <w:rFonts w:ascii="Times New Roman" w:cs="Times New Roman" w:eastAsia="Times New Roman" w:hAnsi="Times New Roman"/>
          <w:sz w:val="14"/>
          <w:szCs w:val="14"/>
          <w:color w:val="auto"/>
        </w:rPr>
      </w:pPr>
    </w:p>
    <w:p>
      <w:pPr>
        <w:ind w:left="340" w:right="200" w:hanging="332"/>
        <w:spacing w:after="0" w:line="302"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2025, the Board authorized the Share Repurchase Program covering up to $400.0 million of common stock. During the first quarter of 2026, we repurchased 17,702 shares of our common stock under the Share Repurchase Program at a weighted average price of $39.92 per common share for a total cost of $0.7 million.</w:t>
      </w:r>
    </w:p>
    <w:p>
      <w:pPr>
        <w:spacing w:after="0" w:line="54" w:lineRule="exact"/>
        <w:rPr>
          <w:sz w:val="20"/>
          <w:szCs w:val="20"/>
          <w:color w:val="auto"/>
        </w:rPr>
      </w:pPr>
    </w:p>
    <w:p>
      <w:pPr>
        <w:jc w:val="right"/>
        <w:ind w:right="920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jc w:val="right"/>
        <w:ind w:right="9240"/>
        <w:spacing w:after="0"/>
        <w:rPr>
          <w:sz w:val="20"/>
          <w:szCs w:val="20"/>
          <w:color w:val="auto"/>
        </w:rPr>
      </w:pPr>
      <w:r>
        <w:rPr>
          <w:rFonts w:ascii="Times New Roman" w:cs="Times New Roman" w:eastAsia="Times New Roman" w:hAnsi="Times New Roman"/>
          <w:sz w:val="18"/>
          <w:szCs w:val="18"/>
          <w:i w:val="1"/>
          <w:iCs w:val="1"/>
          <w:u w:val="single" w:color="auto"/>
          <w:color w:val="auto"/>
        </w:rPr>
        <w:t>Insider Trading Plans</w:t>
      </w:r>
    </w:p>
    <w:p>
      <w:pPr>
        <w:spacing w:after="0" w:line="11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(as defined in Rule 16a-1(f) under the Exchange Act)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940" w:type="dxa"/>
            <w:vAlign w:val="bottom"/>
            <w:gridSpan w:val="16"/>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940" w:type="dxa"/>
            <w:vAlign w:val="bottom"/>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220" w:type="dxa"/>
            <w:vAlign w:val="bottom"/>
            <w:tcBorders>
              <w:top w:val="single" w:sz="8" w:color="auto"/>
            </w:tcBorders>
            <w:gridSpan w:val="21"/>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Amended and Restated Certificate of Formation of Matador Resources Company (incorporated by reference to Exhibit 3.2 to the Quarterly</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Report on Form 10-Q for the quarter ended June 30, 2017).</w:t>
              </w:r>
            </w:hyperlink>
          </w:p>
        </w:tc>
        <w:tc>
          <w:tcPr>
            <w:tcW w:w="5740" w:type="dxa"/>
            <w:vAlign w:val="bottom"/>
            <w:tcBorders>
              <w:top w:val="single" w:sz="8" w:color="0000FF"/>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21"/>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Certificate of Amendment to the Amended and Restated Certificate of Formation of Matador Resources Company dated April 2, 2015</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(incorporated by reference to Exhibit 3.3 to the Quarterly Report on Form 10-Q for the quarter ended June 30, 2017).</w:t>
              </w:r>
            </w:hyperlink>
          </w:p>
        </w:tc>
        <w:tc>
          <w:tcPr>
            <w:tcW w:w="1240" w:type="dxa"/>
            <w:vAlign w:val="bottom"/>
            <w:tcBorders>
              <w:top w:val="single" w:sz="8" w:color="0000FF"/>
            </w:tcBorders>
            <w:gridSpan w:val="3"/>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21"/>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Certificate of Amendment to the Amended and Restated Certificate of Formation of Matador Resources Company effective June 2, 2017</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(incorporated by reference to Exhibit 3.4 to the Quarterly Report on Form 10-Q for the quarter ended June 30, 2017).</w:t>
              </w:r>
            </w:hyperlink>
          </w:p>
        </w:tc>
        <w:tc>
          <w:tcPr>
            <w:tcW w:w="1420" w:type="dxa"/>
            <w:vAlign w:val="bottom"/>
            <w:tcBorders>
              <w:top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21"/>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Amended and Restated Bylaws of Matador Resources Company, as amended (incorporated by reference to Exhibit 3.1 to the Current Report</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on Form 8-K filed on February 22, 2018).</w:t>
              </w:r>
            </w:hyperlink>
          </w:p>
        </w:tc>
        <w:tc>
          <w:tcPr>
            <w:tcW w:w="71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Indenture, dated as of March 5, 2026, by and among Matador Resources Company, the subsidiary guarantors party thereto and U.S. Bank</w:t>
              </w:r>
            </w:hyperlink>
          </w:p>
        </w:tc>
        <w:tc>
          <w:tcPr>
            <w:tcW w:w="3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20" w:type="dxa"/>
            <w:vAlign w:val="bottom"/>
            <w:gridSpan w:val="21"/>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Trust Company, National Association, as trustee (incorporated by reference to Exhibit 4.1 to the Current Report on Form 8-K filed on March</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6"/>
              </w:rPr>
            </w:pPr>
            <w:hyperlink r:id="rId59">
              <w:r>
                <w:rPr>
                  <w:rFonts w:ascii="Times New Roman" w:cs="Times New Roman" w:eastAsia="Times New Roman" w:hAnsi="Times New Roman"/>
                  <w:sz w:val="18"/>
                  <w:szCs w:val="18"/>
                  <w:color w:val="0000FF"/>
                  <w:w w:val="96"/>
                </w:rPr>
                <w:t>5, 2026).</w:t>
              </w:r>
            </w:hyperlink>
          </w:p>
        </w:tc>
        <w:tc>
          <w:tcPr>
            <w:tcW w:w="17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30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10.1†</w:t>
            </w:r>
          </w:p>
        </w:tc>
        <w:tc>
          <w:tcPr>
            <w:tcW w:w="20" w:type="dxa"/>
            <w:vAlign w:val="bottom"/>
          </w:tcPr>
          <w:p>
            <w:pPr>
              <w:spacing w:after="0"/>
              <w:rPr>
                <w:sz w:val="22"/>
                <w:szCs w:val="22"/>
                <w:color w:val="auto"/>
              </w:rPr>
            </w:pPr>
          </w:p>
        </w:tc>
        <w:tc>
          <w:tcPr>
            <w:tcW w:w="10220" w:type="dxa"/>
            <w:vAlign w:val="bottom"/>
            <w:gridSpan w:val="21"/>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Advisor Agreement, effective February 28, 2026, by and between MRC Energy Company and G. Gregg Krug (incorporated by reference to</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Exhibit 10.1 to the Current Report on Form 8-K filed on January 23, 2026).</w:t>
              </w:r>
            </w:hyperlink>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Limited Waiver and Amendment to the Fourth Amended and Restated Credit Agreement, dated February 27, 2026, by and among MRC</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4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20" w:type="dxa"/>
            <w:vAlign w:val="bottom"/>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Energy Company, the Lending Entities from time to time parties thereto, as Lenders, and PNC Bank, National Association, as administrative</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agent for the Lenders (filed herewith).</w:t>
            </w:r>
          </w:p>
        </w:tc>
        <w:tc>
          <w:tcPr>
            <w:tcW w:w="7380" w:type="dxa"/>
            <w:vAlign w:val="bottom"/>
            <w:tcBorders>
              <w:top w:val="single" w:sz="8" w:color="0000FF"/>
            </w:tcBorders>
            <w:gridSpan w:val="16"/>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Section 302 of the Sarbanes-Oxley Act of 2002 (filed herewith).</w:t>
            </w:r>
          </w:p>
        </w:tc>
        <w:tc>
          <w:tcPr>
            <w:tcW w:w="156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 Sarbanes-Oxley Act of 2002 (filed herewith).</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6180" w:type="dxa"/>
            <w:vAlign w:val="bottom"/>
            <w:gridSpan w:val="6"/>
            <w:shd w:val="clear" w:color="auto" w:fill="0000FF"/>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Act of 2002 (furnished herewith).</w:t>
            </w:r>
          </w:p>
        </w:tc>
        <w:tc>
          <w:tcPr>
            <w:tcW w:w="2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7520" w:type="dxa"/>
            <w:vAlign w:val="bottom"/>
            <w:gridSpan w:val="1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Act of 2002 (furnished herewith).</w:t>
            </w:r>
          </w:p>
        </w:tc>
        <w:tc>
          <w:tcPr>
            <w:tcW w:w="2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20" w:right="140" w:hanging="648"/>
        <w:spacing w:after="0" w:line="220"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Matador Resources Company’s Quarterly Report on Form 10-Q for the quarter ended March 31, 2026, formatted in Inline XBRL (Inline eXtensible Business Reporting Language): (i) the Condensed Consolidated Balance Sheets - Unaudited, (ii) the Condensed Consolidated Statements of Operations - Unaudited, (iii) the Condensed Consolidated Statements of Changes in Shareholders’ Equity - Unaudited, (iv) the Condensed Consolidated Statements of Cash Flows - Unaudited and (v) the Notes to Condensed Consolidated Financial Statements - Unaudited (submitted electronically herewith).</w:t>
      </w:r>
    </w:p>
    <w:p>
      <w:pPr>
        <w:spacing w:after="0" w:line="64" w:lineRule="exact"/>
        <w:rPr>
          <w:sz w:val="20"/>
          <w:szCs w:val="20"/>
          <w:color w:val="auto"/>
        </w:rPr>
      </w:pPr>
    </w:p>
    <w:p>
      <w:pPr>
        <w:ind w:left="1020" w:hanging="648"/>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(included as Exhibit 101).</w:t>
      </w:r>
    </w:p>
    <w:p>
      <w:pPr>
        <w:spacing w:after="0" w:line="333"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MATADOR RESOURCES COMPANY</w:t>
            </w:r>
          </w:p>
        </w:tc>
      </w:tr>
      <w:tr>
        <w:trPr>
          <w:trHeight w:val="28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17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By:</w:t>
            </w:r>
          </w:p>
        </w:tc>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2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234"/>
        </w:trPr>
        <w:tc>
          <w:tcPr>
            <w:tcW w:w="2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351"/>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17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By:</w:t>
            </w:r>
          </w:p>
        </w:tc>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P. Calvert</w:t>
            </w:r>
          </w:p>
        </w:tc>
      </w:tr>
      <w:tr>
        <w:trPr>
          <w:trHeight w:val="218"/>
        </w:trPr>
        <w:tc>
          <w:tcPr>
            <w:tcW w:w="2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P. Calvert</w:t>
            </w:r>
          </w:p>
        </w:tc>
      </w:tr>
      <w:tr>
        <w:trPr>
          <w:trHeight w:val="234"/>
        </w:trPr>
        <w:tc>
          <w:tcPr>
            <w:tcW w:w="2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927" w:right="339" w:bottom="1440" w:gutter="0" w:footer="0" w:header="0"/>
        </w:sectPr>
      </w:pPr>
    </w:p>
    <w:bookmarkStart w:id="39" w:name="page40"/>
    <w:bookmarkEnd w:id="39"/>
    <w:p>
      <w:pPr>
        <w:jc w:val="right"/>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431290" cy="436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431290" cy="436880"/>
                    </a:xfrm>
                    <a:prstGeom prst="rect">
                      <a:avLst/>
                    </a:prstGeom>
                    <a:noFill/>
                  </pic:spPr>
                </pic:pic>
              </a:graphicData>
            </a:graphic>
          </wp:anchor>
        </w:drawing>
        <w:t>Exhibit 10.2</w:t>
      </w:r>
    </w:p>
    <w:p>
      <w:pPr>
        <w:spacing w:after="0" w:line="20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ectPr>
          <w:pgSz w:w="11900" w:h="16838" w:orient="portrait"/>
          <w:cols w:equalWidth="0" w:num="1">
            <w:col w:w="11240"/>
          </w:cols>
          <w:pgMar w:left="320" w:top="2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PNC Bank, National Association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PNC Capital Markets LLC</w:t>
      </w:r>
    </w:p>
    <w:p>
      <w:pPr>
        <w:spacing w:after="0" w:line="69" w:lineRule="exact"/>
        <w:rPr>
          <w:sz w:val="20"/>
          <w:szCs w:val="20"/>
          <w:color w:val="auto"/>
        </w:rPr>
      </w:pPr>
    </w:p>
    <w:p>
      <w:pPr>
        <w:sectPr>
          <w:pgSz w:w="11900" w:h="16838" w:orient="portrait"/>
          <w:cols w:equalWidth="0" w:num="2">
            <w:col w:w="4580" w:space="720"/>
            <w:col w:w="5940"/>
          </w:cols>
          <w:pgMar w:left="320" w:top="203" w:right="339" w:bottom="1440" w:gutter="0" w:footer="0" w:header="0"/>
          <w:type w:val="continuous"/>
        </w:sectPr>
      </w:pP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The Tower at PNC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The Tower at PNC</w:t>
      </w:r>
    </w:p>
    <w:p>
      <w:pPr>
        <w:spacing w:after="0" w:line="69" w:lineRule="exact"/>
        <w:rPr>
          <w:sz w:val="20"/>
          <w:szCs w:val="20"/>
          <w:color w:val="auto"/>
        </w:rPr>
      </w:pPr>
    </w:p>
    <w:p>
      <w:pPr>
        <w:sectPr>
          <w:pgSz w:w="11900" w:h="16838" w:orient="portrait"/>
          <w:cols w:equalWidth="0" w:num="2">
            <w:col w:w="4580" w:space="720"/>
            <w:col w:w="5940"/>
          </w:cols>
          <w:pgMar w:left="320" w:top="203"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21"/>
          <w:szCs w:val="21"/>
          <w:color w:val="auto"/>
        </w:rPr>
        <w:t>300 Fifth Avenue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300 Fifth Avenue</w:t>
      </w:r>
    </w:p>
    <w:p>
      <w:pPr>
        <w:spacing w:after="0" w:line="69" w:lineRule="exact"/>
        <w:rPr>
          <w:sz w:val="20"/>
          <w:szCs w:val="20"/>
          <w:color w:val="auto"/>
        </w:rPr>
      </w:pPr>
    </w:p>
    <w:p>
      <w:pPr>
        <w:sectPr>
          <w:pgSz w:w="11900" w:h="16838" w:orient="portrait"/>
          <w:cols w:equalWidth="0" w:num="2">
            <w:col w:w="4580" w:space="720"/>
            <w:col w:w="5940"/>
          </w:cols>
          <w:pgMar w:left="320" w:top="203"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21"/>
          <w:szCs w:val="21"/>
          <w:color w:val="auto"/>
        </w:rPr>
        <w:t>Pittsburgh, Pennsylvania 15222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Pittsburgh, Pennsylvania 15222</w:t>
      </w:r>
    </w:p>
    <w:p>
      <w:pPr>
        <w:spacing w:after="0" w:line="200" w:lineRule="exact"/>
        <w:rPr>
          <w:sz w:val="20"/>
          <w:szCs w:val="20"/>
          <w:color w:val="auto"/>
        </w:rPr>
      </w:pPr>
    </w:p>
    <w:p>
      <w:pPr>
        <w:sectPr>
          <w:pgSz w:w="11900" w:h="16838" w:orient="portrait"/>
          <w:cols w:equalWidth="0" w:num="2">
            <w:col w:w="4580" w:space="720"/>
            <w:col w:w="5940"/>
          </w:cols>
          <w:pgMar w:left="320" w:top="203" w:right="339" w:bottom="1440" w:gutter="0" w:footer="0" w:header="0"/>
          <w:type w:val="continuous"/>
        </w:sectPr>
      </w:pP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February 27, 2026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MRC Energy Company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5400 LBJ Freeway, Suite 1500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Texas 75240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Rob Macalik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RMacalik@matadorresources.com</w:t>
      </w:r>
    </w:p>
    <w:p>
      <w:pPr>
        <w:spacing w:after="0" w:line="190"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b w:val="1"/>
          <w:bCs w:val="1"/>
          <w:i w:val="1"/>
          <w:iCs w:val="1"/>
          <w:color w:val="auto"/>
        </w:rPr>
        <w:t>Re:</w:t>
      </w:r>
      <w:r>
        <w:rPr>
          <w:sz w:val="20"/>
          <w:szCs w:val="20"/>
          <w:color w:val="auto"/>
        </w:rPr>
        <w:tab/>
      </w:r>
      <w:r>
        <w:rPr>
          <w:rFonts w:ascii="Times New Roman" w:cs="Times New Roman" w:eastAsia="Times New Roman" w:hAnsi="Times New Roman"/>
          <w:sz w:val="21"/>
          <w:szCs w:val="21"/>
          <w:b w:val="1"/>
          <w:bCs w:val="1"/>
          <w:i w:val="1"/>
          <w:iCs w:val="1"/>
          <w:color w:val="auto"/>
        </w:rPr>
        <w:t>Limited Waiver and Amendment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ectPr>
          <w:pgSz w:w="11900" w:h="16838" w:orient="portrait"/>
          <w:cols w:equalWidth="0" w:num="1">
            <w:col w:w="11240"/>
          </w:cols>
          <w:pgMar w:left="320" w:top="203" w:right="339" w:bottom="1440" w:gutter="0" w:footer="0" w:header="0"/>
          <w:type w:val="continuous"/>
        </w:sectPr>
      </w:pP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Reference is made to that certain Fourth Amended and Restated Credit Agreement, dated as of November 18, 2021 (as amended, restated, amended and restated, supplemented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by and among MRC Energy Company, a Texas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lenders from time to time party thereto (collectively,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PNC Bank, National Association, as administrative agent for the Lenders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Capitalized terms used and not otherwise defined herein shall have the meanings given such terms in the Credit Agreement. References herein to any Section shall be to a Section of the Credit Agreement unless otherwise specifically provided.</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Borrower has informed the Administrative Agent that it desires to launch an offering of additional Senior Notes on or about February 26, 2026 (the “</w:t>
      </w:r>
      <w:r>
        <w:rPr>
          <w:rFonts w:ascii="Times New Roman" w:cs="Times New Roman" w:eastAsia="Times New Roman" w:hAnsi="Times New Roman"/>
          <w:sz w:val="22"/>
          <w:szCs w:val="22"/>
          <w:u w:val="single" w:color="auto"/>
          <w:color w:val="auto"/>
        </w:rPr>
        <w:t>Specified Senior Notes Offering</w:t>
      </w:r>
      <w:r>
        <w:rPr>
          <w:rFonts w:ascii="Times New Roman" w:cs="Times New Roman" w:eastAsia="Times New Roman" w:hAnsi="Times New Roman"/>
          <w:sz w:val="22"/>
          <w:szCs w:val="22"/>
          <w:color w:val="auto"/>
        </w:rPr>
        <w:t xml:space="preserve">”), the proceeds of which shall be used to (a) extend, refinance, renew, replace, repurchase, defease or refund existing Senior Notes, in whole or in part, and (b) prepay the Loans in accordance with </w:t>
      </w:r>
      <w:r>
        <w:rPr>
          <w:rFonts w:ascii="Times New Roman" w:cs="Times New Roman" w:eastAsia="Times New Roman" w:hAnsi="Times New Roman"/>
          <w:sz w:val="22"/>
          <w:szCs w:val="22"/>
          <w:u w:val="single" w:color="auto"/>
          <w:color w:val="auto"/>
        </w:rPr>
        <w:t>Section 2.10(c)</w:t>
      </w:r>
      <w:r>
        <w:rPr>
          <w:rFonts w:ascii="Times New Roman" w:cs="Times New Roman" w:eastAsia="Times New Roman" w:hAnsi="Times New Roman"/>
          <w:sz w:val="22"/>
          <w:szCs w:val="22"/>
          <w:color w:val="auto"/>
        </w:rPr>
        <w:t xml:space="preserve"> of the Credit Agreement.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In connection with the Specified Senior Notes Offering, the Borrower has requested that the Administrative Agent and the Lenders (or at least the required percentage thereof) agree, notwithstanding anything to the contrary contained in </w:t>
      </w:r>
      <w:r>
        <w:rPr>
          <w:rFonts w:ascii="Times New Roman" w:cs="Times New Roman" w:eastAsia="Times New Roman" w:hAnsi="Times New Roman"/>
          <w:sz w:val="22"/>
          <w:szCs w:val="22"/>
          <w:u w:val="single" w:color="auto"/>
          <w:color w:val="auto"/>
        </w:rPr>
        <w:t>Section 8.1(q)</w:t>
      </w:r>
      <w:r>
        <w:rPr>
          <w:rFonts w:ascii="Times New Roman" w:cs="Times New Roman" w:eastAsia="Times New Roman" w:hAnsi="Times New Roman"/>
          <w:sz w:val="22"/>
          <w:szCs w:val="22"/>
          <w:color w:val="auto"/>
        </w:rPr>
        <w:t xml:space="preserve"> of the Credit Agreement, to waive the automatic reduction of the Borrowing Base set forth in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of the proviso to </w:t>
      </w:r>
      <w:r>
        <w:rPr>
          <w:rFonts w:ascii="Times New Roman" w:cs="Times New Roman" w:eastAsia="Times New Roman" w:hAnsi="Times New Roman"/>
          <w:sz w:val="22"/>
          <w:szCs w:val="22"/>
          <w:u w:val="single" w:color="auto"/>
          <w:color w:val="auto"/>
        </w:rPr>
        <w:t>Section 8.1(q)</w:t>
      </w:r>
      <w:r>
        <w:rPr>
          <w:rFonts w:ascii="Times New Roman" w:cs="Times New Roman" w:eastAsia="Times New Roman" w:hAnsi="Times New Roman"/>
          <w:sz w:val="22"/>
          <w:szCs w:val="22"/>
          <w:color w:val="auto"/>
        </w:rPr>
        <w:t xml:space="preserve"> of the Credit Agreement.</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Subject to the terms and conditions described herein, the Administrative Agent and the Lenders (or at least the required percentage thereof) are willing to, and hereby do, agree, notwithstanding anything to the contrary contained in </w:t>
      </w:r>
      <w:r>
        <w:rPr>
          <w:rFonts w:ascii="Times New Roman" w:cs="Times New Roman" w:eastAsia="Times New Roman" w:hAnsi="Times New Roman"/>
          <w:sz w:val="22"/>
          <w:szCs w:val="22"/>
          <w:u w:val="single" w:color="auto"/>
          <w:color w:val="auto"/>
        </w:rPr>
        <w:t>Section 8.1(q)</w:t>
      </w:r>
      <w:r>
        <w:rPr>
          <w:rFonts w:ascii="Times New Roman" w:cs="Times New Roman" w:eastAsia="Times New Roman" w:hAnsi="Times New Roman"/>
          <w:sz w:val="22"/>
          <w:szCs w:val="22"/>
          <w:color w:val="auto"/>
        </w:rPr>
        <w:t xml:space="preserve"> of the Credit Agreement, to waive the automatic reduction of the Borrowing Base set forth in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of the proviso to</w:t>
      </w:r>
    </w:p>
    <w:p>
      <w:pPr>
        <w:spacing w:after="0" w:line="200" w:lineRule="exact"/>
        <w:rPr>
          <w:sz w:val="20"/>
          <w:szCs w:val="20"/>
          <w:color w:val="auto"/>
        </w:rPr>
      </w:pPr>
    </w:p>
    <w:p>
      <w:pPr>
        <w:spacing w:after="0" w:line="229"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27"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color w:val="auto"/>
        </w:rPr>
        <w:t>Limited Waiver and Amendment</w:t>
      </w:r>
    </w:p>
    <w:p>
      <w:pPr>
        <w:sectPr>
          <w:pgSz w:w="11900" w:h="16838" w:orient="portrait"/>
          <w:cols w:equalWidth="0" w:num="1">
            <w:col w:w="11240"/>
          </w:cols>
          <w:pgMar w:left="320" w:top="203" w:right="339" w:bottom="1440" w:gutter="0" w:footer="0" w:header="0"/>
          <w:type w:val="continuous"/>
        </w:sectPr>
      </w:pPr>
    </w:p>
    <w:bookmarkStart w:id="40" w:name="page41"/>
    <w:bookmarkEnd w:id="40"/>
    <w:p>
      <w:pPr>
        <w:spacing w:after="0" w:line="13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u w:val="single" w:color="auto"/>
          <w:color w:val="auto"/>
        </w:rPr>
        <w:t>Section 8.1(q)</w:t>
      </w:r>
      <w:r>
        <w:rPr>
          <w:rFonts w:ascii="Times New Roman" w:cs="Times New Roman" w:eastAsia="Times New Roman" w:hAnsi="Times New Roman"/>
          <w:sz w:val="21"/>
          <w:szCs w:val="21"/>
          <w:color w:val="auto"/>
        </w:rPr>
        <w:t xml:space="preserve"> of the Credit Agreement with respect to the incurrence of incremental unsecured Debt under any Senior Notes up to an aggregate principal amount not to exceed $500,000,000 (for avoidance of doubt, exclusive of any Permitted Refinancing of any Senior Notes) incurred prior to the Determination Date scheduled to occur on or about May 1, 2026 (the “</w:t>
      </w:r>
      <w:r>
        <w:rPr>
          <w:rFonts w:ascii="Times New Roman" w:cs="Times New Roman" w:eastAsia="Times New Roman" w:hAnsi="Times New Roman"/>
          <w:sz w:val="21"/>
          <w:szCs w:val="21"/>
          <w:u w:val="single" w:color="auto"/>
          <w:color w:val="auto"/>
        </w:rPr>
        <w:t>Specified Waiver</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Further subject to the terms and conditions described herein, the Borrower, each other Credit Party, the Administrative Agent and the Lenders (or at least the required percentage thereof) hereby agree that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the definition of “Permitted Refinancing” set forth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of the Credit Agreement is hereby amended and restated in its entirety to read as follows:</w:t>
      </w:r>
    </w:p>
    <w:p>
      <w:pPr>
        <w:spacing w:after="0" w:line="182" w:lineRule="exact"/>
        <w:rPr>
          <w:sz w:val="20"/>
          <w:szCs w:val="20"/>
          <w:color w:val="auto"/>
        </w:rPr>
      </w:pPr>
    </w:p>
    <w:p>
      <w:pPr>
        <w:jc w:val="both"/>
        <w:ind w:left="660" w:right="660" w:hanging="4"/>
        <w:spacing w:after="0" w:line="252" w:lineRule="auto"/>
        <w:tabs>
          <w:tab w:leader="none" w:pos="976" w:val="left"/>
        </w:tabs>
        <w:numPr>
          <w:ilvl w:val="0"/>
          <w:numId w:val="1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 xml:space="preserve">the principal amount of such Permitted Refinancing (or if such Permitted Refinancing is issued at a discount, the initial issuance price of such Permitted Refinancing) does not exceed the sum of (i) the principal amount of such then existing Senior Notes that are extended, refinanced, renewed, replaced, repurchased, defeased or refunded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i w:val="1"/>
          <w:iCs w:val="1"/>
          <w:color w:val="auto"/>
        </w:rPr>
        <w:t xml:space="preserve"> (ii) an amount equal to the unpaid accrued interest and premium thereon and the fees and expenses incurred in connection with such extension, refinance, renewal, replacement, repurchase, defeasement or refunding thereof,</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By its signature below, each Credit Party agrees that, except as specified herein, (a) the Specified Waiver is a limited one-time waiver, (b) nothing herein shall be construed as (i) a consent to, waiver or continuing waiver of any other provision of the Credit Agreement or any other Loan Document or (ii) a waiver of any Default or Event of Default now existing or hereafter arising under the Credit Agreement or any other Loan Document, and (c) nothing contained herein shall obligate the Administrative Agent or the Lenders to grant any additional or future consent or waiver, or to grant (i) any future waiver of any provision of the Credit Agreement or any other Loan Document or (ii) any waiver of any Default or Event of Default now existing or hereafter arising under the Credit Agreement or any other Loan Document.</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By its signature below, each Credit Party hereby (a) acknowledges and agrees that, except as expressly provided herein, the Credit Agreement and each of the other Loan Documents are hereby ratified and confirmed in all respects and shall remain in full force and effect; (b) ratifies and reaffirms its obligations under, and acknowledges its liability under, the Credit Agreement and each other Loan Document to which it is a party; (c) ratifies and reaffirms all of the Liens securing the payment and performance of the Indebtedness; (d) represents and warrants to the Administrative Agent and the Lenders that, as of the date hereof and after giving effect to the consents contained herein, (i) all of the representations and warranties contained in the Credit Agreement and each Loan Document to which it is a party are true and correct in all material respects, except to the extent any such representations and warranties are expressly limited to an earlier date, in which case, such representations and warranties shall continue to be true and correct in all material respects as of such specified earlier date, and (ii) no Default or Event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5560" w:type="dxa"/>
        <w:tblCellMar>
          <w:top w:w="0" w:type="dxa"/>
          <w:left w:w="0" w:type="dxa"/>
          <w:bottom w:w="0" w:type="dxa"/>
          <w:right w:w="0" w:type="dxa"/>
        </w:tblCellMar>
      </w:tblPr>
      <w:tr>
        <w:trPr>
          <w:trHeight w:val="161"/>
        </w:trPr>
        <w:tc>
          <w:tcPr>
            <w:tcW w:w="1940" w:type="dxa"/>
            <w:vAlign w:val="bottom"/>
            <w:vMerge w:val="restart"/>
          </w:tcPr>
          <w:p>
            <w:pPr>
              <w:jc w:val="right"/>
              <w:ind w:right="1750"/>
              <w:spacing w:after="0"/>
              <w:rPr>
                <w:sz w:val="20"/>
                <w:szCs w:val="20"/>
                <w:color w:val="auto"/>
              </w:rPr>
            </w:pPr>
            <w:r>
              <w:rPr>
                <w:rFonts w:ascii="Times New Roman" w:cs="Times New Roman" w:eastAsia="Times New Roman" w:hAnsi="Times New Roman"/>
                <w:sz w:val="18"/>
                <w:szCs w:val="18"/>
                <w:color w:val="auto"/>
                <w:w w:val="88"/>
              </w:rPr>
              <w:t>2</w:t>
            </w:r>
          </w:p>
        </w:tc>
        <w:tc>
          <w:tcPr>
            <w:tcW w:w="372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MRC Energy Company</w:t>
            </w:r>
          </w:p>
        </w:tc>
        <w:tc>
          <w:tcPr>
            <w:tcW w:w="0" w:type="dxa"/>
            <w:vAlign w:val="bottom"/>
          </w:tcPr>
          <w:p>
            <w:pPr>
              <w:spacing w:after="0"/>
              <w:rPr>
                <w:sz w:val="1"/>
                <w:szCs w:val="1"/>
                <w:color w:val="auto"/>
              </w:rPr>
            </w:pPr>
          </w:p>
        </w:tc>
      </w:tr>
      <w:tr>
        <w:trPr>
          <w:trHeight w:val="203"/>
        </w:trPr>
        <w:tc>
          <w:tcPr>
            <w:tcW w:w="1940" w:type="dxa"/>
            <w:vAlign w:val="bottom"/>
            <w:vMerge w:val="continue"/>
          </w:tcPr>
          <w:p>
            <w:pPr>
              <w:spacing w:after="0"/>
              <w:rPr>
                <w:sz w:val="17"/>
                <w:szCs w:val="17"/>
                <w:color w:val="auto"/>
              </w:rPr>
            </w:pPr>
          </w:p>
        </w:tc>
        <w:tc>
          <w:tcPr>
            <w:tcW w:w="372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Limited Waiver and Amendment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1" w:name="page42"/>
    <w:bookmarkEnd w:id="41"/>
    <w:p>
      <w:pPr>
        <w:spacing w:after="0" w:line="13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Default has occurred and is continuing; and (e) acknowledges and agrees that this consent shall constitute a Loan Document for all purposes and in all respects.</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This letter agreement shall become effective as of the date first written above when and only when the Administrative Agent shall have received duly executed counterparts of this consent signed by each Credit Party and the Lenders (or at least the required percentage thereof). This letter agreement may be executed in one or more counterparts and by different parties hereto in 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 Delivery of photocopies of the signature pages to this letter agreement by facsimile or electronic mail shall be effective as delivery of manually executed counterparts of this letter agreement.</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letter agreement shall be deemed to constitute a Loan Document for all purposes and in all respects. Each reference in the Credit Agreement to “this Agreement,” “hereunder,” “hereof,” “herein” or words of like import, and each reference in the Credit Agreement or in any other Loan Document, or other agreements, documents or other instruments executed and delivered pursuant to the Credit Agreement to the “Credit Agreement”, shall mean and be a reference to the Credit Agreement as amended by this letter agreement. The execution, delivery and effectiveness of this letter agreement shall not operate as a waiver of any right, power or remedy of any Lender or the Administrative Agent under any of the Loan Documents, nor, except as expressly provided herein, constitute a waiver of any provision of any of the Loan Documents.</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letter agreement shall be governed by, and construed and interpreted in accordance with, the laws of the State of Texas. THIS LETTER AGREEMENT, THE CREDIT AGREEMENT, AND THE OTHER LOAN DOCUMENTS REPRESENT THE FINAL AGREEMENT BETWEEN THE PARTIES AND MAY NOT BE CONTRADICTED BY EVIDENCE OF PRIOR, CONTEMPORANEOUS OR ORAL AGREEMENTS OF THE PARTIES. THERE ARE NO UNWRITTEN ORAL AGREEMENTS BETWEEN THE PARTIES.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5560" w:type="dxa"/>
        <w:tblCellMar>
          <w:top w:w="0" w:type="dxa"/>
          <w:left w:w="0" w:type="dxa"/>
          <w:bottom w:w="0" w:type="dxa"/>
          <w:right w:w="0" w:type="dxa"/>
        </w:tblCellMar>
      </w:tblPr>
      <w:tr>
        <w:trPr>
          <w:trHeight w:val="161"/>
        </w:trPr>
        <w:tc>
          <w:tcPr>
            <w:tcW w:w="1940" w:type="dxa"/>
            <w:vAlign w:val="bottom"/>
            <w:vMerge w:val="restart"/>
          </w:tcPr>
          <w:p>
            <w:pPr>
              <w:jc w:val="right"/>
              <w:ind w:right="1750"/>
              <w:spacing w:after="0"/>
              <w:rPr>
                <w:sz w:val="20"/>
                <w:szCs w:val="20"/>
                <w:color w:val="auto"/>
              </w:rPr>
            </w:pPr>
            <w:r>
              <w:rPr>
                <w:rFonts w:ascii="Times New Roman" w:cs="Times New Roman" w:eastAsia="Times New Roman" w:hAnsi="Times New Roman"/>
                <w:sz w:val="18"/>
                <w:szCs w:val="18"/>
                <w:color w:val="auto"/>
                <w:w w:val="88"/>
              </w:rPr>
              <w:t>3</w:t>
            </w:r>
          </w:p>
        </w:tc>
        <w:tc>
          <w:tcPr>
            <w:tcW w:w="372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MRC Energy Company</w:t>
            </w:r>
          </w:p>
        </w:tc>
        <w:tc>
          <w:tcPr>
            <w:tcW w:w="0" w:type="dxa"/>
            <w:vAlign w:val="bottom"/>
          </w:tcPr>
          <w:p>
            <w:pPr>
              <w:spacing w:after="0"/>
              <w:rPr>
                <w:sz w:val="1"/>
                <w:szCs w:val="1"/>
                <w:color w:val="auto"/>
              </w:rPr>
            </w:pPr>
          </w:p>
        </w:tc>
      </w:tr>
      <w:tr>
        <w:trPr>
          <w:trHeight w:val="203"/>
        </w:trPr>
        <w:tc>
          <w:tcPr>
            <w:tcW w:w="1940" w:type="dxa"/>
            <w:vAlign w:val="bottom"/>
            <w:vMerge w:val="continue"/>
          </w:tcPr>
          <w:p>
            <w:pPr>
              <w:spacing w:after="0"/>
              <w:rPr>
                <w:sz w:val="17"/>
                <w:szCs w:val="17"/>
                <w:color w:val="auto"/>
              </w:rPr>
            </w:pPr>
          </w:p>
        </w:tc>
        <w:tc>
          <w:tcPr>
            <w:tcW w:w="372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Limited Waiver and Amendment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2" w:name="page43"/>
    <w:bookmarkEnd w:id="42"/>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the foregoing correctly sets forth our understanding, please indicate your acceptance of the terms hereof by signing in the appropriate spaces below and returning to us the enclosed duplicate originals hereof, whereupon this letter agreement letter shall become a binding agreement between you and us.</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PNC BANK, NATIONAL ASSOCIATION</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Administrative Agent, a Lender and an Issuing Lender</w:t>
      </w:r>
    </w:p>
    <w:p>
      <w:pPr>
        <w:spacing w:after="0" w:line="236"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Denise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3106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Denise Davis</w:t>
      </w:r>
    </w:p>
    <w:p>
      <w:pPr>
        <w:spacing w:after="0" w:line="15"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5180" w:type="dxa"/>
        <w:tblCellMar>
          <w:top w:w="0" w:type="dxa"/>
          <w:left w:w="0" w:type="dxa"/>
          <w:bottom w:w="0" w:type="dxa"/>
          <w:right w:w="0" w:type="dxa"/>
        </w:tblCellMar>
      </w:tblPr>
      <w:tr>
        <w:trPr>
          <w:trHeight w:val="161"/>
        </w:trPr>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Signature Page</w:t>
            </w:r>
          </w:p>
        </w:tc>
        <w:tc>
          <w:tcPr>
            <w:tcW w:w="354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MRC Energy Company</w:t>
            </w:r>
          </w:p>
        </w:tc>
        <w:tc>
          <w:tcPr>
            <w:tcW w:w="0" w:type="dxa"/>
            <w:vAlign w:val="bottom"/>
          </w:tcPr>
          <w:p>
            <w:pPr>
              <w:spacing w:after="0"/>
              <w:rPr>
                <w:sz w:val="1"/>
                <w:szCs w:val="1"/>
                <w:color w:val="auto"/>
              </w:rPr>
            </w:pPr>
          </w:p>
        </w:tc>
      </w:tr>
      <w:tr>
        <w:trPr>
          <w:trHeight w:val="188"/>
        </w:trPr>
        <w:tc>
          <w:tcPr>
            <w:tcW w:w="2500" w:type="dxa"/>
            <w:vAlign w:val="bottom"/>
            <w:vMerge w:val="continue"/>
          </w:tcPr>
          <w:p>
            <w:pPr>
              <w:spacing w:after="0"/>
              <w:rPr>
                <w:sz w:val="16"/>
                <w:szCs w:val="16"/>
                <w:color w:val="auto"/>
              </w:rPr>
            </w:pPr>
          </w:p>
        </w:tc>
        <w:tc>
          <w:tcPr>
            <w:tcW w:w="3540" w:type="dxa"/>
            <w:vAlign w:val="bottom"/>
          </w:tcPr>
          <w:p>
            <w:pPr>
              <w:ind w:left="1640"/>
              <w:spacing w:after="0"/>
              <w:rPr>
                <w:sz w:val="20"/>
                <w:szCs w:val="20"/>
                <w:color w:val="auto"/>
              </w:rPr>
            </w:pPr>
            <w:r>
              <w:rPr>
                <w:rFonts w:ascii="Times New Roman" w:cs="Times New Roman" w:eastAsia="Times New Roman" w:hAnsi="Times New Roman"/>
                <w:sz w:val="14"/>
                <w:szCs w:val="14"/>
                <w:color w:val="auto"/>
              </w:rPr>
              <w:t>Limited Waiver and Amendment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22" w:right="339" w:bottom="1440" w:gutter="0" w:footer="0" w:header="0"/>
        </w:sectPr>
      </w:pPr>
    </w:p>
    <w:bookmarkStart w:id="43" w:name="page44"/>
    <w:bookmarkEnd w:id="43"/>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LENDERS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BANK OF AMERICA, N.A.</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as a Lender and an Issuing Lender</w:t>
      </w:r>
    </w:p>
    <w:p>
      <w:pPr>
        <w:spacing w:after="0" w:line="261"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Salman Samar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3716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Salman Samar</w:t>
      </w:r>
    </w:p>
    <w:p>
      <w:pPr>
        <w:spacing w:after="0" w:line="4"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ectPr>
          <w:pgSz w:w="11900" w:h="16838" w:orient="portrait"/>
          <w:cols w:equalWidth="0" w:num="1">
            <w:col w:w="10100"/>
          </w:cols>
          <w:pgMar w:left="1440" w:top="14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Signature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MRC Energy Company</w:t>
      </w:r>
    </w:p>
    <w:p>
      <w:pPr>
        <w:spacing w:after="0"/>
        <w:rPr>
          <w:sz w:val="20"/>
          <w:szCs w:val="20"/>
          <w:color w:val="auto"/>
        </w:rPr>
      </w:pPr>
      <w:r>
        <w:rPr>
          <w:rFonts w:ascii="Times New Roman" w:cs="Times New Roman" w:eastAsia="Times New Roman" w:hAnsi="Times New Roman"/>
          <w:sz w:val="14"/>
          <w:szCs w:val="14"/>
          <w:color w:val="auto"/>
        </w:rPr>
        <w:t>Limited Waiver and Amendment</w:t>
      </w:r>
    </w:p>
    <w:p>
      <w:pPr>
        <w:sectPr>
          <w:pgSz w:w="11900" w:h="16838" w:orient="portrait"/>
          <w:cols w:equalWidth="0" w:num="2">
            <w:col w:w="7480" w:space="720"/>
            <w:col w:w="1900"/>
          </w:cols>
          <w:pgMar w:left="1440" w:top="1418" w:right="359" w:bottom="1440" w:gutter="0" w:footer="0" w:header="0"/>
          <w:type w:val="continuous"/>
        </w:sectPr>
      </w:pPr>
    </w:p>
    <w:bookmarkStart w:id="44" w:name="page45"/>
    <w:bookmarkEnd w:id="44"/>
    <w:p>
      <w:pPr>
        <w:ind w:left="2780"/>
        <w:spacing w:after="0"/>
        <w:rPr>
          <w:sz w:val="20"/>
          <w:szCs w:val="20"/>
          <w:color w:val="auto"/>
        </w:rPr>
      </w:pPr>
      <w:r>
        <w:rPr>
          <w:rFonts w:ascii="Times New Roman" w:cs="Times New Roman" w:eastAsia="Times New Roman" w:hAnsi="Times New Roman"/>
          <w:sz w:val="21"/>
          <w:szCs w:val="21"/>
          <w:b w:val="1"/>
          <w:bCs w:val="1"/>
          <w:color w:val="auto"/>
        </w:rPr>
        <w:t>KEYBANK NATIONAL ASSOCIATION</w:t>
      </w:r>
      <w:r>
        <w:rPr>
          <w:rFonts w:ascii="Times New Roman" w:cs="Times New Roman" w:eastAsia="Times New Roman" w:hAnsi="Times New Roman"/>
          <w:sz w:val="21"/>
          <w:szCs w:val="21"/>
          <w:color w:val="auto"/>
        </w:rPr>
        <w:t>,</w:t>
      </w:r>
    </w:p>
    <w:p>
      <w:pPr>
        <w:spacing w:after="0" w:line="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 Lender and an Issuing Lender</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Lesley Appou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3487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9"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Lesley Appou</w:t>
      </w:r>
    </w:p>
    <w:p>
      <w:pPr>
        <w:spacing w:after="0" w:line="15"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ectPr>
          <w:pgSz w:w="11900" w:h="16838" w:orient="portrait"/>
          <w:cols w:equalWidth="0" w:num="1">
            <w:col w:w="10100"/>
          </w:cols>
          <w:pgMar w:left="1440" w:top="14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Signature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MRC Energy Company</w:t>
      </w:r>
    </w:p>
    <w:p>
      <w:pPr>
        <w:spacing w:after="0"/>
        <w:rPr>
          <w:sz w:val="20"/>
          <w:szCs w:val="20"/>
          <w:color w:val="auto"/>
        </w:rPr>
      </w:pPr>
      <w:r>
        <w:rPr>
          <w:rFonts w:ascii="Times New Roman" w:cs="Times New Roman" w:eastAsia="Times New Roman" w:hAnsi="Times New Roman"/>
          <w:sz w:val="14"/>
          <w:szCs w:val="14"/>
          <w:color w:val="auto"/>
        </w:rPr>
        <w:t>Limited Waiver and Amendment</w:t>
      </w:r>
    </w:p>
    <w:p>
      <w:pPr>
        <w:sectPr>
          <w:pgSz w:w="11900" w:h="16838" w:orient="portrait"/>
          <w:cols w:equalWidth="0" w:num="2">
            <w:col w:w="7480" w:space="720"/>
            <w:col w:w="1900"/>
          </w:cols>
          <w:pgMar w:left="1440" w:top="1418" w:right="359" w:bottom="1440" w:gutter="0" w:footer="0" w:header="0"/>
          <w:type w:val="continuous"/>
        </w:sectPr>
      </w:pPr>
    </w:p>
    <w:bookmarkStart w:id="45" w:name="page46"/>
    <w:bookmarkEnd w:id="45"/>
    <w:p>
      <w:pPr>
        <w:ind w:left="2780"/>
        <w:spacing w:after="0"/>
        <w:rPr>
          <w:sz w:val="20"/>
          <w:szCs w:val="20"/>
          <w:color w:val="auto"/>
        </w:rPr>
      </w:pPr>
      <w:r>
        <w:rPr>
          <w:rFonts w:ascii="Times New Roman" w:cs="Times New Roman" w:eastAsia="Times New Roman" w:hAnsi="Times New Roman"/>
          <w:sz w:val="21"/>
          <w:szCs w:val="21"/>
          <w:b w:val="1"/>
          <w:bCs w:val="1"/>
          <w:color w:val="auto"/>
        </w:rPr>
        <w:t>JPMORGAN CHASE BANK, N.A.</w:t>
      </w:r>
      <w:r>
        <w:rPr>
          <w:rFonts w:ascii="Times New Roman" w:cs="Times New Roman" w:eastAsia="Times New Roman" w:hAnsi="Times New Roman"/>
          <w:sz w:val="21"/>
          <w:szCs w:val="21"/>
          <w:color w:val="auto"/>
        </w:rPr>
        <w:t>,</w:t>
      </w:r>
    </w:p>
    <w:p>
      <w:pPr>
        <w:spacing w:after="0" w:line="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 Lender and an Issuing Lender</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Kyle Gruen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3563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9"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Kyle Gruen</w:t>
      </w:r>
    </w:p>
    <w:p>
      <w:pPr>
        <w:spacing w:after="0" w:line="15"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Officer</w:t>
      </w:r>
    </w:p>
    <w:p>
      <w:pPr>
        <w:sectPr>
          <w:pgSz w:w="11900" w:h="16838" w:orient="portrait"/>
          <w:cols w:equalWidth="0" w:num="1">
            <w:col w:w="10100"/>
          </w:cols>
          <w:pgMar w:left="1440" w:top="14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Signature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MRC Energy Company</w:t>
      </w:r>
    </w:p>
    <w:p>
      <w:pPr>
        <w:spacing w:after="0"/>
        <w:rPr>
          <w:sz w:val="20"/>
          <w:szCs w:val="20"/>
          <w:color w:val="auto"/>
        </w:rPr>
      </w:pPr>
      <w:r>
        <w:rPr>
          <w:rFonts w:ascii="Times New Roman" w:cs="Times New Roman" w:eastAsia="Times New Roman" w:hAnsi="Times New Roman"/>
          <w:sz w:val="14"/>
          <w:szCs w:val="14"/>
          <w:color w:val="auto"/>
        </w:rPr>
        <w:t>Limited Waiver and Amendment</w:t>
      </w:r>
    </w:p>
    <w:p>
      <w:pPr>
        <w:sectPr>
          <w:pgSz w:w="11900" w:h="16838" w:orient="portrait"/>
          <w:cols w:equalWidth="0" w:num="2">
            <w:col w:w="7480" w:space="720"/>
            <w:col w:w="1900"/>
          </w:cols>
          <w:pgMar w:left="1440" w:top="1418" w:right="359" w:bottom="1440" w:gutter="0" w:footer="0" w:header="0"/>
          <w:type w:val="continuous"/>
        </w:sectPr>
      </w:pPr>
    </w:p>
    <w:bookmarkStart w:id="46" w:name="page47"/>
    <w:bookmarkEnd w:id="46"/>
    <w:p>
      <w:pPr>
        <w:ind w:left="2780"/>
        <w:spacing w:after="0"/>
        <w:rPr>
          <w:sz w:val="20"/>
          <w:szCs w:val="20"/>
          <w:color w:val="auto"/>
        </w:rPr>
      </w:pPr>
      <w:r>
        <w:rPr>
          <w:rFonts w:ascii="Times New Roman" w:cs="Times New Roman" w:eastAsia="Times New Roman" w:hAnsi="Times New Roman"/>
          <w:sz w:val="22"/>
          <w:szCs w:val="22"/>
          <w:b w:val="1"/>
          <w:bCs w:val="1"/>
          <w:color w:val="auto"/>
        </w:rPr>
        <w:t>TRUIST BANK</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as a Lender and an Issuing Lender</w:t>
      </w:r>
    </w:p>
    <w:p>
      <w:pPr>
        <w:spacing w:after="0" w:line="23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Farhan Iqbal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2725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9"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Farhan Iqbal</w:t>
      </w:r>
    </w:p>
    <w:p>
      <w:pPr>
        <w:spacing w:after="0" w:line="15"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ectPr>
          <w:pgSz w:w="11900" w:h="16838" w:orient="portrait"/>
          <w:cols w:equalWidth="0" w:num="1">
            <w:col w:w="10100"/>
          </w:cols>
          <w:pgMar w:left="1440" w:top="14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Signature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MRC Energy Company</w:t>
      </w:r>
    </w:p>
    <w:p>
      <w:pPr>
        <w:spacing w:after="0"/>
        <w:rPr>
          <w:sz w:val="20"/>
          <w:szCs w:val="20"/>
          <w:color w:val="auto"/>
        </w:rPr>
      </w:pPr>
      <w:r>
        <w:rPr>
          <w:rFonts w:ascii="Times New Roman" w:cs="Times New Roman" w:eastAsia="Times New Roman" w:hAnsi="Times New Roman"/>
          <w:sz w:val="14"/>
          <w:szCs w:val="14"/>
          <w:color w:val="auto"/>
        </w:rPr>
        <w:t>Limited Waiver and Amendment</w:t>
      </w:r>
    </w:p>
    <w:p>
      <w:pPr>
        <w:sectPr>
          <w:pgSz w:w="11900" w:h="16838" w:orient="portrait"/>
          <w:cols w:equalWidth="0" w:num="2">
            <w:col w:w="7480" w:space="720"/>
            <w:col w:w="1900"/>
          </w:cols>
          <w:pgMar w:left="1440" w:top="1418" w:right="359" w:bottom="1440" w:gutter="0" w:footer="0" w:header="0"/>
          <w:type w:val="continuous"/>
        </w:sectPr>
      </w:pPr>
    </w:p>
    <w:bookmarkStart w:id="47" w:name="page48"/>
    <w:bookmarkEnd w:id="47"/>
    <w:p>
      <w:pPr>
        <w:ind w:left="2780" w:right="2200"/>
        <w:spacing w:after="0" w:line="275" w:lineRule="auto"/>
        <w:rPr>
          <w:sz w:val="20"/>
          <w:szCs w:val="20"/>
          <w:color w:val="auto"/>
        </w:rPr>
      </w:pPr>
      <w:r>
        <w:rPr>
          <w:rFonts w:ascii="Times New Roman" w:cs="Times New Roman" w:eastAsia="Times New Roman" w:hAnsi="Times New Roman"/>
          <w:sz w:val="22"/>
          <w:szCs w:val="22"/>
          <w:b w:val="1"/>
          <w:bCs w:val="1"/>
          <w:color w:val="auto"/>
        </w:rPr>
        <w:t>WELLS FARGO BANK, NATIONAL ASSOCIATION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 Lender and an Issuing Lender</w:t>
      </w:r>
    </w:p>
    <w:p>
      <w:pPr>
        <w:spacing w:after="0" w:line="19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Michael Real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3106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Michael Real</w:t>
      </w:r>
    </w:p>
    <w:p>
      <w:pPr>
        <w:spacing w:after="0" w:line="15"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ectPr>
          <w:pgSz w:w="11900" w:h="16838" w:orient="portrait"/>
          <w:cols w:equalWidth="0" w:num="1">
            <w:col w:w="10100"/>
          </w:cols>
          <w:pgMar w:left="1440" w:top="14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Signature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MRC Energy Company</w:t>
      </w:r>
    </w:p>
    <w:p>
      <w:pPr>
        <w:spacing w:after="0"/>
        <w:rPr>
          <w:sz w:val="20"/>
          <w:szCs w:val="20"/>
          <w:color w:val="auto"/>
        </w:rPr>
      </w:pPr>
      <w:r>
        <w:rPr>
          <w:rFonts w:ascii="Times New Roman" w:cs="Times New Roman" w:eastAsia="Times New Roman" w:hAnsi="Times New Roman"/>
          <w:sz w:val="14"/>
          <w:szCs w:val="14"/>
          <w:color w:val="auto"/>
        </w:rPr>
        <w:t>Limited Waiver and Amendment</w:t>
      </w:r>
    </w:p>
    <w:p>
      <w:pPr>
        <w:sectPr>
          <w:pgSz w:w="11900" w:h="16838" w:orient="portrait"/>
          <w:cols w:equalWidth="0" w:num="2">
            <w:col w:w="7480" w:space="720"/>
            <w:col w:w="1900"/>
          </w:cols>
          <w:pgMar w:left="1440" w:top="1418" w:right="359" w:bottom="1440" w:gutter="0" w:footer="0" w:header="0"/>
          <w:type w:val="continuous"/>
        </w:sectPr>
      </w:pPr>
    </w:p>
    <w:bookmarkStart w:id="48" w:name="page49"/>
    <w:bookmarkEnd w:id="48"/>
    <w:p>
      <w:pPr>
        <w:ind w:left="2780"/>
        <w:spacing w:after="0"/>
        <w:rPr>
          <w:sz w:val="20"/>
          <w:szCs w:val="20"/>
          <w:color w:val="auto"/>
        </w:rPr>
      </w:pPr>
      <w:r>
        <w:rPr>
          <w:rFonts w:ascii="Times New Roman" w:cs="Times New Roman" w:eastAsia="Times New Roman" w:hAnsi="Times New Roman"/>
          <w:sz w:val="21"/>
          <w:szCs w:val="21"/>
          <w:b w:val="1"/>
          <w:bCs w:val="1"/>
          <w:color w:val="auto"/>
        </w:rPr>
        <w:t>CAPITAL ONE, N.A.</w:t>
      </w:r>
      <w:r>
        <w:rPr>
          <w:rFonts w:ascii="Times New Roman" w:cs="Times New Roman" w:eastAsia="Times New Roman" w:hAnsi="Times New Roman"/>
          <w:sz w:val="21"/>
          <w:szCs w:val="21"/>
          <w:color w:val="auto"/>
        </w:rPr>
        <w:t>,</w:t>
      </w:r>
    </w:p>
    <w:p>
      <w:pPr>
        <w:spacing w:after="0" w:line="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 Lender</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David Garza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2719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1271905" cy="8255"/>
                    </a:xfrm>
                    <a:prstGeom prst="rect">
                      <a:avLst/>
                    </a:prstGeom>
                    <a:noFill/>
                  </pic:spPr>
                </pic:pic>
              </a:graphicData>
            </a:graphic>
          </wp:anchor>
        </w:drawing>
      </w:r>
    </w:p>
    <w:p>
      <w:pPr>
        <w:spacing w:after="0" w:line="9"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David Garza</w:t>
      </w:r>
    </w:p>
    <w:p>
      <w:pPr>
        <w:spacing w:after="0" w:line="15"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ectPr>
          <w:pgSz w:w="11900" w:h="16838" w:orient="portrait"/>
          <w:cols w:equalWidth="0" w:num="1">
            <w:col w:w="10100"/>
          </w:cols>
          <w:pgMar w:left="1440" w:top="14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Signature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MRC Energy Company</w:t>
      </w:r>
    </w:p>
    <w:p>
      <w:pPr>
        <w:spacing w:after="0"/>
        <w:rPr>
          <w:sz w:val="20"/>
          <w:szCs w:val="20"/>
          <w:color w:val="auto"/>
        </w:rPr>
      </w:pPr>
      <w:r>
        <w:rPr>
          <w:rFonts w:ascii="Times New Roman" w:cs="Times New Roman" w:eastAsia="Times New Roman" w:hAnsi="Times New Roman"/>
          <w:sz w:val="14"/>
          <w:szCs w:val="14"/>
          <w:color w:val="auto"/>
        </w:rPr>
        <w:t>Limited Waiver and Amendment</w:t>
      </w:r>
    </w:p>
    <w:p>
      <w:pPr>
        <w:sectPr>
          <w:pgSz w:w="11900" w:h="16838" w:orient="portrait"/>
          <w:cols w:equalWidth="0" w:num="2">
            <w:col w:w="7480" w:space="720"/>
            <w:col w:w="1900"/>
          </w:cols>
          <w:pgMar w:left="1440" w:top="1418" w:right="359" w:bottom="1440" w:gutter="0" w:footer="0" w:header="0"/>
          <w:type w:val="continuous"/>
        </w:sectPr>
      </w:pPr>
    </w:p>
    <w:bookmarkStart w:id="49" w:name="page50"/>
    <w:bookmarkEnd w:id="49"/>
    <w:p>
      <w:pPr>
        <w:ind w:left="2780"/>
        <w:spacing w:after="0"/>
        <w:rPr>
          <w:sz w:val="20"/>
          <w:szCs w:val="20"/>
          <w:color w:val="auto"/>
        </w:rPr>
      </w:pPr>
      <w:r>
        <w:rPr>
          <w:rFonts w:ascii="Times New Roman" w:cs="Times New Roman" w:eastAsia="Times New Roman" w:hAnsi="Times New Roman"/>
          <w:sz w:val="22"/>
          <w:szCs w:val="22"/>
          <w:b w:val="1"/>
          <w:bCs w:val="1"/>
          <w:color w:val="auto"/>
        </w:rPr>
        <w:t>CITIZENS BANK, N.A.</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 Lender</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David Baron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280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9"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David Baron</w:t>
      </w:r>
    </w:p>
    <w:p>
      <w:pPr>
        <w:spacing w:after="0" w:line="15"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ectPr>
          <w:pgSz w:w="11900" w:h="16838" w:orient="portrait"/>
          <w:cols w:equalWidth="0" w:num="1">
            <w:col w:w="10100"/>
          </w:cols>
          <w:pgMar w:left="1440" w:top="14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Signature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MRC Energy Company</w:t>
      </w:r>
    </w:p>
    <w:p>
      <w:pPr>
        <w:spacing w:after="0"/>
        <w:rPr>
          <w:sz w:val="20"/>
          <w:szCs w:val="20"/>
          <w:color w:val="auto"/>
        </w:rPr>
      </w:pPr>
      <w:r>
        <w:rPr>
          <w:rFonts w:ascii="Times New Roman" w:cs="Times New Roman" w:eastAsia="Times New Roman" w:hAnsi="Times New Roman"/>
          <w:sz w:val="14"/>
          <w:szCs w:val="14"/>
          <w:color w:val="auto"/>
        </w:rPr>
        <w:t>Limited Waiver and Amendment</w:t>
      </w:r>
    </w:p>
    <w:p>
      <w:pPr>
        <w:sectPr>
          <w:pgSz w:w="11900" w:h="16838" w:orient="portrait"/>
          <w:cols w:equalWidth="0" w:num="2">
            <w:col w:w="7480" w:space="720"/>
            <w:col w:w="1900"/>
          </w:cols>
          <w:pgMar w:left="1440" w:top="1418" w:right="359" w:bottom="1440" w:gutter="0" w:footer="0" w:header="0"/>
          <w:type w:val="continuous"/>
        </w:sectPr>
      </w:pPr>
    </w:p>
    <w:bookmarkStart w:id="50" w:name="page51"/>
    <w:bookmarkEnd w:id="50"/>
    <w:p>
      <w:pPr>
        <w:ind w:left="2780"/>
        <w:spacing w:after="0"/>
        <w:rPr>
          <w:sz w:val="20"/>
          <w:szCs w:val="20"/>
          <w:color w:val="auto"/>
        </w:rPr>
      </w:pPr>
      <w:r>
        <w:rPr>
          <w:rFonts w:ascii="Times New Roman" w:cs="Times New Roman" w:eastAsia="Times New Roman" w:hAnsi="Times New Roman"/>
          <w:sz w:val="22"/>
          <w:szCs w:val="22"/>
          <w:b w:val="1"/>
          <w:bCs w:val="1"/>
          <w:color w:val="auto"/>
        </w:rPr>
        <w:t>MIZUHO BANK, LTD.</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 Lender</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3563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9"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Edward Sacks</w:t>
      </w:r>
    </w:p>
    <w:p>
      <w:pPr>
        <w:spacing w:after="0" w:line="15"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ectPr>
          <w:pgSz w:w="11900" w:h="16838" w:orient="portrait"/>
          <w:cols w:equalWidth="0" w:num="1">
            <w:col w:w="10100"/>
          </w:cols>
          <w:pgMar w:left="1440" w:top="14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Signature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MRC Energy Company</w:t>
      </w:r>
    </w:p>
    <w:p>
      <w:pPr>
        <w:spacing w:after="0"/>
        <w:rPr>
          <w:sz w:val="20"/>
          <w:szCs w:val="20"/>
          <w:color w:val="auto"/>
        </w:rPr>
      </w:pPr>
      <w:r>
        <w:rPr>
          <w:rFonts w:ascii="Times New Roman" w:cs="Times New Roman" w:eastAsia="Times New Roman" w:hAnsi="Times New Roman"/>
          <w:sz w:val="14"/>
          <w:szCs w:val="14"/>
          <w:color w:val="auto"/>
        </w:rPr>
        <w:t>Limited Waiver and Amendment</w:t>
      </w:r>
    </w:p>
    <w:p>
      <w:pPr>
        <w:sectPr>
          <w:pgSz w:w="11900" w:h="16838" w:orient="portrait"/>
          <w:cols w:equalWidth="0" w:num="2">
            <w:col w:w="7480" w:space="720"/>
            <w:col w:w="1900"/>
          </w:cols>
          <w:pgMar w:left="1440" w:top="1418" w:right="359" w:bottom="1440" w:gutter="0" w:footer="0" w:header="0"/>
          <w:type w:val="continuous"/>
        </w:sectPr>
      </w:pPr>
    </w:p>
    <w:bookmarkStart w:id="51" w:name="page52"/>
    <w:bookmarkEnd w:id="51"/>
    <w:p>
      <w:pPr>
        <w:ind w:left="2780"/>
        <w:spacing w:after="0"/>
        <w:rPr>
          <w:sz w:val="20"/>
          <w:szCs w:val="20"/>
          <w:color w:val="auto"/>
        </w:rPr>
      </w:pPr>
      <w:r>
        <w:rPr>
          <w:rFonts w:ascii="Times New Roman" w:cs="Times New Roman" w:eastAsia="Times New Roman" w:hAnsi="Times New Roman"/>
          <w:sz w:val="22"/>
          <w:szCs w:val="22"/>
          <w:b w:val="1"/>
          <w:bCs w:val="1"/>
          <w:color w:val="auto"/>
        </w:rPr>
        <w:t>MUFG BANK, LTD.</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 Lender</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Traci Bankston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4122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spacing w:after="0" w:line="9"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Traci Bankston</w:t>
      </w:r>
    </w:p>
    <w:p>
      <w:pPr>
        <w:spacing w:after="0" w:line="15"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ectPr>
          <w:pgSz w:w="11900" w:h="16838" w:orient="portrait"/>
          <w:cols w:equalWidth="0" w:num="1">
            <w:col w:w="10100"/>
          </w:cols>
          <w:pgMar w:left="1440" w:top="14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Signature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MRC Energy Company</w:t>
      </w:r>
    </w:p>
    <w:p>
      <w:pPr>
        <w:spacing w:after="0"/>
        <w:rPr>
          <w:sz w:val="20"/>
          <w:szCs w:val="20"/>
          <w:color w:val="auto"/>
        </w:rPr>
      </w:pPr>
      <w:r>
        <w:rPr>
          <w:rFonts w:ascii="Times New Roman" w:cs="Times New Roman" w:eastAsia="Times New Roman" w:hAnsi="Times New Roman"/>
          <w:sz w:val="14"/>
          <w:szCs w:val="14"/>
          <w:color w:val="auto"/>
        </w:rPr>
        <w:t>Limited Waiver and Amendment</w:t>
      </w:r>
    </w:p>
    <w:p>
      <w:pPr>
        <w:sectPr>
          <w:pgSz w:w="11900" w:h="16838" w:orient="portrait"/>
          <w:cols w:equalWidth="0" w:num="2">
            <w:col w:w="7480" w:space="720"/>
            <w:col w:w="1900"/>
          </w:cols>
          <w:pgMar w:left="1440" w:top="1418" w:right="359" w:bottom="1440" w:gutter="0" w:footer="0" w:header="0"/>
          <w:type w:val="continuous"/>
        </w:sectPr>
      </w:pPr>
    </w:p>
    <w:bookmarkStart w:id="52" w:name="page53"/>
    <w:bookmarkEnd w:id="52"/>
    <w:p>
      <w:pPr>
        <w:ind w:left="2780"/>
        <w:spacing w:after="0"/>
        <w:rPr>
          <w:sz w:val="20"/>
          <w:szCs w:val="20"/>
          <w:color w:val="auto"/>
        </w:rPr>
      </w:pPr>
      <w:r>
        <w:rPr>
          <w:rFonts w:ascii="Times New Roman" w:cs="Times New Roman" w:eastAsia="Times New Roman" w:hAnsi="Times New Roman"/>
          <w:sz w:val="21"/>
          <w:szCs w:val="21"/>
          <w:b w:val="1"/>
          <w:bCs w:val="1"/>
          <w:color w:val="auto"/>
        </w:rPr>
        <w:t>ROYAL BANK OF CANADA</w:t>
      </w:r>
      <w:r>
        <w:rPr>
          <w:rFonts w:ascii="Times New Roman" w:cs="Times New Roman" w:eastAsia="Times New Roman" w:hAnsi="Times New Roman"/>
          <w:sz w:val="21"/>
          <w:szCs w:val="21"/>
          <w:color w:val="auto"/>
        </w:rPr>
        <w:t>,</w:t>
      </w:r>
    </w:p>
    <w:p>
      <w:pPr>
        <w:spacing w:after="0" w:line="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 Lender</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Michael Sharp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3792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spacing w:after="0" w:line="9"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Michael Sharp</w:t>
      </w:r>
    </w:p>
    <w:p>
      <w:pPr>
        <w:spacing w:after="0" w:line="15"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ectPr>
          <w:pgSz w:w="11900" w:h="16838" w:orient="portrait"/>
          <w:cols w:equalWidth="0" w:num="1">
            <w:col w:w="10100"/>
          </w:cols>
          <w:pgMar w:left="1440" w:top="14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Signature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MRC Energy Company</w:t>
      </w:r>
    </w:p>
    <w:p>
      <w:pPr>
        <w:spacing w:after="0"/>
        <w:rPr>
          <w:sz w:val="20"/>
          <w:szCs w:val="20"/>
          <w:color w:val="auto"/>
        </w:rPr>
      </w:pPr>
      <w:r>
        <w:rPr>
          <w:rFonts w:ascii="Times New Roman" w:cs="Times New Roman" w:eastAsia="Times New Roman" w:hAnsi="Times New Roman"/>
          <w:sz w:val="14"/>
          <w:szCs w:val="14"/>
          <w:color w:val="auto"/>
        </w:rPr>
        <w:t>Limited Waiver and Amendment</w:t>
      </w:r>
    </w:p>
    <w:p>
      <w:pPr>
        <w:sectPr>
          <w:pgSz w:w="11900" w:h="16838" w:orient="portrait"/>
          <w:cols w:equalWidth="0" w:num="2">
            <w:col w:w="7480" w:space="720"/>
            <w:col w:w="1900"/>
          </w:cols>
          <w:pgMar w:left="1440" w:top="1418" w:right="359" w:bottom="1440" w:gutter="0" w:footer="0" w:header="0"/>
          <w:type w:val="continuous"/>
        </w:sectPr>
      </w:pPr>
    </w:p>
    <w:bookmarkStart w:id="53" w:name="page54"/>
    <w:bookmarkEnd w:id="53"/>
    <w:p>
      <w:pPr>
        <w:ind w:left="2780" w:right="2060"/>
        <w:spacing w:after="0" w:line="275" w:lineRule="auto"/>
        <w:rPr>
          <w:sz w:val="20"/>
          <w:szCs w:val="20"/>
          <w:color w:val="auto"/>
        </w:rPr>
      </w:pPr>
      <w:r>
        <w:rPr>
          <w:rFonts w:ascii="Times New Roman" w:cs="Times New Roman" w:eastAsia="Times New Roman" w:hAnsi="Times New Roman"/>
          <w:sz w:val="22"/>
          <w:szCs w:val="22"/>
          <w:b w:val="1"/>
          <w:bCs w:val="1"/>
          <w:color w:val="auto"/>
        </w:rPr>
        <w:t>THE BANK OF NOVA SCOTIA, HOUSTON BRANCH</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 Lender</w:t>
      </w:r>
    </w:p>
    <w:p>
      <w:pPr>
        <w:spacing w:after="0" w:line="19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Joe Lattanzi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2420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9"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Joe Lattanzi</w:t>
      </w:r>
    </w:p>
    <w:p>
      <w:pPr>
        <w:spacing w:after="0" w:line="15"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ectPr>
          <w:pgSz w:w="11900" w:h="16838" w:orient="portrait"/>
          <w:cols w:equalWidth="0" w:num="1">
            <w:col w:w="10100"/>
          </w:cols>
          <w:pgMar w:left="1440" w:top="14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Signature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MRC Energy Company</w:t>
      </w:r>
    </w:p>
    <w:p>
      <w:pPr>
        <w:spacing w:after="0"/>
        <w:rPr>
          <w:sz w:val="20"/>
          <w:szCs w:val="20"/>
          <w:color w:val="auto"/>
        </w:rPr>
      </w:pPr>
      <w:r>
        <w:rPr>
          <w:rFonts w:ascii="Times New Roman" w:cs="Times New Roman" w:eastAsia="Times New Roman" w:hAnsi="Times New Roman"/>
          <w:sz w:val="14"/>
          <w:szCs w:val="14"/>
          <w:color w:val="auto"/>
        </w:rPr>
        <w:t>Limited Waiver and Amendment</w:t>
      </w:r>
    </w:p>
    <w:p>
      <w:pPr>
        <w:sectPr>
          <w:pgSz w:w="11900" w:h="16838" w:orient="portrait"/>
          <w:cols w:equalWidth="0" w:num="2">
            <w:col w:w="7480" w:space="720"/>
            <w:col w:w="1900"/>
          </w:cols>
          <w:pgMar w:left="1440" w:top="1418" w:right="359" w:bottom="1440" w:gutter="0" w:footer="0" w:header="0"/>
          <w:type w:val="continuous"/>
        </w:sectPr>
      </w:pPr>
    </w:p>
    <w:bookmarkStart w:id="54" w:name="page55"/>
    <w:bookmarkEnd w:id="54"/>
    <w:p>
      <w:pPr>
        <w:ind w:left="2780" w:right="1420"/>
        <w:spacing w:after="0" w:line="275" w:lineRule="auto"/>
        <w:rPr>
          <w:sz w:val="20"/>
          <w:szCs w:val="20"/>
          <w:color w:val="auto"/>
        </w:rPr>
      </w:pPr>
      <w:r>
        <w:rPr>
          <w:rFonts w:ascii="Times New Roman" w:cs="Times New Roman" w:eastAsia="Times New Roman" w:hAnsi="Times New Roman"/>
          <w:sz w:val="22"/>
          <w:szCs w:val="22"/>
          <w:b w:val="1"/>
          <w:bCs w:val="1"/>
          <w:color w:val="auto"/>
        </w:rPr>
        <w:t>THE TORONTO-DOMINION BANK, NEW YORK BRANCH</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 Lender</w:t>
      </w:r>
    </w:p>
    <w:p>
      <w:pPr>
        <w:spacing w:after="0" w:line="19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Evans Swann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3182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9"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Evans Swann</w:t>
      </w:r>
    </w:p>
    <w:p>
      <w:pPr>
        <w:spacing w:after="0" w:line="15"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ectPr>
          <w:pgSz w:w="11900" w:h="16838" w:orient="portrait"/>
          <w:cols w:equalWidth="0" w:num="1">
            <w:col w:w="10100"/>
          </w:cols>
          <w:pgMar w:left="1440" w:top="14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Signature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MRC Energy Company</w:t>
      </w:r>
    </w:p>
    <w:p>
      <w:pPr>
        <w:spacing w:after="0"/>
        <w:rPr>
          <w:sz w:val="20"/>
          <w:szCs w:val="20"/>
          <w:color w:val="auto"/>
        </w:rPr>
      </w:pPr>
      <w:r>
        <w:rPr>
          <w:rFonts w:ascii="Times New Roman" w:cs="Times New Roman" w:eastAsia="Times New Roman" w:hAnsi="Times New Roman"/>
          <w:sz w:val="14"/>
          <w:szCs w:val="14"/>
          <w:color w:val="auto"/>
        </w:rPr>
        <w:t>Limited Waiver and Amendment</w:t>
      </w:r>
    </w:p>
    <w:p>
      <w:pPr>
        <w:sectPr>
          <w:pgSz w:w="11900" w:h="16838" w:orient="portrait"/>
          <w:cols w:equalWidth="0" w:num="2">
            <w:col w:w="7480" w:space="720"/>
            <w:col w:w="1900"/>
          </w:cols>
          <w:pgMar w:left="1440" w:top="1418" w:right="359" w:bottom="1440" w:gutter="0" w:footer="0" w:header="0"/>
          <w:type w:val="continuous"/>
        </w:sectPr>
      </w:pPr>
    </w:p>
    <w:bookmarkStart w:id="55" w:name="page56"/>
    <w:bookmarkEnd w:id="55"/>
    <w:p>
      <w:pPr>
        <w:ind w:left="2780"/>
        <w:spacing w:after="0"/>
        <w:rPr>
          <w:sz w:val="20"/>
          <w:szCs w:val="20"/>
          <w:color w:val="auto"/>
        </w:rPr>
      </w:pPr>
      <w:r>
        <w:rPr>
          <w:rFonts w:ascii="Times New Roman" w:cs="Times New Roman" w:eastAsia="Times New Roman" w:hAnsi="Times New Roman"/>
          <w:sz w:val="21"/>
          <w:szCs w:val="21"/>
          <w:b w:val="1"/>
          <w:bCs w:val="1"/>
          <w:color w:val="auto"/>
        </w:rPr>
        <w:t>U.S. BANK NATIONAL ASSOCIATION</w:t>
      </w:r>
      <w:r>
        <w:rPr>
          <w:rFonts w:ascii="Times New Roman" w:cs="Times New Roman" w:eastAsia="Times New Roman" w:hAnsi="Times New Roman"/>
          <w:sz w:val="21"/>
          <w:szCs w:val="21"/>
          <w:color w:val="auto"/>
        </w:rPr>
        <w:t>,</w:t>
      </w:r>
    </w:p>
    <w:p>
      <w:pPr>
        <w:spacing w:after="0" w:line="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 Lender</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Beth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3182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9"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Beth Johnson</w:t>
      </w:r>
    </w:p>
    <w:p>
      <w:pPr>
        <w:spacing w:after="0" w:line="15"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ectPr>
          <w:pgSz w:w="11900" w:h="16838" w:orient="portrait"/>
          <w:cols w:equalWidth="0" w:num="1">
            <w:col w:w="10100"/>
          </w:cols>
          <w:pgMar w:left="1440" w:top="14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Signature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MRC Energy Company</w:t>
      </w:r>
    </w:p>
    <w:p>
      <w:pPr>
        <w:spacing w:after="0"/>
        <w:rPr>
          <w:sz w:val="20"/>
          <w:szCs w:val="20"/>
          <w:color w:val="auto"/>
        </w:rPr>
      </w:pPr>
      <w:r>
        <w:rPr>
          <w:rFonts w:ascii="Times New Roman" w:cs="Times New Roman" w:eastAsia="Times New Roman" w:hAnsi="Times New Roman"/>
          <w:sz w:val="14"/>
          <w:szCs w:val="14"/>
          <w:color w:val="auto"/>
        </w:rPr>
        <w:t>Limited Waiver and Amendment</w:t>
      </w:r>
    </w:p>
    <w:p>
      <w:pPr>
        <w:sectPr>
          <w:pgSz w:w="11900" w:h="16838" w:orient="portrait"/>
          <w:cols w:equalWidth="0" w:num="2">
            <w:col w:w="7480" w:space="720"/>
            <w:col w:w="1900"/>
          </w:cols>
          <w:pgMar w:left="1440" w:top="1418" w:right="359" w:bottom="1440" w:gutter="0" w:footer="0" w:header="0"/>
          <w:type w:val="continuous"/>
        </w:sectPr>
      </w:pPr>
    </w:p>
    <w:bookmarkStart w:id="56" w:name="page57"/>
    <w:bookmarkEnd w:id="56"/>
    <w:p>
      <w:pPr>
        <w:ind w:left="2780"/>
        <w:spacing w:after="0"/>
        <w:rPr>
          <w:sz w:val="20"/>
          <w:szCs w:val="20"/>
          <w:color w:val="auto"/>
        </w:rPr>
      </w:pPr>
      <w:r>
        <w:rPr>
          <w:rFonts w:ascii="Times New Roman" w:cs="Times New Roman" w:eastAsia="Times New Roman" w:hAnsi="Times New Roman"/>
          <w:sz w:val="21"/>
          <w:szCs w:val="21"/>
          <w:b w:val="1"/>
          <w:bCs w:val="1"/>
          <w:color w:val="auto"/>
        </w:rPr>
        <w:t>BOKF, NA dba Bank of Texas</w:t>
      </w:r>
      <w:r>
        <w:rPr>
          <w:rFonts w:ascii="Times New Roman" w:cs="Times New Roman" w:eastAsia="Times New Roman" w:hAnsi="Times New Roman"/>
          <w:sz w:val="21"/>
          <w:szCs w:val="21"/>
          <w:color w:val="auto"/>
        </w:rPr>
        <w:t>,</w:t>
      </w:r>
    </w:p>
    <w:p>
      <w:pPr>
        <w:spacing w:after="0" w:line="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 Lender</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Drew Krittenbrink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592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1592580" cy="8255"/>
                    </a:xfrm>
                    <a:prstGeom prst="rect">
                      <a:avLst/>
                    </a:prstGeom>
                    <a:noFill/>
                  </pic:spPr>
                </pic:pic>
              </a:graphicData>
            </a:graphic>
          </wp:anchor>
        </w:drawing>
      </w:r>
    </w:p>
    <w:p>
      <w:pPr>
        <w:spacing w:after="0" w:line="9"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Drew Krittenbrink</w:t>
      </w:r>
    </w:p>
    <w:p>
      <w:pPr>
        <w:spacing w:after="0" w:line="15"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ectPr>
          <w:pgSz w:w="11900" w:h="16838" w:orient="portrait"/>
          <w:cols w:equalWidth="0" w:num="1">
            <w:col w:w="10100"/>
          </w:cols>
          <w:pgMar w:left="1440" w:top="14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Signature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MRC Energy Company</w:t>
      </w:r>
    </w:p>
    <w:p>
      <w:pPr>
        <w:spacing w:after="0"/>
        <w:rPr>
          <w:sz w:val="20"/>
          <w:szCs w:val="20"/>
          <w:color w:val="auto"/>
        </w:rPr>
      </w:pPr>
      <w:r>
        <w:rPr>
          <w:rFonts w:ascii="Times New Roman" w:cs="Times New Roman" w:eastAsia="Times New Roman" w:hAnsi="Times New Roman"/>
          <w:sz w:val="14"/>
          <w:szCs w:val="14"/>
          <w:color w:val="auto"/>
        </w:rPr>
        <w:t>Limited Waiver and Amendment</w:t>
      </w:r>
    </w:p>
    <w:p>
      <w:pPr>
        <w:sectPr>
          <w:pgSz w:w="11900" w:h="16838" w:orient="portrait"/>
          <w:cols w:equalWidth="0" w:num="2">
            <w:col w:w="7480" w:space="720"/>
            <w:col w:w="1900"/>
          </w:cols>
          <w:pgMar w:left="1440" w:top="1418" w:right="359" w:bottom="1440" w:gutter="0" w:footer="0" w:header="0"/>
          <w:type w:val="continuous"/>
        </w:sectPr>
      </w:pPr>
    </w:p>
    <w:bookmarkStart w:id="57" w:name="page58"/>
    <w:bookmarkEnd w:id="57"/>
    <w:p>
      <w:pPr>
        <w:ind w:left="2780"/>
        <w:spacing w:after="0"/>
        <w:rPr>
          <w:sz w:val="20"/>
          <w:szCs w:val="20"/>
          <w:color w:val="auto"/>
        </w:rPr>
      </w:pPr>
      <w:r>
        <w:rPr>
          <w:rFonts w:ascii="Times New Roman" w:cs="Times New Roman" w:eastAsia="Times New Roman" w:hAnsi="Times New Roman"/>
          <w:sz w:val="21"/>
          <w:szCs w:val="21"/>
          <w:b w:val="1"/>
          <w:bCs w:val="1"/>
          <w:color w:val="auto"/>
        </w:rPr>
        <w:t>FIRST HORIZON BANK</w:t>
      </w:r>
      <w:r>
        <w:rPr>
          <w:rFonts w:ascii="Times New Roman" w:cs="Times New Roman" w:eastAsia="Times New Roman" w:hAnsi="Times New Roman"/>
          <w:sz w:val="21"/>
          <w:szCs w:val="21"/>
          <w:color w:val="auto"/>
        </w:rPr>
        <w:t>, a Tennessee State Bank, as a Lender</w:t>
      </w:r>
    </w:p>
    <w:p>
      <w:pPr>
        <w:spacing w:after="0" w:line="27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Stacy Cartier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2954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Stacy Cartier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Sr. Vice President</w:t>
      </w:r>
    </w:p>
    <w:p>
      <w:pPr>
        <w:sectPr>
          <w:pgSz w:w="11900" w:h="16838" w:orient="portrait"/>
          <w:cols w:equalWidth="0" w:num="1">
            <w:col w:w="10100"/>
          </w:cols>
          <w:pgMar w:left="1440" w:top="14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Signature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Limited Waiver and Amendment</w:t>
      </w:r>
    </w:p>
    <w:p>
      <w:pPr>
        <w:sectPr>
          <w:pgSz w:w="11900" w:h="16838" w:orient="portrait"/>
          <w:cols w:equalWidth="0" w:num="2">
            <w:col w:w="7480" w:space="720"/>
            <w:col w:w="1900"/>
          </w:cols>
          <w:pgMar w:left="1440" w:top="1418" w:right="359" w:bottom="1440" w:gutter="0" w:footer="0" w:header="0"/>
          <w:type w:val="continuous"/>
        </w:sectPr>
      </w:pPr>
    </w:p>
    <w:bookmarkStart w:id="58" w:name="page59"/>
    <w:bookmarkEnd w:id="58"/>
    <w:p>
      <w:pPr>
        <w:ind w:left="2780"/>
        <w:spacing w:after="0"/>
        <w:rPr>
          <w:sz w:val="20"/>
          <w:szCs w:val="20"/>
          <w:color w:val="auto"/>
        </w:rPr>
      </w:pPr>
      <w:r>
        <w:rPr>
          <w:rFonts w:ascii="Times New Roman" w:cs="Times New Roman" w:eastAsia="Times New Roman" w:hAnsi="Times New Roman"/>
          <w:sz w:val="21"/>
          <w:szCs w:val="21"/>
          <w:b w:val="1"/>
          <w:bCs w:val="1"/>
          <w:color w:val="auto"/>
        </w:rPr>
        <w:t>ZIONS BANCORPORATION, N.A. dba Amegy Bank</w:t>
      </w:r>
      <w:r>
        <w:rPr>
          <w:rFonts w:ascii="Times New Roman" w:cs="Times New Roman" w:eastAsia="Times New Roman" w:hAnsi="Times New Roman"/>
          <w:sz w:val="21"/>
          <w:szCs w:val="21"/>
          <w:color w:val="auto"/>
        </w:rPr>
        <w:t>,</w:t>
      </w:r>
    </w:p>
    <w:p>
      <w:pPr>
        <w:spacing w:after="0" w:line="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 Lender</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Jill McSorley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3182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1318260" cy="8890"/>
                    </a:xfrm>
                    <a:prstGeom prst="rect">
                      <a:avLst/>
                    </a:prstGeom>
                    <a:noFill/>
                  </pic:spPr>
                </pic:pic>
              </a:graphicData>
            </a:graphic>
          </wp:anchor>
        </w:drawing>
      </w:r>
    </w:p>
    <w:p>
      <w:pPr>
        <w:spacing w:after="0" w:line="9"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Jill McSorley</w:t>
      </w:r>
    </w:p>
    <w:p>
      <w:pPr>
        <w:spacing w:after="0" w:line="15"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 – Amegy Bank</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Division</w:t>
      </w:r>
    </w:p>
    <w:p>
      <w:pPr>
        <w:sectPr>
          <w:pgSz w:w="11900" w:h="16838" w:orient="portrait"/>
          <w:cols w:equalWidth="0" w:num="1">
            <w:col w:w="10100"/>
          </w:cols>
          <w:pgMar w:left="1440" w:top="14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Signature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MRC Energy Company</w:t>
      </w:r>
    </w:p>
    <w:p>
      <w:pPr>
        <w:spacing w:after="0"/>
        <w:rPr>
          <w:sz w:val="20"/>
          <w:szCs w:val="20"/>
          <w:color w:val="auto"/>
        </w:rPr>
      </w:pPr>
      <w:r>
        <w:rPr>
          <w:rFonts w:ascii="Times New Roman" w:cs="Times New Roman" w:eastAsia="Times New Roman" w:hAnsi="Times New Roman"/>
          <w:sz w:val="14"/>
          <w:szCs w:val="14"/>
          <w:color w:val="auto"/>
        </w:rPr>
        <w:t>Limited Waiver and Amendment</w:t>
      </w:r>
    </w:p>
    <w:p>
      <w:pPr>
        <w:sectPr>
          <w:pgSz w:w="11900" w:h="16838" w:orient="portrait"/>
          <w:cols w:equalWidth="0" w:num="2">
            <w:col w:w="7480" w:space="720"/>
            <w:col w:w="1900"/>
          </w:cols>
          <w:pgMar w:left="1440" w:top="1418" w:right="359" w:bottom="1440" w:gutter="0" w:footer="0" w:header="0"/>
          <w:type w:val="continuous"/>
        </w:sectPr>
      </w:pPr>
    </w:p>
    <w:bookmarkStart w:id="59" w:name="page60"/>
    <w:bookmarkEnd w:id="59"/>
    <w:p>
      <w:pPr>
        <w:ind w:left="2780"/>
        <w:spacing w:after="0"/>
        <w:rPr>
          <w:sz w:val="20"/>
          <w:szCs w:val="20"/>
          <w:color w:val="auto"/>
        </w:rPr>
      </w:pPr>
      <w:r>
        <w:rPr>
          <w:rFonts w:ascii="Times New Roman" w:cs="Times New Roman" w:eastAsia="Times New Roman" w:hAnsi="Times New Roman"/>
          <w:sz w:val="22"/>
          <w:szCs w:val="22"/>
          <w:b w:val="1"/>
          <w:bCs w:val="1"/>
          <w:color w:val="auto"/>
        </w:rPr>
        <w:t>CATHAY BANK</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 Lender</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Dale T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3773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9"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Dale T Wilson</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Title: Senior Vice President</w:t>
      </w:r>
    </w:p>
    <w:p>
      <w:pPr>
        <w:sectPr>
          <w:pgSz w:w="11900" w:h="16838" w:orient="portrait"/>
          <w:cols w:equalWidth="0" w:num="1">
            <w:col w:w="10100"/>
          </w:cols>
          <w:pgMar w:left="1440" w:top="14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Signature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MRC Energy Company</w:t>
      </w:r>
    </w:p>
    <w:p>
      <w:pPr>
        <w:spacing w:after="0"/>
        <w:rPr>
          <w:sz w:val="20"/>
          <w:szCs w:val="20"/>
          <w:color w:val="auto"/>
        </w:rPr>
      </w:pPr>
      <w:r>
        <w:rPr>
          <w:rFonts w:ascii="Times New Roman" w:cs="Times New Roman" w:eastAsia="Times New Roman" w:hAnsi="Times New Roman"/>
          <w:sz w:val="14"/>
          <w:szCs w:val="14"/>
          <w:color w:val="auto"/>
        </w:rPr>
        <w:t>Limited Waiver and Amendment</w:t>
      </w:r>
    </w:p>
    <w:p>
      <w:pPr>
        <w:sectPr>
          <w:pgSz w:w="11900" w:h="16838" w:orient="portrait"/>
          <w:cols w:equalWidth="0" w:num="2">
            <w:col w:w="7480" w:space="720"/>
            <w:col w:w="1900"/>
          </w:cols>
          <w:pgMar w:left="1440" w:top="1418" w:right="3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2"/>
          <w:szCs w:val="22"/>
          <w:color w:val="auto"/>
        </w:rPr>
        <w:t>Accepted and agreed to as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first written above: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BORROWER</w:t>
      </w:r>
      <w:r>
        <w:rPr>
          <w:rFonts w:ascii="Times New Roman" w:cs="Times New Roman" w:eastAsia="Times New Roman" w:hAnsi="Times New Roman"/>
          <w:sz w:val="22"/>
          <w:szCs w:val="22"/>
          <w:b w:val="1"/>
          <w:bCs w:val="1"/>
          <w:color w:val="auto"/>
        </w:rPr>
        <w: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MRC ENERGY COMPANY</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Texas corporation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Bryan A. 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4782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147828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Bryan A. Erman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Co-President, Chief Legal Officer and Head of M&amp;A</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GUARANTORS</w:t>
      </w:r>
      <w:r>
        <w:rPr>
          <w:rFonts w:ascii="Times New Roman" w:cs="Times New Roman" w:eastAsia="Times New Roman" w:hAnsi="Times New Roman"/>
          <w:sz w:val="22"/>
          <w:szCs w:val="22"/>
          <w:b w:val="1"/>
          <w:bCs w:val="1"/>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MATADOR RESOURCES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LONGWOOD GATHERING AND DISPOSAL SYSTEMS, LLC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MRC PERMIAN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MATADOR PRODUCTION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MRC ROCKIES COMPANY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WR PERMIAN, LLC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LONGWOOD MIDSTREAM HOLDINGS,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MRC ENERGY SOUTHEAST COMPANY,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MRC ENERGY SOUTH TEXAS COMPANY,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DELAWARE WATER MANAGEMENT COMPANY, LLC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LONGWOOD MIDSTREAM DELAWARE, LLC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LONGWOOD MIDSTREAM SOUTHEAST,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LONGWOOD MIDSTREAM SOUTH TEXAS,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SOUTHEAST WATER MANAGEMENT COMPANY,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MRC DELAWARE RESOURCES, LLC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MRC HAT MESA, LLC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MRC TORO,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MRC ROYALTIES, LLC</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Bryan A. 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4782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147828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Bryan A. Erman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Co-President, Chief Legal Officer and Head of M&amp;A</w:t>
      </w:r>
    </w:p>
    <w:p>
      <w:pPr>
        <w:sectPr>
          <w:pgSz w:w="11900" w:h="16838" w:orient="portrait"/>
          <w:cols w:equalWidth="0" w:num="1">
            <w:col w:w="11220"/>
          </w:cols>
          <w:pgMar w:left="320" w:top="14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Signature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Limited Waiver and Amendment</w:t>
      </w:r>
    </w:p>
    <w:p>
      <w:pPr>
        <w:sectPr>
          <w:pgSz w:w="11900" w:h="16838" w:orient="portrait"/>
          <w:cols w:equalWidth="0" w:num="2">
            <w:col w:w="8600" w:space="720"/>
            <w:col w:w="1900"/>
          </w:cols>
          <w:pgMar w:left="320" w:top="1422" w:right="359" w:bottom="1440" w:gutter="0" w:footer="0" w:header="0"/>
          <w:type w:val="continuous"/>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Wm. Foran, certify that:</w:t>
      </w:r>
    </w:p>
    <w:p>
      <w:pPr>
        <w:spacing w:after="0" w:line="171" w:lineRule="exact"/>
        <w:rPr>
          <w:sz w:val="20"/>
          <w:szCs w:val="20"/>
          <w:color w:val="auto"/>
        </w:rPr>
      </w:pPr>
    </w:p>
    <w:p>
      <w:pPr>
        <w:ind w:left="640" w:hanging="18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Matador Resources Company;</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53"/>
        <w:spacing w:after="0" w:line="266" w:lineRule="auto"/>
        <w:tabs>
          <w:tab w:leader="none" w:pos="6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right="140" w:firstLine="899"/>
        <w:spacing w:after="0" w:line="266" w:lineRule="auto"/>
        <w:tabs>
          <w:tab w:leader="none" w:pos="106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right="40" w:firstLine="899"/>
        <w:spacing w:after="0" w:line="266" w:lineRule="auto"/>
        <w:tabs>
          <w:tab w:leader="none" w:pos="10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480" w:firstLine="899"/>
        <w:spacing w:after="0" w:line="282" w:lineRule="auto"/>
        <w:tabs>
          <w:tab w:leader="none" w:pos="106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right="240" w:firstLine="899"/>
        <w:spacing w:after="0" w:line="266" w:lineRule="auto"/>
        <w:tabs>
          <w:tab w:leader="none" w:pos="10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right="680" w:firstLine="899"/>
        <w:spacing w:after="0" w:line="282" w:lineRule="auto"/>
        <w:tabs>
          <w:tab w:leader="none" w:pos="106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right="360" w:firstLine="899"/>
        <w:spacing w:after="0" w:line="282" w:lineRule="auto"/>
        <w:tabs>
          <w:tab w:leader="none" w:pos="10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May 8, 2026</w:t>
            </w:r>
          </w:p>
        </w:tc>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28"/>
        </w:trPr>
        <w:tc>
          <w:tcPr>
            <w:tcW w:w="480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Wm. Foran</w:t>
            </w:r>
          </w:p>
        </w:tc>
      </w:tr>
    </w:tbl>
    <w:p>
      <w:pPr>
        <w:ind w:left="4840"/>
        <w:spacing w:after="0" w:line="215" w:lineRule="auto"/>
        <w:rPr>
          <w:sz w:val="20"/>
          <w:szCs w:val="20"/>
          <w:color w:val="auto"/>
        </w:rPr>
      </w:pPr>
      <w:r>
        <w:rPr>
          <w:rFonts w:ascii="Times New Roman" w:cs="Times New Roman" w:eastAsia="Times New Roman" w:hAnsi="Times New Roman"/>
          <w:sz w:val="18"/>
          <w:szCs w:val="18"/>
          <w:color w:val="auto"/>
        </w:rPr>
        <w:t>Chairman and Chief Executive Officer</w:t>
      </w:r>
    </w:p>
    <w:p>
      <w:pPr>
        <w:ind w:left="48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P. Calvert, certify that:</w:t>
      </w:r>
    </w:p>
    <w:p>
      <w:pPr>
        <w:spacing w:after="0" w:line="171" w:lineRule="exact"/>
        <w:rPr>
          <w:sz w:val="20"/>
          <w:szCs w:val="20"/>
          <w:color w:val="auto"/>
        </w:rPr>
      </w:pPr>
    </w:p>
    <w:p>
      <w:pPr>
        <w:ind w:left="640" w:hanging="187"/>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Matador Resources Company;</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53"/>
        <w:spacing w:after="0" w:line="266" w:lineRule="auto"/>
        <w:tabs>
          <w:tab w:leader="none" w:pos="6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right="140" w:firstLine="899"/>
        <w:spacing w:after="0" w:line="266" w:lineRule="auto"/>
        <w:tabs>
          <w:tab w:leader="none" w:pos="106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right="40" w:firstLine="899"/>
        <w:spacing w:after="0" w:line="266" w:lineRule="auto"/>
        <w:tabs>
          <w:tab w:leader="none" w:pos="10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480" w:firstLine="899"/>
        <w:spacing w:after="0" w:line="282" w:lineRule="auto"/>
        <w:tabs>
          <w:tab w:leader="none" w:pos="106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right="240" w:firstLine="899"/>
        <w:spacing w:after="0" w:line="266" w:lineRule="auto"/>
        <w:tabs>
          <w:tab w:leader="none" w:pos="10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right="680" w:firstLine="899"/>
        <w:spacing w:after="0" w:line="282" w:lineRule="auto"/>
        <w:tabs>
          <w:tab w:leader="none" w:pos="106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right="360" w:firstLine="899"/>
        <w:spacing w:after="0" w:line="282" w:lineRule="auto"/>
        <w:tabs>
          <w:tab w:leader="none" w:pos="10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May 8, 2026</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P. Calvert</w:t>
            </w:r>
          </w:p>
        </w:tc>
      </w:tr>
      <w:tr>
        <w:trPr>
          <w:trHeight w:val="228"/>
        </w:trPr>
        <w:tc>
          <w:tcPr>
            <w:tcW w:w="478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P. Calvert</w:t>
            </w:r>
          </w:p>
        </w:tc>
      </w:tr>
    </w:tbl>
    <w:p>
      <w:pPr>
        <w:ind w:left="4820"/>
        <w:spacing w:after="0" w:line="215"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48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Matador Resources Company (the “Company”) on Form 10-Q for the period ended March 31, 2026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spacing w:after="0" w:line="126"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May 8, 2026</w:t>
            </w: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28"/>
        </w:trPr>
        <w:tc>
          <w:tcPr>
            <w:tcW w:w="45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Joseph Wm. Foran</w:t>
            </w:r>
          </w:p>
        </w:tc>
      </w:tr>
    </w:tbl>
    <w:p>
      <w:pPr>
        <w:ind w:left="4540"/>
        <w:spacing w:after="0" w:line="215" w:lineRule="auto"/>
        <w:rPr>
          <w:sz w:val="20"/>
          <w:szCs w:val="20"/>
          <w:color w:val="auto"/>
        </w:rPr>
      </w:pPr>
      <w:r>
        <w:rPr>
          <w:rFonts w:ascii="Times New Roman" w:cs="Times New Roman" w:eastAsia="Times New Roman" w:hAnsi="Times New Roman"/>
          <w:sz w:val="18"/>
          <w:szCs w:val="18"/>
          <w:color w:val="auto"/>
        </w:rPr>
        <w:t>Chairman and Chief Executive Officer</w:t>
      </w: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Matador Resources Company (the “Company”) on Form 10-Q for the period ended March 31, 2026 as filed with the Securities and Exchange Commission on the date hereof (the “Form 10-Q”), I, Christopher P. Calvert, hereby certify in my capacity as Executive Vice President and Chief Financial Officer of the Company, pursuant to 18 U.S.C. § 1350, as adopted pursuant to § 906 of the Sarbanes-Oxley Act of 2002, that to the best of my knowledge:</w:t>
      </w:r>
    </w:p>
    <w:p>
      <w:pPr>
        <w:spacing w:after="0" w:line="126"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May 8, 2026</w:t>
            </w:r>
          </w:p>
        </w:tc>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P. Calvert</w:t>
            </w:r>
          </w:p>
        </w:tc>
      </w:tr>
      <w:tr>
        <w:trPr>
          <w:trHeight w:val="228"/>
        </w:trPr>
        <w:tc>
          <w:tcPr>
            <w:tcW w:w="450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P. Calvert</w:t>
            </w:r>
          </w:p>
        </w:tc>
      </w:tr>
    </w:tbl>
    <w:p>
      <w:pPr>
        <w:ind w:left="4540"/>
        <w:spacing w:after="0" w:line="215"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45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lowerRoman"/>
      <w:start w:val="2"/>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01"/>
    </w:lvl>
  </w:abstractNum>
  <w:abstractNum w:abstractNumId="16">
    <w:nsid w:val="257130A3"/>
    <w:multiLevelType w:val="hybridMultilevel"/>
    <w:lvl w:ilvl="0">
      <w:lvlJc w:val="left"/>
      <w:lvlText w:val="%1"/>
      <w:numFmt w:val="decimal"/>
      <w:start w:val="104"/>
    </w:lvl>
  </w:abstractNum>
  <w:abstractNum w:abstractNumId="17">
    <w:nsid w:val="62BBD95A"/>
    <w:multiLevelType w:val="hybridMultilevel"/>
    <w:lvl w:ilvl="0">
      <w:lvlJc w:val="left"/>
      <w:lvlText w:val="(%1)"/>
      <w:numFmt w:val="lowerLetter"/>
      <w:start w:val="2"/>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jpe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55" Type="http://schemas.openxmlformats.org/officeDocument/2006/relationships/hyperlink" Target="https://www.sec.gov/Archives/edgar/data/1520006/000152000617000188/a20170630mtdr10q-exhibit32.htm" TargetMode="External"/><Relationship Id="rId56" Type="http://schemas.openxmlformats.org/officeDocument/2006/relationships/hyperlink" Target="https://www.sec.gov/Archives/edgar/data/1520006/000152000617000188/a20170630mtdr10q-exhibit33.htm" TargetMode="External"/><Relationship Id="rId57" Type="http://schemas.openxmlformats.org/officeDocument/2006/relationships/hyperlink" Target="https://www.sec.gov/Archives/edgar/data/1520006/000152000617000188/a20170630mtdr10q-exhibit34.htm" TargetMode="External"/><Relationship Id="rId58" Type="http://schemas.openxmlformats.org/officeDocument/2006/relationships/hyperlink" Target="https://www.sec.gov/Archives/edgar/data/1520006/000152000618000051/a20171231mtdr8k-amendedbyl.htm" TargetMode="External"/><Relationship Id="rId59" Type="http://schemas.openxmlformats.org/officeDocument/2006/relationships/hyperlink" Target="https://www.sec.gov/Archives/edgar/data/1520006/000110465926024110/tm268001d1_ex4-1.htm" TargetMode="External"/><Relationship Id="rId60" Type="http://schemas.openxmlformats.org/officeDocument/2006/relationships/hyperlink" Target="https://www.sec.gov/Archives/edgar/data/1520006/000162828026003190/a20260123mtdr8-k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2026-05-08T05:51:35Z</dcterms:created>
  <dcterms:modified xsi:type="dcterms:W3CDTF">2026-05-08T05:51:35Z</dcterms:modified>
</cp:coreProperties>
</file>