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20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16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31" w:lineRule="exact"/>
        <w:rPr>
          <w:sz w:val="24"/>
          <w:szCs w:val="24"/>
          <w:color w:val="auto"/>
        </w:rPr>
      </w:pPr>
    </w:p>
    <w:p>
      <w:pPr>
        <w:ind w:left="500" w:right="38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March 31, 2018</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right="38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410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001-35410</w:t>
      </w:r>
    </w:p>
    <w:p>
      <w:pPr>
        <w:spacing w:after="0" w:line="63" w:lineRule="exact"/>
        <w:rPr>
          <w:sz w:val="24"/>
          <w:szCs w:val="24"/>
          <w:color w:val="auto"/>
        </w:rPr>
      </w:pPr>
    </w:p>
    <w:p>
      <w:pPr>
        <w:ind w:left="416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2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Matador Resources Company</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9"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203"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6320" w:type="dxa"/>
            <w:vAlign w:val="bottom"/>
          </w:tcPr>
          <w:p>
            <w:pPr>
              <w:jc w:val="center"/>
              <w:ind w:right="3879"/>
              <w:spacing w:after="0"/>
              <w:rPr>
                <w:sz w:val="20"/>
                <w:szCs w:val="20"/>
                <w:color w:val="auto"/>
              </w:rPr>
            </w:pPr>
            <w:r>
              <w:rPr>
                <w:rFonts w:ascii="Arial" w:cs="Arial" w:eastAsia="Arial" w:hAnsi="Arial"/>
                <w:sz w:val="18"/>
                <w:szCs w:val="18"/>
                <w:b w:val="1"/>
                <w:bCs w:val="1"/>
                <w:color w:val="auto"/>
                <w:w w:val="86"/>
              </w:rPr>
              <w:t>Texas</w:t>
            </w:r>
          </w:p>
        </w:tc>
        <w:tc>
          <w:tcPr>
            <w:tcW w:w="1140" w:type="dxa"/>
            <w:vAlign w:val="bottom"/>
          </w:tcPr>
          <w:p>
            <w:pPr>
              <w:jc w:val="right"/>
              <w:ind w:right="61"/>
              <w:spacing w:after="0"/>
              <w:rPr>
                <w:sz w:val="20"/>
                <w:szCs w:val="20"/>
                <w:color w:val="auto"/>
              </w:rPr>
            </w:pPr>
            <w:r>
              <w:rPr>
                <w:rFonts w:ascii="Arial" w:cs="Arial" w:eastAsia="Arial" w:hAnsi="Arial"/>
                <w:sz w:val="18"/>
                <w:szCs w:val="18"/>
                <w:b w:val="1"/>
                <w:bCs w:val="1"/>
                <w:color w:val="auto"/>
              </w:rPr>
              <w:t>27-4662601</w:t>
            </w:r>
          </w:p>
        </w:tc>
      </w:tr>
      <w:tr>
        <w:trPr>
          <w:trHeight w:val="180"/>
        </w:trPr>
        <w:tc>
          <w:tcPr>
            <w:tcW w:w="6320" w:type="dxa"/>
            <w:vAlign w:val="bottom"/>
          </w:tcPr>
          <w:p>
            <w:pPr>
              <w:jc w:val="center"/>
              <w:ind w:right="3879"/>
              <w:spacing w:after="0"/>
              <w:rPr>
                <w:sz w:val="20"/>
                <w:szCs w:val="20"/>
                <w:color w:val="auto"/>
              </w:rPr>
            </w:pPr>
            <w:r>
              <w:rPr>
                <w:rFonts w:ascii="Arial" w:cs="Arial" w:eastAsia="Arial" w:hAnsi="Arial"/>
                <w:sz w:val="14"/>
                <w:szCs w:val="14"/>
                <w:b w:val="1"/>
                <w:bCs w:val="1"/>
                <w:color w:val="auto"/>
                <w:w w:val="93"/>
              </w:rPr>
              <w:t>(State or other jurisdiction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79"/>
              <w:spacing w:after="0"/>
              <w:rPr>
                <w:sz w:val="20"/>
                <w:szCs w:val="20"/>
                <w:color w:val="auto"/>
              </w:rPr>
            </w:pPr>
            <w:r>
              <w:rPr>
                <w:rFonts w:ascii="Arial" w:cs="Arial" w:eastAsia="Arial" w:hAnsi="Arial"/>
                <w:sz w:val="14"/>
                <w:szCs w:val="14"/>
                <w:b w:val="1"/>
                <w:bCs w:val="1"/>
                <w:color w:val="auto"/>
                <w:w w:val="94"/>
              </w:rPr>
              <w:t>incorporation or organization)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320" w:type="dxa"/>
            <w:vAlign w:val="bottom"/>
          </w:tcPr>
          <w:p>
            <w:pPr>
              <w:jc w:val="center"/>
              <w:ind w:right="3879"/>
              <w:spacing w:after="0"/>
              <w:rPr>
                <w:sz w:val="20"/>
                <w:szCs w:val="20"/>
                <w:color w:val="auto"/>
              </w:rPr>
            </w:pPr>
            <w:r>
              <w:rPr>
                <w:rFonts w:ascii="Arial" w:cs="Arial" w:eastAsia="Arial" w:hAnsi="Arial"/>
                <w:sz w:val="18"/>
                <w:szCs w:val="18"/>
                <w:b w:val="1"/>
                <w:bCs w:val="1"/>
                <w:color w:val="auto"/>
                <w:w w:val="90"/>
              </w:rPr>
              <w:t>5400 LBJ Freeway, Suite 1500</w:t>
            </w:r>
          </w:p>
        </w:tc>
        <w:tc>
          <w:tcPr>
            <w:tcW w:w="1140" w:type="dxa"/>
            <w:vAlign w:val="bottom"/>
          </w:tcPr>
          <w:p>
            <w:pPr>
              <w:spacing w:after="0"/>
              <w:rPr>
                <w:sz w:val="24"/>
                <w:szCs w:val="24"/>
                <w:color w:val="auto"/>
              </w:rPr>
            </w:pPr>
          </w:p>
        </w:tc>
      </w:tr>
      <w:tr>
        <w:trPr>
          <w:trHeight w:val="234"/>
        </w:trPr>
        <w:tc>
          <w:tcPr>
            <w:tcW w:w="6320" w:type="dxa"/>
            <w:vAlign w:val="bottom"/>
          </w:tcPr>
          <w:p>
            <w:pPr>
              <w:jc w:val="center"/>
              <w:ind w:right="3879"/>
              <w:spacing w:after="0"/>
              <w:rPr>
                <w:sz w:val="20"/>
                <w:szCs w:val="20"/>
                <w:color w:val="auto"/>
              </w:rPr>
            </w:pPr>
            <w:r>
              <w:rPr>
                <w:rFonts w:ascii="Arial" w:cs="Arial" w:eastAsia="Arial" w:hAnsi="Arial"/>
                <w:sz w:val="18"/>
                <w:szCs w:val="18"/>
                <w:b w:val="1"/>
                <w:bCs w:val="1"/>
                <w:color w:val="auto"/>
                <w:w w:val="87"/>
              </w:rPr>
              <w:t>Dallas, Texas</w:t>
            </w:r>
          </w:p>
        </w:tc>
        <w:tc>
          <w:tcPr>
            <w:tcW w:w="1140" w:type="dxa"/>
            <w:vAlign w:val="bottom"/>
          </w:tcPr>
          <w:p>
            <w:pPr>
              <w:jc w:val="right"/>
              <w:ind w:right="261"/>
              <w:spacing w:after="0"/>
              <w:rPr>
                <w:sz w:val="20"/>
                <w:szCs w:val="20"/>
                <w:color w:val="auto"/>
              </w:rPr>
            </w:pPr>
            <w:r>
              <w:rPr>
                <w:rFonts w:ascii="Arial" w:cs="Arial" w:eastAsia="Arial" w:hAnsi="Arial"/>
                <w:sz w:val="18"/>
                <w:szCs w:val="18"/>
                <w:b w:val="1"/>
                <w:bCs w:val="1"/>
                <w:color w:val="auto"/>
              </w:rPr>
              <w:t>75240</w:t>
            </w:r>
          </w:p>
        </w:tc>
      </w:tr>
      <w:tr>
        <w:trPr>
          <w:trHeight w:val="218"/>
        </w:trPr>
        <w:tc>
          <w:tcPr>
            <w:tcW w:w="6320" w:type="dxa"/>
            <w:vAlign w:val="bottom"/>
          </w:tcPr>
          <w:p>
            <w:pPr>
              <w:jc w:val="center"/>
              <w:ind w:right="3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6320" w:type="dxa"/>
            <w:vAlign w:val="bottom"/>
          </w:tcPr>
          <w:p>
            <w:pPr>
              <w:jc w:val="right"/>
              <w:ind w:right="1639"/>
              <w:spacing w:after="0"/>
              <w:rPr>
                <w:sz w:val="20"/>
                <w:szCs w:val="20"/>
                <w:color w:val="auto"/>
              </w:rPr>
            </w:pPr>
            <w:r>
              <w:rPr>
                <w:rFonts w:ascii="Arial" w:cs="Arial" w:eastAsia="Arial" w:hAnsi="Arial"/>
                <w:sz w:val="18"/>
                <w:szCs w:val="18"/>
                <w:b w:val="1"/>
                <w:bCs w:val="1"/>
                <w:color w:val="auto"/>
              </w:rPr>
              <w:t>(972) 371-5200</w:t>
            </w:r>
          </w:p>
        </w:tc>
        <w:tc>
          <w:tcPr>
            <w:tcW w:w="1140" w:type="dxa"/>
            <w:vAlign w:val="bottom"/>
          </w:tcPr>
          <w:p>
            <w:pPr>
              <w:spacing w:after="0"/>
              <w:rPr>
                <w:sz w:val="24"/>
                <w:szCs w:val="24"/>
                <w:color w:val="auto"/>
              </w:rPr>
            </w:pPr>
          </w:p>
        </w:tc>
      </w:tr>
      <w:tr>
        <w:trPr>
          <w:trHeight w:val="186"/>
        </w:trPr>
        <w:tc>
          <w:tcPr>
            <w:tcW w:w="6320" w:type="dxa"/>
            <w:vAlign w:val="bottom"/>
          </w:tcPr>
          <w:p>
            <w:pPr>
              <w:jc w:val="center"/>
              <w:ind w:left="16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40" w:type="dxa"/>
            <w:vAlign w:val="bottom"/>
          </w:tcPr>
          <w:p>
            <w:pPr>
              <w:spacing w:after="0"/>
              <w:rPr>
                <w:sz w:val="16"/>
                <w:szCs w:val="16"/>
                <w:color w:val="auto"/>
              </w:rPr>
            </w:pPr>
          </w:p>
        </w:tc>
      </w:tr>
      <w:tr>
        <w:trPr>
          <w:trHeight w:val="209"/>
        </w:trPr>
        <w:tc>
          <w:tcPr>
            <w:tcW w:w="6320" w:type="dxa"/>
            <w:vAlign w:val="bottom"/>
          </w:tcPr>
          <w:p>
            <w:pPr>
              <w:jc w:val="right"/>
              <w:spacing w:after="0"/>
              <w:rPr>
                <w:sz w:val="20"/>
                <w:szCs w:val="20"/>
                <w:color w:val="auto"/>
              </w:rPr>
            </w:pPr>
            <w:r>
              <w:rPr>
                <w:rFonts w:ascii="Arial" w:cs="Arial" w:eastAsia="Arial" w:hAnsi="Arial"/>
                <w:sz w:val="16"/>
                <w:szCs w:val="16"/>
                <w:color w:val="auto"/>
              </w:rPr>
              <w:t>_________________________________________________________</w:t>
            </w:r>
          </w:p>
        </w:tc>
        <w:tc>
          <w:tcPr>
            <w:tcW w:w="1140" w:type="dxa"/>
            <w:vAlign w:val="bottom"/>
          </w:tcPr>
          <w:p>
            <w:pPr>
              <w:spacing w:after="0"/>
              <w:rPr>
                <w:sz w:val="18"/>
                <w:szCs w:val="18"/>
                <w:color w:val="auto"/>
              </w:rPr>
            </w:pPr>
          </w:p>
        </w:tc>
      </w:tr>
    </w:tbl>
    <w:p>
      <w:pPr>
        <w:spacing w:after="0" w:line="158"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080" w:val="left"/>
        </w:tabs>
        <w:rPr>
          <w:sz w:val="20"/>
          <w:szCs w:val="20"/>
          <w:color w:val="auto"/>
        </w:rPr>
      </w:pPr>
      <w:r>
        <w:rPr>
          <w:rFonts w:ascii="Arial" w:cs="Arial" w:eastAsia="Arial" w:hAnsi="Arial"/>
          <w:sz w:val="16"/>
          <w:szCs w:val="16"/>
          <w:color w:val="auto"/>
        </w:rPr>
        <w:t>days.</w:t>
        <w:tab/>
        <w:t>x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59"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9" w:lineRule="exact"/>
        <w:rPr>
          <w:sz w:val="24"/>
          <w:szCs w:val="24"/>
          <w:color w:val="auto"/>
        </w:rPr>
      </w:pPr>
    </w:p>
    <w:p>
      <w:pPr>
        <w:ind w:right="2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2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840" w:type="dxa"/>
            <w:vAlign w:val="bottom"/>
          </w:tcPr>
          <w:p>
            <w:pPr>
              <w:ind w:left="820"/>
              <w:spacing w:after="0"/>
              <w:rPr>
                <w:sz w:val="20"/>
                <w:szCs w:val="20"/>
                <w:color w:val="auto"/>
              </w:rPr>
            </w:pPr>
            <w:r>
              <w:rPr>
                <w:rFonts w:ascii="Arial" w:cs="Arial" w:eastAsia="Arial" w:hAnsi="Arial"/>
                <w:sz w:val="16"/>
                <w:szCs w:val="16"/>
                <w:color w:val="auto"/>
              </w:rPr>
              <w:t>x</w:t>
            </w:r>
          </w:p>
        </w:tc>
        <w:tc>
          <w:tcPr>
            <w:tcW w:w="3240" w:type="dxa"/>
            <w:vAlign w:val="bottom"/>
          </w:tcPr>
          <w:p>
            <w:pPr>
              <w:ind w:left="76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260" w:type="dxa"/>
            <w:vAlign w:val="bottom"/>
          </w:tcPr>
          <w:p>
            <w:pPr>
              <w:spacing w:after="0"/>
              <w:rPr>
                <w:sz w:val="20"/>
                <w:szCs w:val="20"/>
                <w:color w:val="auto"/>
              </w:rPr>
            </w:pPr>
            <w:r>
              <w:rPr>
                <w:rFonts w:ascii="Arial" w:cs="Arial" w:eastAsia="Arial" w:hAnsi="Arial"/>
                <w:sz w:val="16"/>
                <w:szCs w:val="16"/>
                <w:color w:val="auto"/>
              </w:rPr>
              <w:t>Non-accelerated filer</w:t>
            </w:r>
          </w:p>
        </w:tc>
        <w:tc>
          <w:tcPr>
            <w:tcW w:w="4840" w:type="dxa"/>
            <w:vAlign w:val="bottom"/>
          </w:tcPr>
          <w:p>
            <w:pPr>
              <w:ind w:left="8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240" w:type="dxa"/>
            <w:vAlign w:val="bottom"/>
          </w:tcPr>
          <w:p>
            <w:pPr>
              <w:ind w:left="76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240" w:type="dxa"/>
            <w:vAlign w:val="bottom"/>
          </w:tcPr>
          <w:p>
            <w:pPr>
              <w:ind w:left="76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right="1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right="2860"/>
        <w:spacing w:after="0" w:line="29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x No As of May 2, 2018, there were 109,258,899 shares of the registrant’s common stock, par value $0.01 per share, outstanding.</w:t>
      </w:r>
    </w:p>
    <w:p>
      <w:pPr>
        <w:sectPr>
          <w:pgSz w:w="11900" w:h="16838" w:orient="portrait"/>
          <w:cols w:equalWidth="0" w:num="1">
            <w:col w:w="11380"/>
          </w:cols>
          <w:pgMar w:left="240" w:top="274"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8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40" w:type="dxa"/>
            <w:vAlign w:val="bottom"/>
            <w:gridSpan w:val="8"/>
          </w:tcPr>
          <w:p>
            <w:pPr>
              <w:jc w:val="center"/>
              <w:ind w:right="2280"/>
              <w:spacing w:after="0"/>
              <w:rPr>
                <w:sz w:val="20"/>
                <w:szCs w:val="20"/>
                <w:color w:val="auto"/>
              </w:rPr>
            </w:pPr>
            <w:r>
              <w:rPr>
                <w:rFonts w:ascii="Arial" w:cs="Arial" w:eastAsia="Arial" w:hAnsi="Arial"/>
                <w:sz w:val="18"/>
                <w:szCs w:val="18"/>
                <w:b w:val="1"/>
                <w:bCs w:val="1"/>
                <w:color w:val="auto"/>
                <w:w w:val="98"/>
              </w:rPr>
              <w:t>MATADOR RESOURCES COMPANY</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00" w:type="dxa"/>
            <w:vAlign w:val="bottom"/>
            <w:gridSpan w:val="6"/>
          </w:tcPr>
          <w:p>
            <w:pPr>
              <w:jc w:val="center"/>
              <w:ind w:right="4240"/>
              <w:spacing w:after="0"/>
              <w:rPr>
                <w:sz w:val="20"/>
                <w:szCs w:val="20"/>
                <w:color w:val="auto"/>
              </w:rPr>
            </w:pPr>
            <w:r>
              <w:rPr>
                <w:rFonts w:ascii="Arial" w:cs="Arial" w:eastAsia="Arial" w:hAnsi="Arial"/>
                <w:sz w:val="18"/>
                <w:szCs w:val="18"/>
                <w:b w:val="1"/>
                <w:bCs w:val="1"/>
                <w:color w:val="auto"/>
                <w:w w:val="99"/>
              </w:rPr>
              <w:t>FORM 10-Q</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40" w:type="dxa"/>
            <w:vAlign w:val="bottom"/>
            <w:gridSpan w:val="8"/>
          </w:tcPr>
          <w:p>
            <w:pPr>
              <w:jc w:val="center"/>
              <w:ind w:right="2280"/>
              <w:spacing w:after="0"/>
              <w:rPr>
                <w:sz w:val="20"/>
                <w:szCs w:val="20"/>
                <w:color w:val="auto"/>
              </w:rPr>
            </w:pPr>
            <w:r>
              <w:rPr>
                <w:rFonts w:ascii="Arial" w:cs="Arial" w:eastAsia="Arial" w:hAnsi="Arial"/>
                <w:sz w:val="18"/>
                <w:szCs w:val="18"/>
                <w:b w:val="1"/>
                <w:bCs w:val="1"/>
                <w:color w:val="auto"/>
                <w:w w:val="98"/>
              </w:rPr>
              <w:t>FOR THE QUARTER ENDED MARCH 31, 2018</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00" w:type="dxa"/>
            <w:vAlign w:val="bottom"/>
            <w:gridSpan w:val="6"/>
          </w:tcPr>
          <w:p>
            <w:pPr>
              <w:jc w:val="center"/>
              <w:ind w:right="4240"/>
              <w:spacing w:after="0"/>
              <w:rPr>
                <w:sz w:val="20"/>
                <w:szCs w:val="20"/>
                <w:color w:val="auto"/>
              </w:rPr>
            </w:pPr>
            <w:r>
              <w:rPr>
                <w:rFonts w:ascii="Arial" w:cs="Arial" w:eastAsia="Arial" w:hAnsi="Arial"/>
                <w:sz w:val="18"/>
                <w:szCs w:val="18"/>
                <w:b w:val="1"/>
                <w:bCs w:val="1"/>
                <w:color w:val="auto"/>
              </w:rPr>
              <w:t>INDEX</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3060" w:type="dxa"/>
            <w:vAlign w:val="bottom"/>
            <w:gridSpan w:val="10"/>
          </w:tcPr>
          <w:p>
            <w:pPr>
              <w:spacing w:after="0" w:line="19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380" w:type="dxa"/>
            <w:vAlign w:val="bottom"/>
            <w:gridSpan w:val="9"/>
          </w:tcPr>
          <w:p>
            <w:pPr>
              <w:spacing w:after="0"/>
              <w:rPr>
                <w:sz w:val="17"/>
                <w:szCs w:val="17"/>
                <w:color w:val="auto"/>
              </w:rPr>
            </w:pPr>
          </w:p>
        </w:tc>
        <w:tc>
          <w:tcPr>
            <w:tcW w:w="500" w:type="dxa"/>
            <w:vAlign w:val="bottom"/>
            <w:gridSpan w:val="2"/>
          </w:tcPr>
          <w:p>
            <w:pPr>
              <w:jc w:val="center"/>
              <w:ind w:left="33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60" w:type="dxa"/>
            <w:vAlign w:val="bottom"/>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 Unaudited</w:t>
              </w:r>
            </w:hyperlink>
          </w:p>
        </w:tc>
        <w:tc>
          <w:tcPr>
            <w:tcW w:w="7240" w:type="dxa"/>
            <w:vAlign w:val="bottom"/>
            <w:gridSpan w:val="8"/>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March 31, 2018 and December 31, 2017</w:t>
              </w:r>
            </w:hyperlink>
          </w:p>
        </w:tc>
        <w:tc>
          <w:tcPr>
            <w:tcW w:w="500" w:type="dxa"/>
            <w:vAlign w:val="bottom"/>
            <w:gridSpan w:val="2"/>
          </w:tcPr>
          <w:p>
            <w:pPr>
              <w:jc w:val="center"/>
              <w:ind w:left="33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2018 and 2017</w:t>
              </w:r>
            </w:hyperlink>
          </w:p>
        </w:tc>
        <w:tc>
          <w:tcPr>
            <w:tcW w:w="500" w:type="dxa"/>
            <w:vAlign w:val="bottom"/>
            <w:gridSpan w:val="2"/>
          </w:tcPr>
          <w:p>
            <w:pPr>
              <w:jc w:val="center"/>
              <w:ind w:left="33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60" w:type="dxa"/>
            <w:vAlign w:val="bottom"/>
            <w:gridSpan w:val="1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Changes in Shareholders’ Equity for the Three Months Ended March 31, 2018</w:t>
              </w:r>
            </w:hyperlink>
          </w:p>
        </w:tc>
        <w:tc>
          <w:tcPr>
            <w:tcW w:w="1420" w:type="dxa"/>
            <w:vAlign w:val="bottom"/>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60" w:type="dxa"/>
            <w:vAlign w:val="bottom"/>
            <w:gridSpan w:val="16"/>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Cash Flows for the Three Months Ended March 31, 2018 and 2017</w:t>
              </w:r>
            </w:hyperlink>
          </w:p>
        </w:tc>
        <w:tc>
          <w:tcPr>
            <w:tcW w:w="1420" w:type="dxa"/>
            <w:vAlign w:val="bottom"/>
          </w:tcPr>
          <w:p>
            <w:pPr>
              <w:spacing w:after="0"/>
              <w:rPr>
                <w:sz w:val="24"/>
                <w:szCs w:val="24"/>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4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700" w:type="dxa"/>
            <w:vAlign w:val="bottom"/>
            <w:gridSpan w:val="5"/>
          </w:tcPr>
          <w:p>
            <w:pPr>
              <w:spacing w:after="0"/>
              <w:rPr>
                <w:sz w:val="21"/>
                <w:szCs w:val="21"/>
                <w:color w:val="auto"/>
              </w:rPr>
            </w:pPr>
          </w:p>
        </w:tc>
        <w:tc>
          <w:tcPr>
            <w:tcW w:w="2180" w:type="dxa"/>
            <w:vAlign w:val="bottom"/>
            <w:gridSpan w:val="2"/>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4"/>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2. Management’s Discussion and Analysis of Financial Condition and Results of Operations</w:t>
              </w:r>
            </w:hyperlink>
          </w:p>
        </w:tc>
        <w:tc>
          <w:tcPr>
            <w:tcW w:w="3180" w:type="dxa"/>
            <w:vAlign w:val="bottom"/>
            <w:gridSpan w:val="4"/>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gridSpan w:val="1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Item 3. Quantitative and Qualitative Disclosures About Market Risk</w:t>
              </w:r>
            </w:hyperlink>
          </w:p>
        </w:tc>
        <w:tc>
          <w:tcPr>
            <w:tcW w:w="2120" w:type="dxa"/>
            <w:vAlign w:val="bottom"/>
            <w:gridSpan w:val="2"/>
          </w:tcPr>
          <w:p>
            <w:pPr>
              <w:spacing w:after="0"/>
              <w:rPr>
                <w:sz w:val="21"/>
                <w:szCs w:val="21"/>
                <w:color w:val="auto"/>
              </w:rPr>
            </w:pPr>
          </w:p>
        </w:tc>
        <w:tc>
          <w:tcPr>
            <w:tcW w:w="3180" w:type="dxa"/>
            <w:vAlign w:val="bottom"/>
            <w:gridSpan w:val="4"/>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5300" w:type="dxa"/>
            <w:vAlign w:val="bottom"/>
            <w:tcBorders>
              <w:left w:val="single" w:sz="8" w:color="0000EE"/>
            </w:tcBorders>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 Controls and Procedures</w:t>
              </w:r>
            </w:hyperlink>
          </w:p>
        </w:tc>
        <w:tc>
          <w:tcPr>
            <w:tcW w:w="5300" w:type="dxa"/>
            <w:vAlign w:val="bottom"/>
            <w:gridSpan w:val="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4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 — OTHER INFORMATION</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 Legal Proceedings</w:t>
              </w:r>
            </w:hyperlink>
          </w:p>
        </w:tc>
        <w:tc>
          <w:tcPr>
            <w:tcW w:w="7700" w:type="dxa"/>
            <w:vAlign w:val="bottom"/>
            <w:gridSpan w:val="10"/>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1A. Risk Factors</w:t>
              </w:r>
            </w:hyperlink>
          </w:p>
        </w:tc>
        <w:tc>
          <w:tcPr>
            <w:tcW w:w="8320" w:type="dxa"/>
            <w:vAlign w:val="bottom"/>
            <w:gridSpan w:val="12"/>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 Unregistered Sales of Equity Securities and Use of Proceeds</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4"/>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Item 6. Exhibits</w:t>
              </w:r>
            </w:hyperlink>
          </w:p>
        </w:tc>
        <w:tc>
          <w:tcPr>
            <w:tcW w:w="3740" w:type="dxa"/>
            <w:vAlign w:val="bottom"/>
            <w:gridSpan w:val="8"/>
          </w:tcPr>
          <w:p>
            <w:pPr>
              <w:spacing w:after="0"/>
              <w:rPr>
                <w:sz w:val="21"/>
                <w:szCs w:val="21"/>
                <w:color w:val="auto"/>
              </w:rPr>
            </w:pPr>
          </w:p>
        </w:tc>
        <w:tc>
          <w:tcPr>
            <w:tcW w:w="5300" w:type="dxa"/>
            <w:vAlign w:val="bottom"/>
            <w:gridSpan w:val="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00" w:type="dxa"/>
            <w:vAlign w:val="bottom"/>
            <w:gridSpan w:val="3"/>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SIGNATURES</w:t>
              </w:r>
            </w:hyperlink>
          </w:p>
        </w:tc>
        <w:tc>
          <w:tcPr>
            <w:tcW w:w="9340" w:type="dxa"/>
            <w:vAlign w:val="bottom"/>
            <w:gridSpan w:val="1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Statements—Unaudited</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jc w:val="right"/>
        <w:ind w:right="2880"/>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148" w:lineRule="exact"/>
        <w:rPr>
          <w:sz w:val="20"/>
          <w:szCs w:val="20"/>
          <w:color w:val="auto"/>
        </w:rPr>
      </w:pPr>
    </w:p>
    <w:p>
      <w:pPr>
        <w:jc w:val="right"/>
        <w:ind w:right="220"/>
        <w:spacing w:after="0"/>
        <w:tabs>
          <w:tab w:leader="none" w:pos="8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jc w:val="both"/>
        <w:ind w:left="9300"/>
        <w:spacing w:after="0"/>
        <w:tabs>
          <w:tab w:leader="none" w:pos="106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ASSETS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000" w:type="dxa"/>
            <w:vAlign w:val="bottom"/>
          </w:tcPr>
          <w:p>
            <w:pPr>
              <w:spacing w:after="0"/>
              <w:rPr>
                <w:sz w:val="20"/>
                <w:szCs w:val="20"/>
                <w:color w:val="auto"/>
              </w:rPr>
            </w:pPr>
            <w:r>
              <w:rPr>
                <w:rFonts w:ascii="Arial" w:cs="Arial" w:eastAsia="Arial" w:hAnsi="Arial"/>
                <w:sz w:val="14"/>
                <w:szCs w:val="14"/>
                <w:color w:val="auto"/>
              </w:rPr>
              <w:t>Current assets</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Cash</w:t>
            </w:r>
          </w:p>
        </w:tc>
        <w:tc>
          <w:tcPr>
            <w:tcW w:w="3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3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40"/>
              <w:spacing w:after="0"/>
              <w:rPr>
                <w:sz w:val="20"/>
                <w:szCs w:val="20"/>
                <w:color w:val="auto"/>
              </w:rPr>
            </w:pPr>
            <w:r>
              <w:rPr>
                <w:rFonts w:ascii="Arial" w:cs="Arial" w:eastAsia="Arial" w:hAnsi="Arial"/>
                <w:sz w:val="14"/>
                <w:szCs w:val="14"/>
                <w:color w:val="auto"/>
              </w:rPr>
              <w:t>Restricted cash</w:t>
            </w: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Oil and natural gas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Joint interest billings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Derivative instruments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Lease and well equipment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Prepaid expenses and other assets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 at cost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Oil and natural gas properties, full-cost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Evaluated</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Unproved and unevaluated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Midstream and other property and equipment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 accumulated depletion,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property and equipment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880" w:type="dxa"/>
            <w:vAlign w:val="bottom"/>
          </w:tcPr>
          <w:p>
            <w:pPr>
              <w:ind w:left="1100"/>
              <w:spacing w:after="0"/>
              <w:rPr>
                <w:sz w:val="20"/>
                <w:szCs w:val="20"/>
                <w:color w:val="auto"/>
              </w:rPr>
            </w:pPr>
            <w:r>
              <w:rPr>
                <w:rFonts w:ascii="Arial" w:cs="Arial" w:eastAsia="Arial" w:hAnsi="Arial"/>
                <w:sz w:val="14"/>
                <w:szCs w:val="14"/>
                <w:color w:val="auto"/>
              </w:rPr>
              <w:t>Total assets</w:t>
            </w:r>
          </w:p>
        </w:tc>
        <w:tc>
          <w:tcPr>
            <w:tcW w:w="2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2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4"/>
                <w:szCs w:val="14"/>
                <w:color w:val="auto"/>
              </w:rPr>
              <w:t>LIABILITIES AND SHAREHOLDERS’ EQUITY</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880" w:type="dxa"/>
            <w:vAlign w:val="bottom"/>
          </w:tcPr>
          <w:p>
            <w:pPr>
              <w:spacing w:after="0"/>
              <w:rPr>
                <w:sz w:val="20"/>
                <w:szCs w:val="20"/>
                <w:color w:val="auto"/>
              </w:rPr>
            </w:pPr>
            <w:r>
              <w:rPr>
                <w:rFonts w:ascii="Arial" w:cs="Arial" w:eastAsia="Arial" w:hAnsi="Arial"/>
                <w:sz w:val="14"/>
                <w:szCs w:val="14"/>
                <w:color w:val="auto"/>
              </w:rPr>
              <w:t>Current liabilities</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8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2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88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340"/>
              <w:spacing w:after="0"/>
              <w:rPr>
                <w:sz w:val="20"/>
                <w:szCs w:val="20"/>
                <w:color w:val="auto"/>
              </w:rPr>
            </w:pPr>
            <w:r>
              <w:rPr>
                <w:rFonts w:ascii="Arial" w:cs="Arial" w:eastAsia="Arial" w:hAnsi="Arial"/>
                <w:sz w:val="14"/>
                <w:szCs w:val="14"/>
                <w:color w:val="auto"/>
              </w:rPr>
              <w:t>Accrued liabilities</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Royalties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Amounts due to affiliates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Advances from joint interest owners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Amounts due to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current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liabilities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Senior unsecured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Asset retirement obligations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long-term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contingencies (Note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9" w:lineRule="exact"/>
        <w:rPr>
          <w:sz w:val="20"/>
          <w:szCs w:val="20"/>
          <w:color w:val="auto"/>
        </w:rPr>
      </w:pPr>
    </w:p>
    <w:p>
      <w:pPr>
        <w:ind w:left="540" w:right="180" w:hanging="161"/>
        <w:spacing w:after="0" w:line="253" w:lineRule="auto"/>
        <w:rPr>
          <w:sz w:val="20"/>
          <w:szCs w:val="20"/>
          <w:color w:val="auto"/>
        </w:rPr>
      </w:pPr>
      <w:r>
        <w:rPr>
          <w:rFonts w:ascii="Arial" w:cs="Arial" w:eastAsia="Arial" w:hAnsi="Arial"/>
          <w:sz w:val="14"/>
          <w:szCs w:val="14"/>
          <w:color w:val="auto"/>
        </w:rPr>
        <w:t>Common stock - $0.01 par value, 160,000,000 shares authorized; 109,346,765 and 108,513,597 shares issued; and 109,261,912 and 108,510,160 shares outstanding, respectively</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6220" w:type="dxa"/>
            <w:vAlign w:val="bottom"/>
          </w:tcPr>
          <w:p>
            <w:pPr>
              <w:spacing w:after="0"/>
              <w:rPr>
                <w:sz w:val="20"/>
                <w:szCs w:val="20"/>
                <w:color w:val="auto"/>
              </w:rPr>
            </w:pPr>
            <w:r>
              <w:rPr>
                <w:rFonts w:ascii="Arial" w:cs="Arial" w:eastAsia="Arial" w:hAnsi="Arial"/>
                <w:sz w:val="14"/>
                <w:szCs w:val="14"/>
                <w:color w:val="auto"/>
              </w:rPr>
              <w:t>Accumulated deficit</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Arial" w:cs="Arial" w:eastAsia="Arial" w:hAnsi="Arial"/>
                <w:sz w:val="14"/>
                <w:szCs w:val="14"/>
                <w:color w:val="auto"/>
              </w:rPr>
              <w:t>Treasury stock, at cost, 84,853 and 3,437 shares, respectively</w:t>
            </w: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760"/>
              <w:spacing w:after="0"/>
              <w:rPr>
                <w:sz w:val="20"/>
                <w:szCs w:val="20"/>
                <w:color w:val="auto"/>
              </w:rPr>
            </w:pPr>
            <w:r>
              <w:rPr>
                <w:rFonts w:ascii="Arial" w:cs="Arial" w:eastAsia="Arial" w:hAnsi="Arial"/>
                <w:sz w:val="14"/>
                <w:szCs w:val="14"/>
                <w:color w:val="auto"/>
              </w:rPr>
              <w:t>Total Matador Resources Company shareholders’ equity</w:t>
            </w: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Arial" w:cs="Arial" w:eastAsia="Arial" w:hAnsi="Arial"/>
                <w:sz w:val="14"/>
                <w:szCs w:val="14"/>
                <w:color w:val="auto"/>
              </w:rPr>
              <w:t>Non-controlling interest in subsidiaries</w:t>
            </w: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760"/>
              <w:spacing w:after="0"/>
              <w:rPr>
                <w:sz w:val="20"/>
                <w:szCs w:val="20"/>
                <w:color w:val="auto"/>
              </w:rPr>
            </w:pPr>
            <w:r>
              <w:rPr>
                <w:rFonts w:ascii="Arial" w:cs="Arial" w:eastAsia="Arial" w:hAnsi="Arial"/>
                <w:sz w:val="14"/>
                <w:szCs w:val="14"/>
                <w:color w:val="auto"/>
              </w:rPr>
              <w:t>Total shareholders’ equity</w:t>
            </w: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760"/>
              <w:spacing w:after="0"/>
              <w:rPr>
                <w:sz w:val="20"/>
                <w:szCs w:val="20"/>
                <w:color w:val="auto"/>
              </w:rPr>
            </w:pPr>
            <w:r>
              <w:rPr>
                <w:rFonts w:ascii="Arial" w:cs="Arial" w:eastAsia="Arial" w:hAnsi="Arial"/>
                <w:sz w:val="14"/>
                <w:szCs w:val="14"/>
                <w:color w:val="auto"/>
              </w:rPr>
              <w:t>Total liabilities and shareholders’ equity</w:t>
            </w:r>
          </w:p>
        </w:tc>
        <w:tc>
          <w:tcPr>
            <w:tcW w:w="2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622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-669290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27,030</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96,505</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25,753</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5,977</w:t>
            </w:r>
          </w:p>
        </w:tc>
      </w:tr>
      <w:tr>
        <w:trPr>
          <w:trHeight w:val="54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68,655</w:t>
            </w:r>
          </w:p>
        </w:tc>
        <w:tc>
          <w:tcPr>
            <w:tcW w:w="3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65,962</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62,294</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67,225</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7,002</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8,031</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480</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1,190</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8,803</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5,993</w:t>
            </w:r>
          </w:p>
        </w:tc>
      </w:tr>
      <w:tr>
        <w:trPr>
          <w:trHeight w:val="276"/>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6,961</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6,287</w:t>
            </w:r>
          </w:p>
        </w:tc>
      </w:tr>
      <w:tr>
        <w:trPr>
          <w:trHeight w:val="244"/>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206,978</w:t>
            </w: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257,170</w:t>
            </w:r>
          </w:p>
        </w:tc>
      </w:tr>
      <w:tr>
        <w:trPr>
          <w:trHeight w:val="810"/>
        </w:trPr>
        <w:tc>
          <w:tcPr>
            <w:tcW w:w="840" w:type="dxa"/>
            <w:vAlign w:val="bottom"/>
          </w:tcPr>
          <w:p>
            <w:pPr>
              <w:jc w:val="right"/>
              <w:ind w:right="148"/>
              <w:spacing w:after="0"/>
              <w:rPr>
                <w:sz w:val="20"/>
                <w:szCs w:val="20"/>
                <w:color w:val="auto"/>
              </w:rPr>
            </w:pPr>
            <w:r>
              <w:rPr>
                <w:rFonts w:ascii="Arial" w:cs="Arial" w:eastAsia="Arial" w:hAnsi="Arial"/>
                <w:sz w:val="14"/>
                <w:szCs w:val="14"/>
                <w:color w:val="auto"/>
                <w:w w:val="96"/>
              </w:rPr>
              <w:t>3,187,112</w:t>
            </w:r>
          </w:p>
        </w:tc>
        <w:tc>
          <w:tcPr>
            <w:tcW w:w="3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3,004,770</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644,460</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637,396</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327,338</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281,096</w:t>
            </w:r>
          </w:p>
        </w:tc>
      </w:tr>
      <w:tr>
        <w:trPr>
          <w:trHeight w:val="276"/>
        </w:trPr>
        <w:tc>
          <w:tcPr>
            <w:tcW w:w="840" w:type="dxa"/>
            <w:vAlign w:val="bottom"/>
          </w:tcPr>
          <w:p>
            <w:pPr>
              <w:jc w:val="right"/>
              <w:ind w:right="108"/>
              <w:spacing w:after="0"/>
              <w:rPr>
                <w:sz w:val="20"/>
                <w:szCs w:val="20"/>
                <w:color w:val="auto"/>
              </w:rPr>
            </w:pPr>
            <w:r>
              <w:rPr>
                <w:rFonts w:ascii="Arial" w:cs="Arial" w:eastAsia="Arial" w:hAnsi="Arial"/>
                <w:sz w:val="14"/>
                <w:szCs w:val="14"/>
                <w:color w:val="auto"/>
                <w:w w:val="89"/>
              </w:rPr>
              <w:t>(2,097,176)</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(2,041,806)</w:t>
            </w:r>
          </w:p>
        </w:tc>
      </w:tr>
      <w:tr>
        <w:trPr>
          <w:trHeight w:val="244"/>
        </w:trPr>
        <w:tc>
          <w:tcPr>
            <w:tcW w:w="840" w:type="dxa"/>
            <w:vAlign w:val="bottom"/>
          </w:tcPr>
          <w:p>
            <w:pPr>
              <w:jc w:val="right"/>
              <w:ind w:right="148"/>
              <w:spacing w:after="0"/>
              <w:rPr>
                <w:sz w:val="20"/>
                <w:szCs w:val="20"/>
                <w:color w:val="auto"/>
              </w:rPr>
            </w:pPr>
            <w:r>
              <w:rPr>
                <w:rFonts w:ascii="Arial" w:cs="Arial" w:eastAsia="Arial" w:hAnsi="Arial"/>
                <w:sz w:val="14"/>
                <w:szCs w:val="14"/>
                <w:color w:val="auto"/>
                <w:w w:val="96"/>
              </w:rPr>
              <w:t>2,061,734</w:t>
            </w: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1,881,456</w:t>
            </w:r>
          </w:p>
        </w:tc>
      </w:tr>
      <w:tr>
        <w:trPr>
          <w:trHeight w:val="276"/>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6,993</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7,064</w:t>
            </w:r>
          </w:p>
        </w:tc>
      </w:tr>
      <w:tr>
        <w:trPr>
          <w:trHeight w:val="237"/>
        </w:trPr>
        <w:tc>
          <w:tcPr>
            <w:tcW w:w="840" w:type="dxa"/>
            <w:vAlign w:val="bottom"/>
          </w:tcPr>
          <w:p>
            <w:pPr>
              <w:jc w:val="right"/>
              <w:ind w:right="148"/>
              <w:spacing w:after="0"/>
              <w:rPr>
                <w:sz w:val="20"/>
                <w:szCs w:val="20"/>
                <w:color w:val="auto"/>
              </w:rPr>
            </w:pPr>
            <w:r>
              <w:rPr>
                <w:rFonts w:ascii="Arial" w:cs="Arial" w:eastAsia="Arial" w:hAnsi="Arial"/>
                <w:sz w:val="14"/>
                <w:szCs w:val="14"/>
                <w:color w:val="auto"/>
                <w:w w:val="96"/>
              </w:rPr>
              <w:t>2,275,705</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2,145,690</w:t>
            </w:r>
          </w:p>
        </w:tc>
      </w:tr>
      <w:tr>
        <w:trPr>
          <w:trHeight w:val="20"/>
        </w:trPr>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85"/>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31,104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11,757</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191,233</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174,348</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62,985</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61,358</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3,248</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10,302</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4,891</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16,429</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8,852</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2,789</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3,373</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-1543685</wp:posOffset>
            </wp:positionV>
            <wp:extent cx="8058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-3267710</wp:posOffset>
            </wp:positionV>
            <wp:extent cx="805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68" w:lineRule="exact"/>
        <w:rPr>
          <w:sz w:val="20"/>
          <w:szCs w:val="20"/>
          <w:color w:val="auto"/>
        </w:rPr>
      </w:pPr>
    </w:p>
    <w:p>
      <w:pPr>
        <w:ind w:left="1760" w:hanging="1354"/>
        <w:spacing w:after="0"/>
        <w:tabs>
          <w:tab w:leader="none" w:pos="1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750</w:t>
      </w:r>
    </w:p>
    <w:p>
      <w:pPr>
        <w:spacing w:after="0" w:line="109" w:lineRule="exact"/>
        <w:rPr>
          <w:rFonts w:ascii="Arial" w:cs="Arial" w:eastAsia="Arial" w:hAnsi="Arial"/>
          <w:sz w:val="14"/>
          <w:szCs w:val="14"/>
          <w:color w:val="auto"/>
        </w:rPr>
      </w:pPr>
    </w:p>
    <w:p>
      <w:pPr>
        <w:ind w:left="160"/>
        <w:spacing w:after="0"/>
        <w:rPr>
          <w:rFonts w:ascii="Arial" w:cs="Arial" w:eastAsia="Arial" w:hAnsi="Arial"/>
          <w:sz w:val="14"/>
          <w:szCs w:val="14"/>
          <w:color w:val="auto"/>
        </w:rPr>
      </w:pPr>
      <w:r>
        <w:rPr>
          <w:rFonts w:ascii="Arial" w:cs="Arial" w:eastAsia="Arial" w:hAnsi="Arial"/>
          <w:sz w:val="14"/>
          <w:szCs w:val="14"/>
          <w:color w:val="auto"/>
        </w:rPr>
        <w:t>306,492</w:t>
      </w:r>
      <w:r>
        <w:rPr>
          <w:rFonts w:ascii="Arial" w:cs="Arial" w:eastAsia="Arial" w:hAnsi="Arial"/>
          <w:sz w:val="13"/>
          <w:szCs w:val="13"/>
          <w:color w:val="auto"/>
        </w:rPr>
        <w:t>282,606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-149860</wp:posOffset>
            </wp:positionV>
            <wp:extent cx="1663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59"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4"/>
          <w:szCs w:val="14"/>
          <w:color w:val="auto"/>
        </w:rPr>
        <w:t>574,118</w:t>
      </w:r>
      <w:r>
        <w:rPr>
          <w:sz w:val="20"/>
          <w:szCs w:val="20"/>
          <w:color w:val="auto"/>
        </w:rPr>
        <w:tab/>
      </w:r>
      <w:r>
        <w:rPr>
          <w:rFonts w:ascii="Arial" w:cs="Arial" w:eastAsia="Arial" w:hAnsi="Arial"/>
          <w:sz w:val="14"/>
          <w:szCs w:val="14"/>
          <w:color w:val="auto"/>
        </w:rPr>
        <w:t>574,073</w:t>
      </w:r>
    </w:p>
    <w:p>
      <w:pPr>
        <w:spacing w:after="0" w:line="109" w:lineRule="exact"/>
        <w:rPr>
          <w:sz w:val="20"/>
          <w:szCs w:val="20"/>
          <w:color w:val="auto"/>
        </w:rPr>
      </w:pPr>
    </w:p>
    <w:p>
      <w:pPr>
        <w:ind w:left="220"/>
        <w:spacing w:after="0"/>
        <w:tabs>
          <w:tab w:leader="none" w:pos="1560" w:val="left"/>
        </w:tabs>
        <w:rPr>
          <w:sz w:val="20"/>
          <w:szCs w:val="20"/>
          <w:color w:val="auto"/>
        </w:rPr>
      </w:pPr>
      <w:r>
        <w:rPr>
          <w:rFonts w:ascii="Arial" w:cs="Arial" w:eastAsia="Arial" w:hAnsi="Arial"/>
          <w:sz w:val="14"/>
          <w:szCs w:val="14"/>
          <w:color w:val="auto"/>
        </w:rPr>
        <w:t>25,682</w:t>
      </w:r>
      <w:r>
        <w:rPr>
          <w:sz w:val="20"/>
          <w:szCs w:val="20"/>
          <w:color w:val="auto"/>
        </w:rPr>
        <w:tab/>
      </w:r>
      <w:r>
        <w:rPr>
          <w:rFonts w:ascii="Arial" w:cs="Arial" w:eastAsia="Arial" w:hAnsi="Arial"/>
          <w:sz w:val="14"/>
          <w:szCs w:val="14"/>
          <w:color w:val="auto"/>
        </w:rPr>
        <w:t>25,080</w:t>
      </w:r>
    </w:p>
    <w:p>
      <w:pPr>
        <w:spacing w:after="0" w:line="109" w:lineRule="exact"/>
        <w:rPr>
          <w:sz w:val="20"/>
          <w:szCs w:val="20"/>
          <w:color w:val="auto"/>
        </w:rPr>
      </w:pPr>
    </w:p>
    <w:p>
      <w:pPr>
        <w:ind w:left="400"/>
        <w:spacing w:after="0"/>
        <w:tabs>
          <w:tab w:leader="none" w:pos="1800" w:val="left"/>
        </w:tabs>
        <w:rPr>
          <w:sz w:val="20"/>
          <w:szCs w:val="20"/>
          <w:color w:val="auto"/>
        </w:rPr>
      </w:pPr>
      <w:r>
        <w:rPr>
          <w:rFonts w:ascii="Arial" w:cs="Arial" w:eastAsia="Arial" w:hAnsi="Arial"/>
          <w:sz w:val="14"/>
          <w:szCs w:val="14"/>
          <w:color w:val="auto"/>
        </w:rPr>
        <w:t>412</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00"/>
        <w:spacing w:after="0"/>
        <w:tabs>
          <w:tab w:leader="none" w:pos="1620" w:val="left"/>
        </w:tabs>
        <w:rPr>
          <w:sz w:val="20"/>
          <w:szCs w:val="20"/>
          <w:color w:val="auto"/>
        </w:rPr>
      </w:pPr>
      <w:r>
        <w:rPr>
          <w:rFonts w:ascii="Arial" w:cs="Arial" w:eastAsia="Arial" w:hAnsi="Arial"/>
          <w:sz w:val="14"/>
          <w:szCs w:val="14"/>
          <w:color w:val="auto"/>
        </w:rPr>
        <w:t>6,235</w:t>
      </w:r>
      <w:r>
        <w:rPr>
          <w:sz w:val="20"/>
          <w:szCs w:val="20"/>
          <w:color w:val="auto"/>
        </w:rPr>
        <w:tab/>
      </w:r>
      <w:r>
        <w:rPr>
          <w:rFonts w:ascii="Arial" w:cs="Arial" w:eastAsia="Arial" w:hAnsi="Arial"/>
          <w:sz w:val="14"/>
          <w:szCs w:val="14"/>
          <w:color w:val="auto"/>
        </w:rPr>
        <w:t>6,385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20955</wp:posOffset>
            </wp:positionV>
            <wp:extent cx="1663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9"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4"/>
          <w:szCs w:val="14"/>
          <w:color w:val="auto"/>
        </w:rPr>
        <w:t>606,447</w:t>
      </w:r>
      <w:r>
        <w:rPr>
          <w:sz w:val="20"/>
          <w:szCs w:val="20"/>
          <w:color w:val="auto"/>
        </w:rPr>
        <w:tab/>
      </w:r>
      <w:r>
        <w:rPr>
          <w:rFonts w:ascii="Arial" w:cs="Arial" w:eastAsia="Arial" w:hAnsi="Arial"/>
          <w:sz w:val="14"/>
          <w:szCs w:val="14"/>
          <w:color w:val="auto"/>
        </w:rPr>
        <w:t>605,538</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spacing w:after="0"/>
        <w:tabs>
          <w:tab w:leader="none" w:pos="1620" w:val="left"/>
        </w:tabs>
        <w:rPr>
          <w:sz w:val="20"/>
          <w:szCs w:val="20"/>
          <w:color w:val="auto"/>
        </w:rPr>
      </w:pPr>
      <w:r>
        <w:rPr>
          <w:rFonts w:ascii="Arial" w:cs="Arial" w:eastAsia="Arial" w:hAnsi="Arial"/>
          <w:sz w:val="14"/>
          <w:szCs w:val="14"/>
          <w:color w:val="auto"/>
        </w:rPr>
        <w:t>1,094</w:t>
      </w:r>
      <w:r>
        <w:rPr>
          <w:sz w:val="20"/>
          <w:szCs w:val="20"/>
          <w:color w:val="auto"/>
        </w:rPr>
        <w:tab/>
      </w:r>
      <w:r>
        <w:rPr>
          <w:rFonts w:ascii="Arial" w:cs="Arial" w:eastAsia="Arial" w:hAnsi="Arial"/>
          <w:sz w:val="14"/>
          <w:szCs w:val="14"/>
          <w:color w:val="auto"/>
        </w:rPr>
        <w:t>1,085</w:t>
      </w:r>
    </w:p>
    <w:p>
      <w:pPr>
        <w:spacing w:after="0" w:line="109"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4"/>
          <w:szCs w:val="14"/>
          <w:color w:val="auto"/>
        </w:rPr>
        <w:t>1,684,188</w:t>
      </w:r>
      <w:r>
        <w:rPr>
          <w:sz w:val="20"/>
          <w:szCs w:val="20"/>
          <w:color w:val="auto"/>
        </w:rPr>
        <w:tab/>
      </w:r>
      <w:r>
        <w:rPr>
          <w:rFonts w:ascii="Arial" w:cs="Arial" w:eastAsia="Arial" w:hAnsi="Arial"/>
          <w:sz w:val="14"/>
          <w:szCs w:val="14"/>
          <w:color w:val="auto"/>
        </w:rPr>
        <w:t>1,666,024</w:t>
      </w:r>
    </w:p>
    <w:p>
      <w:pPr>
        <w:spacing w:after="0" w:line="109"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4"/>
          <w:szCs w:val="14"/>
          <w:color w:val="auto"/>
        </w:rPr>
        <w:t>(450,590)</w:t>
      </w:r>
      <w:r>
        <w:rPr>
          <w:sz w:val="20"/>
          <w:szCs w:val="20"/>
          <w:color w:val="auto"/>
        </w:rPr>
        <w:tab/>
      </w:r>
      <w:r>
        <w:rPr>
          <w:rFonts w:ascii="Arial" w:cs="Arial" w:eastAsia="Arial" w:hAnsi="Arial"/>
          <w:sz w:val="14"/>
          <w:szCs w:val="14"/>
          <w:color w:val="auto"/>
        </w:rPr>
        <w:t>(510,484)</w:t>
      </w:r>
    </w:p>
    <w:p>
      <w:pPr>
        <w:spacing w:after="0" w:line="109" w:lineRule="exact"/>
        <w:rPr>
          <w:sz w:val="20"/>
          <w:szCs w:val="20"/>
          <w:color w:val="auto"/>
        </w:rPr>
      </w:pPr>
    </w:p>
    <w:p>
      <w:pPr>
        <w:ind w:left="240"/>
        <w:spacing w:after="0"/>
        <w:tabs>
          <w:tab w:leader="none" w:pos="1760" w:val="left"/>
        </w:tabs>
        <w:rPr>
          <w:sz w:val="20"/>
          <w:szCs w:val="20"/>
          <w:color w:val="auto"/>
        </w:rPr>
      </w:pPr>
      <w:r>
        <w:rPr>
          <w:rFonts w:ascii="Arial" w:cs="Arial" w:eastAsia="Arial" w:hAnsi="Arial"/>
          <w:sz w:val="14"/>
          <w:szCs w:val="14"/>
          <w:color w:val="auto"/>
        </w:rPr>
        <w:t>(2,446)</w:t>
      </w:r>
      <w:r>
        <w:rPr>
          <w:sz w:val="20"/>
          <w:szCs w:val="20"/>
          <w:color w:val="auto"/>
        </w:rPr>
        <w:tab/>
      </w:r>
      <w:r>
        <w:rPr>
          <w:rFonts w:ascii="Arial" w:cs="Arial" w:eastAsia="Arial" w:hAnsi="Arial"/>
          <w:sz w:val="14"/>
          <w:szCs w:val="14"/>
          <w:color w:val="auto"/>
        </w:rPr>
        <w:t>(69)</w:t>
      </w:r>
    </w:p>
    <w:p>
      <w:pPr>
        <w:spacing w:after="0" w:line="109"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4"/>
          <w:szCs w:val="14"/>
          <w:color w:val="auto"/>
        </w:rPr>
        <w:t>1,232,246</w:t>
      </w:r>
      <w:r>
        <w:rPr>
          <w:sz w:val="20"/>
          <w:szCs w:val="20"/>
          <w:color w:val="auto"/>
        </w:rPr>
        <w:tab/>
      </w:r>
      <w:r>
        <w:rPr>
          <w:rFonts w:ascii="Arial" w:cs="Arial" w:eastAsia="Arial" w:hAnsi="Arial"/>
          <w:sz w:val="14"/>
          <w:szCs w:val="14"/>
          <w:color w:val="auto"/>
        </w:rPr>
        <w:t>1,156,556</w:t>
      </w:r>
    </w:p>
    <w:p>
      <w:pPr>
        <w:spacing w:after="0" w:line="109"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4"/>
          <w:szCs w:val="14"/>
          <w:color w:val="auto"/>
        </w:rPr>
        <w:t>130,520</w:t>
      </w:r>
      <w:r>
        <w:rPr>
          <w:sz w:val="20"/>
          <w:szCs w:val="20"/>
          <w:color w:val="auto"/>
        </w:rPr>
        <w:tab/>
      </w:r>
      <w:r>
        <w:rPr>
          <w:rFonts w:ascii="Arial" w:cs="Arial" w:eastAsia="Arial" w:hAnsi="Arial"/>
          <w:sz w:val="14"/>
          <w:szCs w:val="14"/>
          <w:color w:val="auto"/>
        </w:rPr>
        <w:t>100,990</w:t>
      </w:r>
    </w:p>
    <w:p>
      <w:pPr>
        <w:spacing w:after="0" w:line="109"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4"/>
          <w:szCs w:val="14"/>
          <w:color w:val="auto"/>
        </w:rPr>
        <w:t>1,362,766</w:t>
      </w:r>
      <w:r>
        <w:rPr>
          <w:sz w:val="20"/>
          <w:szCs w:val="20"/>
          <w:color w:val="auto"/>
        </w:rPr>
        <w:tab/>
      </w:r>
      <w:r>
        <w:rPr>
          <w:rFonts w:ascii="Arial" w:cs="Arial" w:eastAsia="Arial" w:hAnsi="Arial"/>
          <w:sz w:val="14"/>
          <w:szCs w:val="14"/>
          <w:color w:val="auto"/>
        </w:rPr>
        <w:t>1,257,546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20955</wp:posOffset>
            </wp:positionV>
            <wp:extent cx="1663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6" w:lineRule="exact"/>
        <w:rPr>
          <w:sz w:val="20"/>
          <w:szCs w:val="20"/>
          <w:color w:val="auto"/>
        </w:rPr>
      </w:pPr>
    </w:p>
    <w:p>
      <w:pPr>
        <w:ind w:left="40"/>
        <w:spacing w:after="0"/>
        <w:tabs>
          <w:tab w:leader="none" w:pos="840" w:val="left"/>
          <w:tab w:leader="none" w:pos="1380" w:val="left"/>
        </w:tabs>
        <w:rPr>
          <w:sz w:val="20"/>
          <w:szCs w:val="20"/>
          <w:color w:val="auto"/>
        </w:rPr>
      </w:pPr>
      <w:r>
        <w:rPr>
          <w:rFonts w:ascii="Arial" w:cs="Arial" w:eastAsia="Arial" w:hAnsi="Arial"/>
          <w:sz w:val="14"/>
          <w:szCs w:val="14"/>
          <w:color w:val="auto"/>
        </w:rPr>
        <w:t>2,275,705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2,145,690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20955</wp:posOffset>
            </wp:positionV>
            <wp:extent cx="166370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900" w:space="440"/>
            <w:col w:w="2080"/>
          </w:cols>
          <w:pgMar w:left="240" w:top="125" w:right="239" w:bottom="0" w:gutter="0" w:footer="0" w:header="0"/>
          <w:type w:val="continuous"/>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420"/>
          </w:cols>
          <w:pgMar w:left="240" w:top="125" w:right="239" w:bottom="0" w:gutter="0" w:footer="0" w:header="0"/>
          <w:type w:val="continuous"/>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Oil and natural gas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181,954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114,847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midstream services 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Realized loss on derivatives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20,631</w:t>
            </w:r>
          </w:p>
        </w:tc>
        <w:tc>
          <w:tcPr>
            <w:tcW w:w="0" w:type="dxa"/>
            <w:vAlign w:val="bottom"/>
          </w:tcPr>
          <w:p>
            <w:pPr>
              <w:spacing w:after="0"/>
              <w:rPr>
                <w:sz w:val="1"/>
                <w:szCs w:val="1"/>
                <w:color w:val="auto"/>
              </w:rPr>
            </w:pPr>
          </w:p>
        </w:tc>
      </w:tr>
      <w:tr>
        <w:trPr>
          <w:trHeight w:val="237"/>
        </w:trPr>
        <w:tc>
          <w:tcPr>
            <w:tcW w:w="92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191,180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134,814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Production taxes, transportation and processing</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17,791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11,807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15,758</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Plant and other midstream services operating</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Depletion, 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33,992</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Accretion of asset retirement obligations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16,338</w:t>
            </w:r>
          </w:p>
        </w:tc>
        <w:tc>
          <w:tcPr>
            <w:tcW w:w="0" w:type="dxa"/>
            <w:vAlign w:val="bottom"/>
          </w:tcPr>
          <w:p>
            <w:pPr>
              <w:spacing w:after="0"/>
              <w:rPr>
                <w:sz w:val="1"/>
                <w:szCs w:val="1"/>
                <w:color w:val="auto"/>
              </w:rPr>
            </w:pPr>
          </w:p>
        </w:tc>
      </w:tr>
      <w:tr>
        <w:trPr>
          <w:trHeight w:val="237"/>
        </w:trPr>
        <w:tc>
          <w:tcPr>
            <w:tcW w:w="926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117,818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80,536</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54,278</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on asset sales and inventory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926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45,900</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43,984</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108,913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99,799</w:t>
            </w:r>
          </w:p>
        </w:tc>
        <w:tc>
          <w:tcPr>
            <w:tcW w:w="0" w:type="dxa"/>
            <w:vAlign w:val="bottom"/>
          </w:tcPr>
          <w:p>
            <w:pPr>
              <w:spacing w:after="0"/>
              <w:rPr>
                <w:sz w:val="1"/>
                <w:szCs w:val="1"/>
                <w:color w:val="auto"/>
              </w:rPr>
            </w:pPr>
          </w:p>
        </w:tc>
      </w:tr>
      <w:tr>
        <w:trPr>
          <w:trHeight w:val="67"/>
        </w:trPr>
        <w:tc>
          <w:tcPr>
            <w:tcW w:w="9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926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100,298</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38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ind w:left="200"/>
              <w:spacing w:after="0" w:line="158" w:lineRule="exact"/>
              <w:rPr>
                <w:sz w:val="20"/>
                <w:szCs w:val="20"/>
                <w:color w:val="auto"/>
              </w:rPr>
            </w:pPr>
            <w:r>
              <w:rPr>
                <w:rFonts w:ascii="Arial" w:cs="Arial" w:eastAsia="Arial" w:hAnsi="Arial"/>
                <w:sz w:val="14"/>
                <w:szCs w:val="14"/>
                <w:b w:val="1"/>
                <w:bCs w:val="1"/>
                <w:color w:val="auto"/>
              </w:rPr>
              <w:t>Treasury Stock</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3"/>
                <w:szCs w:val="13"/>
                <w:color w:val="auto"/>
              </w:rPr>
            </w:pPr>
          </w:p>
        </w:tc>
        <w:tc>
          <w:tcPr>
            <w:tcW w:w="7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5"/>
        </w:trPr>
        <w:tc>
          <w:tcPr>
            <w:tcW w:w="3700" w:type="dxa"/>
            <w:vAlign w:val="bottom"/>
          </w:tcPr>
          <w:p>
            <w:pPr>
              <w:spacing w:after="0"/>
              <w:rPr>
                <w:sz w:val="5"/>
                <w:szCs w:val="5"/>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3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January 1, 2018</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108,514</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$ 1,085</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$1,666,024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(510,484)</w:t>
            </w: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1,156,556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100,990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1,257,546</w:t>
            </w:r>
          </w:p>
        </w:tc>
        <w:tc>
          <w:tcPr>
            <w:tcW w:w="0" w:type="dxa"/>
            <w:vAlign w:val="bottom"/>
          </w:tcPr>
          <w:p>
            <w:pPr>
              <w:spacing w:after="0"/>
              <w:rPr>
                <w:sz w:val="1"/>
                <w:szCs w:val="1"/>
                <w:color w:val="auto"/>
              </w:rPr>
            </w:pPr>
          </w:p>
        </w:tc>
      </w:tr>
      <w:tr>
        <w:trPr>
          <w:trHeight w:val="80"/>
        </w:trPr>
        <w:tc>
          <w:tcPr>
            <w:tcW w:w="37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pursuant to employee stock</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compensation plan</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Issuance of common stock pursuant to directors’ and advisors’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w w:val="97"/>
              </w:rPr>
              <w:t>Stock-based compensation expense related to equity-based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awards including amounts capitalized</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5,390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5,390</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Stock options exercised, net of options forfeited in net share</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settlements</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w:t>
            </w:r>
          </w:p>
        </w:tc>
        <w:tc>
          <w:tcPr>
            <w:tcW w:w="0" w:type="dxa"/>
            <w:vAlign w:val="bottom"/>
          </w:tcPr>
          <w:p>
            <w:pPr>
              <w:spacing w:after="0"/>
              <w:rPr>
                <w:sz w:val="1"/>
                <w:szCs w:val="1"/>
                <w:color w:val="auto"/>
              </w:rPr>
            </w:pPr>
          </w:p>
        </w:tc>
      </w:tr>
      <w:tr>
        <w:trPr>
          <w:trHeight w:val="191"/>
        </w:trPr>
        <w:tc>
          <w:tcPr>
            <w:tcW w:w="3700" w:type="dxa"/>
            <w:vAlign w:val="bottom"/>
          </w:tcPr>
          <w:p>
            <w:pPr>
              <w:ind w:left="40"/>
              <w:spacing w:after="0"/>
              <w:rPr>
                <w:sz w:val="20"/>
                <w:szCs w:val="20"/>
                <w:color w:val="auto"/>
              </w:rPr>
            </w:pPr>
            <w:r>
              <w:rPr>
                <w:rFonts w:ascii="Arial" w:cs="Arial" w:eastAsia="Arial" w:hAnsi="Arial"/>
                <w:sz w:val="14"/>
                <w:szCs w:val="14"/>
                <w:color w:val="auto"/>
              </w:rPr>
              <w:t>Restricted stock forfeited</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9"/>
              </w:rPr>
              <w:t>(2,377)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(2,377)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(2,377)</w:t>
            </w:r>
          </w:p>
        </w:tc>
        <w:tc>
          <w:tcPr>
            <w:tcW w:w="0" w:type="dxa"/>
            <w:vAlign w:val="bottom"/>
          </w:tcPr>
          <w:p>
            <w:pPr>
              <w:spacing w:after="0"/>
              <w:rPr>
                <w:sz w:val="1"/>
                <w:szCs w:val="1"/>
                <w:color w:val="auto"/>
              </w:rPr>
            </w:pPr>
          </w:p>
        </w:tc>
      </w:tr>
      <w:tr>
        <w:trPr>
          <w:trHeight w:val="74"/>
        </w:trPr>
        <w:tc>
          <w:tcPr>
            <w:tcW w:w="37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Contributions related to formation of Joint Venture (see Note</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14,700</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rPr>
              <w:t>Contributions from non-controlling interest owners of less-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than-wholly-owned subsidiaries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29,400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29,400</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Distributions to non-controlling interest owners of less-than-</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wholly-owned subsidiaries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w:t>
            </w:r>
          </w:p>
        </w:tc>
        <w:tc>
          <w:tcPr>
            <w:tcW w:w="0" w:type="dxa"/>
            <w:vAlign w:val="bottom"/>
          </w:tcPr>
          <w:p>
            <w:pPr>
              <w:spacing w:after="0"/>
              <w:rPr>
                <w:sz w:val="1"/>
                <w:szCs w:val="1"/>
                <w:color w:val="auto"/>
              </w:rPr>
            </w:pPr>
          </w:p>
        </w:tc>
      </w:tr>
      <w:tr>
        <w:trPr>
          <w:trHeight w:val="191"/>
        </w:trPr>
        <w:tc>
          <w:tcPr>
            <w:tcW w:w="3700" w:type="dxa"/>
            <w:vAlign w:val="bottom"/>
          </w:tcPr>
          <w:p>
            <w:pPr>
              <w:ind w:left="40"/>
              <w:spacing w:after="0"/>
              <w:rPr>
                <w:sz w:val="20"/>
                <w:szCs w:val="20"/>
                <w:color w:val="auto"/>
              </w:rPr>
            </w:pPr>
            <w:r>
              <w:rPr>
                <w:rFonts w:ascii="Arial" w:cs="Arial" w:eastAsia="Arial" w:hAnsi="Arial"/>
                <w:sz w:val="14"/>
                <w:szCs w:val="14"/>
                <w:color w:val="auto"/>
              </w:rPr>
              <w:t>Current period net income</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59,894</w:t>
            </w:r>
          </w:p>
        </w:tc>
        <w:tc>
          <w:tcPr>
            <w:tcW w:w="120" w:type="dxa"/>
            <w:vAlign w:val="bottom"/>
          </w:tcPr>
          <w:p>
            <w:pPr>
              <w:spacing w:after="0"/>
              <w:rPr>
                <w:sz w:val="16"/>
                <w:szCs w:val="16"/>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59,894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64,924</w:t>
            </w:r>
          </w:p>
        </w:tc>
        <w:tc>
          <w:tcPr>
            <w:tcW w:w="0" w:type="dxa"/>
            <w:vAlign w:val="bottom"/>
          </w:tcPr>
          <w:p>
            <w:pPr>
              <w:spacing w:after="0"/>
              <w:rPr>
                <w:sz w:val="1"/>
                <w:szCs w:val="1"/>
                <w:color w:val="auto"/>
              </w:rPr>
            </w:pPr>
          </w:p>
        </w:tc>
      </w:tr>
      <w:tr>
        <w:trPr>
          <w:trHeight w:val="74"/>
        </w:trPr>
        <w:tc>
          <w:tcPr>
            <w:tcW w:w="37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31, 2018</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109,347</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$ 1,094</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$1,684,188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(450,590)</w:t>
            </w: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(2,446)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1,232,246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130,520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1,362,766</w:t>
            </w:r>
          </w:p>
        </w:tc>
        <w:tc>
          <w:tcPr>
            <w:tcW w:w="0" w:type="dxa"/>
            <w:vAlign w:val="bottom"/>
          </w:tcPr>
          <w:p>
            <w:pPr>
              <w:spacing w:after="0"/>
              <w:rPr>
                <w:sz w:val="1"/>
                <w:szCs w:val="1"/>
                <w:color w:val="auto"/>
              </w:rPr>
            </w:pPr>
          </w:p>
        </w:tc>
      </w:tr>
      <w:tr>
        <w:trPr>
          <w:trHeight w:val="60"/>
        </w:trPr>
        <w:tc>
          <w:tcPr>
            <w:tcW w:w="370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5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right"/>
        <w:ind w:right="2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22860</wp:posOffset>
            </wp:positionV>
            <wp:extent cx="1372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Unrealized gain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Depletion, depreciation and amortization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Accretion of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Amortization of debt issuance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gain on asset sales and inventory impairment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Lease and well equipment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Prepaid expenses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 accrued liabilities and other current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Royalties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Advances from joint interest owners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Oil and natural gas properties capital expenditures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Expenditures for midstream and other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Contributions related to formation of Joint Venture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Contributions from non-controlling interest owners of less-than-wholly-owned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Distributions to non-controlling interest owners of less-than-wholly-owned subsidiaries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Taxes paid related to net share settlement of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non-controlling interest of less-than-wholly-owned subsidiary</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(Decrease) increase in cash and restricted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end of period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820" w:type="dxa"/>
            <w:vAlign w:val="bottom"/>
          </w:tcPr>
          <w:p>
            <w:pPr>
              <w:jc w:val="right"/>
              <w:ind w:right="267"/>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47"/>
              <w:spacing w:after="0"/>
              <w:rPr>
                <w:sz w:val="20"/>
                <w:szCs w:val="20"/>
                <w:color w:val="auto"/>
              </w:rPr>
            </w:pPr>
            <w:r>
              <w:rPr>
                <w:rFonts w:ascii="Arial" w:cs="Arial" w:eastAsia="Arial" w:hAnsi="Arial"/>
                <w:sz w:val="18"/>
                <w:szCs w:val="18"/>
                <w:b w:val="1"/>
                <w:bCs w:val="1"/>
                <w:color w:val="auto"/>
              </w:rPr>
              <w:t>2017</w:t>
            </w:r>
          </w:p>
        </w:tc>
      </w:tr>
      <w:tr>
        <w:trPr>
          <w:trHeight w:val="27"/>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522"/>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64,924</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45,900</w:t>
            </w:r>
          </w:p>
        </w:tc>
      </w:tr>
      <w:tr>
        <w:trPr>
          <w:trHeight w:val="540"/>
        </w:trPr>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(20,631)</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55,369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33,992</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300</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4,179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4,166</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44</w:t>
            </w:r>
          </w:p>
        </w:tc>
      </w:tr>
      <w:tr>
        <w:trPr>
          <w:trHeight w:val="270"/>
        </w:trPr>
        <w:tc>
          <w:tcPr>
            <w:tcW w:w="2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540"/>
        </w:trPr>
        <w:tc>
          <w:tcPr>
            <w:tcW w:w="220" w:type="dxa"/>
            <w:vAlign w:val="bottom"/>
          </w:tcPr>
          <w:p>
            <w:pPr>
              <w:spacing w:after="0"/>
              <w:rPr>
                <w:sz w:val="24"/>
                <w:szCs w:val="24"/>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3,268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(16,777)</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(3,806)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147</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(2,251)</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39</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15,184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8,256</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1,627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6,984</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6,063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1,255</w:t>
            </w:r>
          </w:p>
        </w:tc>
      </w:tr>
    </w:tbl>
    <w:p>
      <w:pPr>
        <w:spacing w:after="0" w:line="88" w:lineRule="exact"/>
        <w:rPr>
          <w:sz w:val="20"/>
          <w:szCs w:val="20"/>
          <w:color w:val="auto"/>
        </w:rPr>
      </w:pPr>
    </w:p>
    <w:p>
      <w:pPr>
        <w:ind w:left="1780" w:hanging="1041"/>
        <w:spacing w:after="0"/>
        <w:tabs>
          <w:tab w:leader="none" w:pos="1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(108)</w:t>
      </w:r>
    </w:p>
    <w:p>
      <w:pPr>
        <w:spacing w:after="0" w:line="109"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136,149</w:t>
      </w:r>
      <w:r>
        <w:rPr>
          <w:rFonts w:ascii="Arial" w:cs="Arial" w:eastAsia="Arial" w:hAnsi="Arial"/>
          <w:sz w:val="13"/>
          <w:szCs w:val="13"/>
          <w:color w:val="auto"/>
        </w:rPr>
        <w:t>61,309</w:t>
      </w:r>
    </w:p>
    <w:p>
      <w:pPr>
        <w:spacing w:after="0" w:line="379" w:lineRule="exact"/>
        <w:rPr>
          <w:sz w:val="20"/>
          <w:szCs w:val="20"/>
          <w:color w:val="auto"/>
        </w:rPr>
      </w:pPr>
    </w:p>
    <w:p>
      <w:pPr>
        <w:ind w:left="420"/>
        <w:spacing w:after="0"/>
        <w:tabs>
          <w:tab w:leader="none" w:pos="1520" w:val="left"/>
        </w:tabs>
        <w:rPr>
          <w:sz w:val="20"/>
          <w:szCs w:val="20"/>
          <w:color w:val="auto"/>
        </w:rPr>
      </w:pPr>
      <w:r>
        <w:rPr>
          <w:rFonts w:ascii="Arial" w:cs="Arial" w:eastAsia="Arial" w:hAnsi="Arial"/>
          <w:sz w:val="14"/>
          <w:szCs w:val="14"/>
          <w:color w:val="auto"/>
        </w:rPr>
        <w:t>(183,422)</w:t>
      </w:r>
      <w:r>
        <w:rPr>
          <w:sz w:val="20"/>
          <w:szCs w:val="20"/>
          <w:color w:val="auto"/>
        </w:rPr>
        <w:tab/>
      </w:r>
      <w:r>
        <w:rPr>
          <w:rFonts w:ascii="Arial" w:cs="Arial" w:eastAsia="Arial" w:hAnsi="Arial"/>
          <w:sz w:val="14"/>
          <w:szCs w:val="14"/>
          <w:color w:val="auto"/>
        </w:rPr>
        <w:t>(204,457)</w:t>
      </w:r>
    </w:p>
    <w:p>
      <w:pPr>
        <w:spacing w:after="0" w:line="109"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4"/>
          <w:szCs w:val="14"/>
          <w:color w:val="auto"/>
        </w:rPr>
        <w:t>(37,332)</w:t>
      </w:r>
      <w:r>
        <w:rPr>
          <w:sz w:val="20"/>
          <w:szCs w:val="20"/>
          <w:color w:val="auto"/>
        </w:rPr>
        <w:tab/>
      </w:r>
      <w:r>
        <w:rPr>
          <w:rFonts w:ascii="Arial" w:cs="Arial" w:eastAsia="Arial" w:hAnsi="Arial"/>
          <w:sz w:val="14"/>
          <w:szCs w:val="14"/>
          <w:color w:val="auto"/>
        </w:rPr>
        <w:t>(20,867)</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13722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ind w:left="420"/>
        <w:spacing w:after="0"/>
        <w:tabs>
          <w:tab w:leader="none" w:pos="1520" w:val="left"/>
        </w:tabs>
        <w:rPr>
          <w:sz w:val="20"/>
          <w:szCs w:val="20"/>
          <w:color w:val="auto"/>
        </w:rPr>
      </w:pPr>
      <w:r>
        <w:rPr>
          <w:rFonts w:ascii="Arial" w:cs="Arial" w:eastAsia="Arial" w:hAnsi="Arial"/>
          <w:sz w:val="14"/>
          <w:szCs w:val="14"/>
          <w:color w:val="auto"/>
        </w:rPr>
        <w:t>(220,754)</w:t>
      </w:r>
      <w:r>
        <w:rPr>
          <w:sz w:val="20"/>
          <w:szCs w:val="20"/>
          <w:color w:val="auto"/>
        </w:rPr>
        <w:tab/>
      </w:r>
      <w:r>
        <w:rPr>
          <w:rFonts w:ascii="Arial" w:cs="Arial" w:eastAsia="Arial" w:hAnsi="Arial"/>
          <w:sz w:val="14"/>
          <w:szCs w:val="14"/>
          <w:color w:val="auto"/>
        </w:rPr>
        <w:t>(224,974)</w:t>
      </w:r>
    </w:p>
    <w:p>
      <w:pPr>
        <w:spacing w:after="0" w:line="379" w:lineRule="exact"/>
        <w:rPr>
          <w:sz w:val="20"/>
          <w:szCs w:val="20"/>
          <w:color w:val="auto"/>
        </w:rPr>
      </w:pPr>
    </w:p>
    <w:p>
      <w:pPr>
        <w:ind w:left="1720" w:hanging="1005"/>
        <w:spacing w:after="0"/>
        <w:tabs>
          <w:tab w:leader="none" w:pos="1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1,981</w:t>
      </w:r>
    </w:p>
    <w:p>
      <w:pPr>
        <w:spacing w:after="0" w:line="109"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14,700</w:t>
      </w:r>
      <w:r>
        <w:rPr>
          <w:rFonts w:ascii="Arial" w:cs="Arial" w:eastAsia="Arial" w:hAnsi="Arial"/>
          <w:sz w:val="13"/>
          <w:szCs w:val="13"/>
          <w:color w:val="auto"/>
        </w:rPr>
        <w:t>171,500</w:t>
      </w:r>
    </w:p>
    <w:p>
      <w:pPr>
        <w:spacing w:after="0" w:line="109"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29,400</w:t>
      </w:r>
      <w:r>
        <w:rPr>
          <w:rFonts w:ascii="Arial" w:cs="Arial" w:eastAsia="Arial" w:hAnsi="Arial"/>
          <w:sz w:val="13"/>
          <w:szCs w:val="13"/>
          <w:color w:val="auto"/>
        </w:rPr>
        <w:t>4,900</w:t>
      </w:r>
    </w:p>
    <w:p>
      <w:pPr>
        <w:spacing w:after="0" w:line="10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(4,900)—</w:t>
      </w:r>
    </w:p>
    <w:p>
      <w:pPr>
        <w:spacing w:after="0" w:line="109"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4"/>
          <w:szCs w:val="14"/>
          <w:color w:val="auto"/>
        </w:rPr>
        <w:t>(4,458)</w:t>
      </w:r>
      <w:r>
        <w:rPr>
          <w:sz w:val="20"/>
          <w:szCs w:val="20"/>
          <w:color w:val="auto"/>
        </w:rPr>
        <w:tab/>
      </w:r>
      <w:r>
        <w:rPr>
          <w:rFonts w:ascii="Arial" w:cs="Arial" w:eastAsia="Arial" w:hAnsi="Arial"/>
          <w:sz w:val="14"/>
          <w:szCs w:val="14"/>
          <w:color w:val="auto"/>
        </w:rPr>
        <w:t>(1,896)</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(2,653)</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34,906</w:t>
      </w:r>
      <w:r>
        <w:rPr>
          <w:rFonts w:ascii="Arial" w:cs="Arial" w:eastAsia="Arial" w:hAnsi="Arial"/>
          <w:sz w:val="13"/>
          <w:szCs w:val="13"/>
          <w:color w:val="auto"/>
        </w:rPr>
        <w:t>173,832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13722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4"/>
          <w:szCs w:val="14"/>
          <w:color w:val="auto"/>
        </w:rPr>
        <w:t>(49,699)</w:t>
      </w:r>
      <w:r>
        <w:rPr>
          <w:sz w:val="20"/>
          <w:szCs w:val="20"/>
          <w:color w:val="auto"/>
        </w:rPr>
        <w:tab/>
      </w:r>
      <w:r>
        <w:rPr>
          <w:rFonts w:ascii="Arial" w:cs="Arial" w:eastAsia="Arial" w:hAnsi="Arial"/>
          <w:sz w:val="14"/>
          <w:szCs w:val="14"/>
          <w:color w:val="auto"/>
        </w:rPr>
        <w:t>10,167</w:t>
      </w:r>
    </w:p>
    <w:p>
      <w:pPr>
        <w:spacing w:after="0" w:line="109"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4"/>
          <w:szCs w:val="14"/>
          <w:color w:val="auto"/>
        </w:rPr>
        <w:t>102,482</w:t>
      </w:r>
      <w:r>
        <w:rPr>
          <w:sz w:val="20"/>
          <w:szCs w:val="20"/>
          <w:color w:val="auto"/>
        </w:rPr>
        <w:tab/>
      </w:r>
      <w:r>
        <w:rPr>
          <w:rFonts w:ascii="Arial" w:cs="Arial" w:eastAsia="Arial" w:hAnsi="Arial"/>
          <w:sz w:val="14"/>
          <w:szCs w:val="14"/>
          <w:color w:val="auto"/>
        </w:rPr>
        <w:t>214,142</w:t>
      </w:r>
    </w:p>
    <w:p>
      <w:pPr>
        <w:spacing w:after="0" w:line="96" w:lineRule="exact"/>
        <w:rPr>
          <w:sz w:val="20"/>
          <w:szCs w:val="20"/>
          <w:color w:val="auto"/>
        </w:rPr>
      </w:pPr>
    </w:p>
    <w:p>
      <w:pPr>
        <w:ind w:left="20"/>
        <w:spacing w:after="0"/>
        <w:tabs>
          <w:tab w:leader="none" w:pos="520" w:val="left"/>
          <w:tab w:leader="none" w:pos="1160" w:val="left"/>
          <w:tab w:leader="none" w:pos="15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52,783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224,309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13722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720"/>
            <w:col w:w="2160"/>
          </w:cols>
          <w:pgMar w:left="240" w:top="125" w:right="239" w:bottom="1440" w:gutter="0" w:footer="0" w:header="0"/>
          <w:type w:val="continuous"/>
        </w:sectPr>
      </w:pP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Supplemental disclosures of cash flow information (Note 10)</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21"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and East Texas. Additionally, the Company conducts midstream operations, primarily through its midstream joint venture, San Mateo Midstream, LLC (“San Mateo” or the “Joint Venture”), in support of the Company’s exploration, development and production operations and provides natural gas processing, oil transportation services, oil, natural gas and salt water gathering services and salt water disposal services to third parties.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Interim Financial Statements, Basis of Presentation, Consolidation and Significant Estimates</w:t>
      </w:r>
    </w:p>
    <w:p>
      <w:pPr>
        <w:spacing w:after="0" w:line="117"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2017 (the “Annual Report”) filed with the SEC. The Company consolidates certain subsidiaries and joint ventures that are less than wholly owned and are not involved in oil and natural gas exploration, including San Mateo, and the net income and equity attributable to the non-controlling interest in these subsidiaries have been reported separately as required by Accounting Standards Codification 810. The Company proportionately consolidates certain joint ventures that are less than wholly 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March 31, 2018. Amounts as of December 31, 2017 are derived from the Company’s audited consolidated financial statements included in the Annual Report.</w:t>
      </w:r>
    </w:p>
    <w:p>
      <w:pPr>
        <w:spacing w:after="0" w:line="6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accruals for oil and natural gas revenues, accrued assets and liabilities primarily related to oil and natural gas and midstream operations, stock-based compensation, valuation of derivative instruments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Principles</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 xml:space="preserve">During the first quarter of 2018, the Company adopted Accounting Standards Codification,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which specifies how and when to recognize revenue. This standard requires expanded disclosures surrounding revenue recognition and is intended to improve, and converge with international standards, the financial reporting requirements for revenue from contracts with customers. The Company adopted the new guidance using the modified retrospective approach. The adoption did not require an adjustment to opening accumulated deficit for any cumulative effect adjustment and does not have a material impact on the Company’s consolidated balance sheets, statements of operations, statement of shareholders’ equity or statements of cash flows.</w:t>
      </w:r>
    </w:p>
    <w:p>
      <w:pPr>
        <w:spacing w:after="0" w:line="8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Prior to the adoption of ASC 606, the Company recorded oil and natural gas revenues at the time of physical transfer of such products to the purchaser. The Company followed the sales method of accounting for oil and natural gas sales, recognizing revenues based on the Company’s actual proceeds from the oil and natural gas sold to purchasers.</w:t>
      </w:r>
    </w:p>
    <w:p>
      <w:pPr>
        <w:spacing w:after="0" w:line="7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enters into contracts with customers to sell its oil and natural gas production. Revenue on these contracts is recognized in accordance with the five-step revenue recognition model prescribed in ASC 606. Specifically, revenue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oil and natural gas marketing contracts is typically received from the purchaser one to two months after production.</w:t>
      </w:r>
    </w:p>
    <w:p>
      <w:pPr>
        <w:spacing w:after="0" w:line="5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majority of the Company’s oil marketing contracts transfer physical custody and title at or near the wellhead,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after the transfer of control of the oil, the differentials are included in oil sales on the statements of operations as they represent part of the transaction price of the contract. If the differentials, or other related costs, are incurred prior to the transfer of control of the oil, those costs are included in production taxes, transportation and processing expenses on the Company’s consolidated statements of operations as they represent payment for services performed outside of the contract with the customer.</w:t>
      </w:r>
    </w:p>
    <w:p>
      <w:pPr>
        <w:spacing w:after="0" w:line="5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Company’s natural gas is sold at the lease location, at the inlet or outlet of a natural gas plant or at an interconnect near a marketing hub following transportation from a processing plant. The majority of the Company’s natural gas is sold under fee-based contracts. When the natural gas is sold at the lease, the purchaser gathers the natural gas and transports the natural gas via pipeline to natural gas processing plants where natural gas liquid (“NGL”) products are extracted. The NGL products and remaining residue gas are then sold by the purchaser or the Company sells the natural gas to a third party. Under the fee-based contracts, the Company receives NGL and residue gas value, less the fee component, or is invoiced the fee component. To the extent control of the natural gas transfers upstream of the transportation and processing activities, revenue is recognized as the net amount received from the purchaser. To the extent that control transfers downstream of those services, revenue is recognized on a gross basis, and the related costs are included in production taxes, transportation and processing expenses on the Company’s consolidated statements of operations.</w:t>
      </w:r>
    </w:p>
    <w:p>
      <w:pPr>
        <w:spacing w:after="0" w:line="71"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The Company recognizes midstream services revenues at the time services have been rendered and the price is fixed and determinable. Third-party midstream services revenues are those revenues from midstream operations related to third parties, including working interest owners in our operated wells. All midstream services revenues related to the Company’s working interest are eliminated in consolidation. Since the Company has a right to payment from its customers in amounts that correspond directly to the value that the customer receives from the performance completed on each contract, the Company applies the practical expedient in ASC 606 that allows recognition of revenue in the amount for which there is a right to invoice the customer without estimating a transaction price for each contract and allocating that transaction price to the performance obligations within each contract.</w:t>
      </w:r>
    </w:p>
    <w:p>
      <w:pPr>
        <w:spacing w:after="0" w:line="5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The Company determined the impact to its consolidated financial statements as a result of adoption of this standard was a $2.2 million decrease in oil and natural gas revenues and a $2.2 million decrease in production taxes, transportation and processing expenses for the three months ended March 31, 2018, which was not material. As a result of adoption of this standard, the Company is now required to disclose the following information regarding revenues from contracts with customers and revenues from contracts with customers on a disaggregated basis for the three months ended March 31, 2018 (in thousands).</w:t>
      </w:r>
    </w:p>
    <w:p>
      <w:pPr>
        <w:spacing w:after="0" w:line="196" w:lineRule="exact"/>
        <w:rPr>
          <w:sz w:val="20"/>
          <w:szCs w:val="20"/>
          <w:color w:val="auto"/>
        </w:rPr>
      </w:pPr>
    </w:p>
    <w:tbl>
      <w:tblPr>
        <w:tblLayout w:type="fixed"/>
        <w:tblInd w:w="260" w:type="dxa"/>
        <w:tblCellMar>
          <w:top w:w="0" w:type="dxa"/>
          <w:left w:w="0" w:type="dxa"/>
          <w:bottom w:w="0" w:type="dxa"/>
          <w:right w:w="0" w:type="dxa"/>
        </w:tblCellMar>
      </w:tblP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 from contracts with customers</w:t>
            </w:r>
          </w:p>
        </w:tc>
        <w:tc>
          <w:tcPr>
            <w:tcW w:w="48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185,022</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Realized loss on derivatives</w:t>
            </w:r>
          </w:p>
        </w:tc>
        <w:tc>
          <w:tcPr>
            <w:tcW w:w="4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derivatives</w:t>
            </w:r>
          </w:p>
        </w:tc>
        <w:tc>
          <w:tcPr>
            <w:tcW w:w="40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10,416</w:t>
            </w:r>
          </w:p>
        </w:tc>
        <w:tc>
          <w:tcPr>
            <w:tcW w:w="0" w:type="dxa"/>
            <w:vAlign w:val="bottom"/>
          </w:tcPr>
          <w:p>
            <w:pPr>
              <w:spacing w:after="0"/>
              <w:rPr>
                <w:sz w:val="1"/>
                <w:szCs w:val="1"/>
                <w:color w:val="auto"/>
              </w:rPr>
            </w:pPr>
          </w:p>
        </w:tc>
      </w:tr>
      <w:tr>
        <w:trPr>
          <w:trHeight w:val="257"/>
        </w:trPr>
        <w:tc>
          <w:tcPr>
            <w:tcW w:w="464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408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191,180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tcPr>
          <w:p>
            <w:pPr>
              <w:spacing w:after="0"/>
              <w:rPr>
                <w:sz w:val="20"/>
                <w:szCs w:val="20"/>
                <w:color w:val="auto"/>
              </w:rPr>
            </w:pPr>
          </w:p>
        </w:tc>
        <w:tc>
          <w:tcPr>
            <w:tcW w:w="4880" w:type="dxa"/>
            <w:vAlign w:val="bottom"/>
            <w:gridSpan w:val="2"/>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revenues</w:t>
            </w:r>
          </w:p>
        </w:tc>
        <w:tc>
          <w:tcPr>
            <w:tcW w:w="488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148,159</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Natural gas revenues</w:t>
            </w:r>
          </w:p>
        </w:tc>
        <w:tc>
          <w:tcPr>
            <w:tcW w:w="4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33,795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midstream services revenues</w:t>
            </w:r>
          </w:p>
        </w:tc>
        <w:tc>
          <w:tcPr>
            <w:tcW w:w="40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57"/>
        </w:trPr>
        <w:tc>
          <w:tcPr>
            <w:tcW w:w="4640" w:type="dxa"/>
            <w:vAlign w:val="bottom"/>
          </w:tcPr>
          <w:p>
            <w:pPr>
              <w:ind w:left="600"/>
              <w:spacing w:after="0"/>
              <w:rPr>
                <w:sz w:val="20"/>
                <w:szCs w:val="20"/>
                <w:color w:val="auto"/>
              </w:rPr>
            </w:pPr>
            <w:r>
              <w:rPr>
                <w:rFonts w:ascii="Arial" w:cs="Arial" w:eastAsia="Arial" w:hAnsi="Arial"/>
                <w:sz w:val="18"/>
                <w:szCs w:val="18"/>
                <w:color w:val="auto"/>
              </w:rPr>
              <w:t>Total revenues from contracts with customers</w:t>
            </w:r>
          </w:p>
        </w:tc>
        <w:tc>
          <w:tcPr>
            <w:tcW w:w="408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185,022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080" w:type="dxa"/>
            <w:vAlign w:val="bottom"/>
            <w:vMerge w:val="restart"/>
          </w:tcPr>
          <w:p>
            <w:pPr>
              <w:jc w:val="right"/>
              <w:ind w:right="3130"/>
              <w:spacing w:after="0"/>
              <w:rPr>
                <w:sz w:val="20"/>
                <w:szCs w:val="20"/>
                <w:color w:val="auto"/>
              </w:rPr>
            </w:pPr>
            <w:r>
              <w:rPr>
                <w:rFonts w:ascii="Arial" w:cs="Arial" w:eastAsia="Arial" w:hAnsi="Arial"/>
                <w:sz w:val="18"/>
                <w:szCs w:val="18"/>
                <w:color w:val="auto"/>
              </w:rPr>
              <w:t>8</w:t>
            </w: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4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5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During the first quarter of 2018, the Company adopted Accounting Standards Update (“ASU”) 2016-18,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which specifies that a statement of cash flows explain the change during the period in the total of cash, cash equivalents and amounts generally described as restricted cash or restricted cash equivalents. The Company adopted ASU 2016-18 effective January 1, 2018 and determined that the adoption of this ASU changed the presentation of its beginning and ending cash balances and eliminated the presentation of changes in restricted cash balances from investing activities in its consolidated statements of cash flows. The Company adopted the new guidance using the retrospective transition method; as a result, approximately $6.0 million and $1.3 million of restricted cash was added to the beginning cash balance for the three months ended March 31, 2018 and 2017, respectively.</w:t>
      </w:r>
    </w:p>
    <w:p>
      <w:pPr>
        <w:spacing w:after="0" w:line="8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During the first quarter of 2018, the Company adopted ASU 2017-01,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which specifies the minimum inputs and processes required for an integrated set of assets and activities to meet the definition of a business. The Company adopted ASU 2017-01 prospectively, which did not have a material impact on its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11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both the three months ended March 31, 2018 and 2017, the cost center ceiling was higher than the capitalized costs of oil and natural gas properties, and, as a result, no impairment charge was necessary.</w:t>
      </w:r>
    </w:p>
    <w:p>
      <w:pPr>
        <w:spacing w:after="0" w:line="6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 capitalized approximately $7.3 million and $5.6 million of its general and administrative costs for the three months ended March 31, 2018 and 2017, respectively, and approximately $1.9 million and $1.2 million of its interest expense for the three months ended March 31, 2018 and 2017,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(Loss) Per Common Share</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reports basic earnings attributable to Matador Resources Company shareholders per common share, which excludes the effect of potentially dilutive securities, and diluted earnings attributable to Matador Resources Company shareholders per common share, which includes the effect of all potentially dilutive securities unless their impact is anti-dilutive.</w:t>
      </w:r>
    </w:p>
    <w:p>
      <w:pPr>
        <w:spacing w:after="0" w:line="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sets forth the computation of diluted weighted average common shares outstanding for the three months ended March 31, 2018 and 2017 (in thousands).</w:t>
      </w:r>
    </w:p>
    <w:p>
      <w:pPr>
        <w:spacing w:after="0" w:line="112"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8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5080" w:type="dxa"/>
            <w:vAlign w:val="bottom"/>
          </w:tcPr>
          <w:p>
            <w:pPr>
              <w:spacing w:after="0"/>
              <w:rPr>
                <w:sz w:val="20"/>
                <w:szCs w:val="20"/>
                <w:color w:val="auto"/>
              </w:rPr>
            </w:pPr>
          </w:p>
        </w:tc>
        <w:tc>
          <w:tcPr>
            <w:tcW w:w="46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Basic</w:t>
            </w:r>
          </w:p>
        </w:tc>
        <w:tc>
          <w:tcPr>
            <w:tcW w:w="4620" w:type="dxa"/>
            <w:vAlign w:val="bottom"/>
            <w:gridSpan w:val="2"/>
          </w:tcPr>
          <w:p>
            <w:pPr>
              <w:jc w:val="right"/>
              <w:ind w:right="30"/>
              <w:spacing w:after="0"/>
              <w:rPr>
                <w:sz w:val="20"/>
                <w:szCs w:val="20"/>
                <w:color w:val="auto"/>
              </w:rPr>
            </w:pPr>
            <w:r>
              <w:rPr>
                <w:rFonts w:ascii="Arial" w:cs="Arial" w:eastAsia="Arial" w:hAnsi="Arial"/>
                <w:sz w:val="18"/>
                <w:szCs w:val="18"/>
                <w:color w:val="auto"/>
              </w:rPr>
              <w:t>108,913</w:t>
            </w:r>
          </w:p>
        </w:tc>
        <w:tc>
          <w:tcPr>
            <w:tcW w:w="1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99,799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options and restricted stock units</w:t>
            </w:r>
          </w:p>
        </w:tc>
        <w:tc>
          <w:tcPr>
            <w:tcW w:w="3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57"/>
        </w:trPr>
        <w:tc>
          <w:tcPr>
            <w:tcW w:w="5080" w:type="dxa"/>
            <w:vAlign w:val="bottom"/>
          </w:tcPr>
          <w:p>
            <w:pPr>
              <w:ind w:left="600"/>
              <w:spacing w:after="0"/>
              <w:rPr>
                <w:sz w:val="20"/>
                <w:szCs w:val="20"/>
                <w:color w:val="auto"/>
              </w:rPr>
            </w:pPr>
            <w:r>
              <w:rPr>
                <w:rFonts w:ascii="Arial" w:cs="Arial" w:eastAsia="Arial" w:hAnsi="Arial"/>
                <w:sz w:val="18"/>
                <w:szCs w:val="18"/>
                <w:color w:val="auto"/>
              </w:rPr>
              <w:t>Diluted weighted average common shares outstanding</w:t>
            </w:r>
          </w:p>
        </w:tc>
        <w:tc>
          <w:tcPr>
            <w:tcW w:w="35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109,412</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100,298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520" w:type="dxa"/>
            <w:vAlign w:val="bottom"/>
            <w:vMerge w:val="restart"/>
          </w:tcPr>
          <w:p>
            <w:pPr>
              <w:jc w:val="right"/>
              <w:ind w:right="2750"/>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11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 In February 2016, the Financial Accounting Standards Board (“FASB”) issued ASU 2016-02,</w:t>
      </w:r>
      <w:r>
        <w:rPr>
          <w:rFonts w:ascii="Arial" w:cs="Arial" w:eastAsia="Arial" w:hAnsi="Arial"/>
          <w:sz w:val="16"/>
          <w:szCs w:val="16"/>
          <w:i w:val="1"/>
          <w:iCs w:val="1"/>
          <w:color w:val="auto"/>
        </w:rPr>
        <w:t xml:space="preserve"> Leases (Topic 842)</w:t>
      </w:r>
      <w:r>
        <w:rPr>
          <w:rFonts w:ascii="Arial" w:cs="Arial" w:eastAsia="Arial" w:hAnsi="Arial"/>
          <w:sz w:val="16"/>
          <w:szCs w:val="16"/>
          <w:color w:val="auto"/>
        </w:rPr>
        <w:t>, which requires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recognition of lease assets and lease liabilities by lessees for those leases classified as operating leases under previous U.S. GAAP. This ASU will become effective for fiscal years beginning after December 15, 2018 with early adoption permitted. Entities are required to recognize and measure leases at the beginning of the earliest period presented using a modified retrospective approach. The modified retrospective approach includes a number of optional practical expedients that entities may elect to apply. These practical expedients relate to the identification and classification of leases that commenced before the effective date, initial direct costs for leases that commenced before the effective date and the ability to use hindsight in evaluating lessee options to extend or terminate a lease or to purchase the underlying asset. In January 2018, the FASB issued ASU 2018-01,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a land easement practical expedient. If the Company elects to use this practical expedient, the Company should evaluate new or modified land easements under this ASU beginning at the date of adoption. Adoption of ASU 2016-02 will result in increased reported assets and liabilities. The quantitative impact of the new lease standard will depend on the leases in force at the time of adoption. The Company is currently evaluating the impact of the adoption of these ASUs on its consolidated financial statements, including identifying all leases, as defined under the new lease standard, determining which practical expedients the Company will use and quantifying the impact of the new lease standard on existing leases. The Company expects to adopt these ASUs on January 1, 2019.</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ASSET RETIREMENT OBLIGATIONS</w:t>
      </w:r>
    </w:p>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changes in the Company’s asset retirement obligations for the three months ended March 31, 2018 (in thousands).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asset retirement obligations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26,256</w:t>
            </w:r>
          </w:p>
        </w:tc>
      </w:tr>
      <w:tr>
        <w:trPr>
          <w:trHeight w:val="243"/>
        </w:trPr>
        <w:tc>
          <w:tcPr>
            <w:tcW w:w="10400" w:type="dxa"/>
            <w:vAlign w:val="bottom"/>
          </w:tcPr>
          <w:p>
            <w:pPr>
              <w:ind w:left="180"/>
              <w:spacing w:after="0"/>
              <w:rPr>
                <w:sz w:val="20"/>
                <w:szCs w:val="20"/>
                <w:color w:val="auto"/>
              </w:rPr>
            </w:pPr>
            <w:r>
              <w:rPr>
                <w:rFonts w:ascii="Arial" w:cs="Arial" w:eastAsia="Arial" w:hAnsi="Arial"/>
                <w:sz w:val="18"/>
                <w:szCs w:val="18"/>
                <w:color w:val="auto"/>
              </w:rPr>
              <w:t>Liabilities incurred during period</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747</w:t>
            </w:r>
          </w:p>
        </w:tc>
      </w:tr>
      <w:tr>
        <w:trPr>
          <w:trHeight w:val="27"/>
        </w:trPr>
        <w:tc>
          <w:tcPr>
            <w:tcW w:w="10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settled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43"/>
        </w:trPr>
        <w:tc>
          <w:tcPr>
            <w:tcW w:w="10400" w:type="dxa"/>
            <w:vAlign w:val="bottom"/>
          </w:tcPr>
          <w:p>
            <w:pPr>
              <w:ind w:left="180"/>
              <w:spacing w:after="0"/>
              <w:rPr>
                <w:sz w:val="20"/>
                <w:szCs w:val="20"/>
                <w:color w:val="auto"/>
              </w:rPr>
            </w:pPr>
            <w:r>
              <w:rPr>
                <w:rFonts w:ascii="Arial" w:cs="Arial" w:eastAsia="Arial" w:hAnsi="Arial"/>
                <w:sz w:val="18"/>
                <w:szCs w:val="18"/>
                <w:color w:val="auto"/>
              </w:rPr>
              <w:t>Accretion expense</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
        </w:trPr>
        <w:tc>
          <w:tcPr>
            <w:tcW w:w="10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26,956</w:t>
            </w:r>
          </w:p>
        </w:tc>
      </w:tr>
      <w:tr>
        <w:trPr>
          <w:trHeight w:val="270"/>
        </w:trPr>
        <w:tc>
          <w:tcPr>
            <w:tcW w:w="104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Less: current asset retirement obligations</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r>
      <w:tr>
        <w:trPr>
          <w:trHeight w:val="269"/>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asset retirement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25,682</w:t>
            </w:r>
          </w:p>
        </w:tc>
      </w:tr>
      <w:tr>
        <w:trPr>
          <w:trHeight w:val="20"/>
        </w:trPr>
        <w:tc>
          <w:tcPr>
            <w:tcW w:w="10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b w:val="1"/>
          <w:bCs w:val="1"/>
          <w:color w:val="auto"/>
        </w:rPr>
        <w:t>_______________</w:t>
      </w:r>
    </w:p>
    <w:p>
      <w:pPr>
        <w:spacing w:after="0" w:line="12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accrued liabilities in the Company’s interim unaudited condensed consolidated balance sheet at March 31,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121"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At March 31, 2018, the Company had $575.0 million of outstanding 6.875% senior notes due 2023, no borrowings outstanding under the Company’s revolving credit agreement (the “Credit Agreement”) and approximately $2.1 million in outstanding letters of credit issued pursuant to the Credit Agreement. At May 2, 2018, the Company had $575.0 million of outstanding 6.875% senior notes due 2023, $45.0 million in borrowings outstanding under the Credit Agreement and approximately $3.0 million in outstanding letters of credit issued pursuant to the Credit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198"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Both the Company and the lenders may request an unscheduled redetermination of the borrowing base once each between scheduled redetermination dates. During the first quarter of 2018, the lenders completed their review of the Company’s proved oil and natural gas reserves at December 31, 2017, and as a result, on March 5, 2018, the borrowing base was increased to $725.0 million. This March 2018 redetermination constituted the regularly scheduled May 1 redetermination. The Company elected to keep the borrowing commitment at $400.0 million and the maximum facility amount remained at $500.0 million. Borrowings under the Credit Agreement are limited to the lowest of the borrowing base, the maximum facility amount and the elected commitment. The Credit Agreement matures on October 16, 2020.</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believes that it was in compliance with the terms of the Credit Agreement at March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Unsecured Notes</w:t>
      </w:r>
    </w:p>
    <w:p>
      <w:pPr>
        <w:spacing w:after="0" w:line="117"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On April 14, 2015 and December 9, 2016, the Company issued $400.0 million and $175.0 million, respectively, of 6.875% senior notes due 2023 (collectively, the “Notes”). The Notes mature on April 15, 2023, and interest is payable semi-annually in arrears on April 15 and October 15 of each year.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121" w:lineRule="exact"/>
        <w:rPr>
          <w:sz w:val="20"/>
          <w:szCs w:val="20"/>
          <w:color w:val="auto"/>
        </w:rPr>
      </w:pPr>
    </w:p>
    <w:p>
      <w:pPr>
        <w:jc w:val="both"/>
        <w:ind w:right="200" w:firstLine="432"/>
        <w:spacing w:after="0" w:line="302" w:lineRule="auto"/>
        <w:rPr>
          <w:sz w:val="20"/>
          <w:szCs w:val="20"/>
          <w:color w:val="auto"/>
        </w:rPr>
      </w:pPr>
      <w:r>
        <w:rPr>
          <w:rFonts w:ascii="Arial" w:cs="Arial" w:eastAsia="Arial" w:hAnsi="Arial"/>
          <w:sz w:val="16"/>
          <w:szCs w:val="16"/>
          <w:color w:val="auto"/>
        </w:rPr>
        <w:t>The Company’s deferred tax assets exceeded its deferred tax liabilities at March 31, 2018 due to the deferred tax assets generated by full-cost ceiling impairment charges recorded in prior periods. The Company established a valuation allowance against most of the deferred tax assets beginning in the third quarter of 2015 and retained a full valuation allowance at March 31, 2018 due to uncertainties regarding the future realization of its deferred tax assets. The valuation allowance will continue to be recognized until the realization of future deferred tax benefits is more likely than not to be utilized.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EQUITY</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February 2018, the Company granted awards of 667,488 shares of restricted stock and options to purchase 563,408 shares of the Company’s common stock at an exercise price of $29.68 per share to certain of its employees. The fair value of these awards was approximately $26.9 million. All of these awards vest ratably over three years.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Performance Incentive</w:t>
      </w:r>
    </w:p>
    <w:p>
      <w:pPr>
        <w:spacing w:after="0" w:line="11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In connection with the formation of San Mateo in 2017, the Company has the ability to earn a total of $73.5 million in performance incentives to be paid by its joint venture partner, a subsidiary of Five Point Energy LLC (“Five Point”), over a five-year period. The Company earned, and Five Point paid to the Company, $14.7 million in performance incentives in the first quarter of 2018, and the Company may earn an additional $58.8 million in performance incentives over the next four years. These performance incentives are recorded as an increase to additional paid-in capital when received.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w:t>
      </w:r>
    </w:p>
    <w:p>
      <w:pPr>
        <w:spacing w:after="0" w:line="200" w:lineRule="exact"/>
        <w:rPr>
          <w:sz w:val="20"/>
          <w:szCs w:val="20"/>
          <w:color w:val="auto"/>
        </w:rPr>
      </w:pPr>
    </w:p>
    <w:p>
      <w:pPr>
        <w:spacing w:after="0" w:line="38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At March 31, 2018, the Company had various costless collar, three-way costless collar and swap contracts open and in place to mitigate its exposure to oil and natural gas price volatility, each with a specific term (calculation period), notional quantity (volume hedged) and price floor and ceiling and fixed price for the swaps. Each contract is set to expire at varying times during 2018.</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open costless collar contracts for oil and natural gas at March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Weighted Average</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Weighted Average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rPr>
              <w:t>Price Floor ($/Bbl</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Price Ceiling</w:t>
            </w: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1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Notional Quantity (Bbl or</w:t>
            </w:r>
          </w:p>
        </w:tc>
        <w:tc>
          <w:tcPr>
            <w:tcW w:w="22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or</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($/Bbl or</w:t>
            </w: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Asset (Liability)</w:t>
            </w:r>
          </w:p>
        </w:tc>
      </w:tr>
      <w:tr>
        <w:trPr>
          <w:trHeight w:val="234"/>
        </w:trPr>
        <w:tc>
          <w:tcPr>
            <w:tcW w:w="1640" w:type="dxa"/>
            <w:vAlign w:val="bottom"/>
          </w:tcPr>
          <w:p>
            <w:pPr>
              <w:ind w:left="40"/>
              <w:spacing w:after="0"/>
              <w:rPr>
                <w:sz w:val="20"/>
                <w:szCs w:val="20"/>
                <w:color w:val="auto"/>
              </w:rPr>
            </w:pPr>
            <w:r>
              <w:rPr>
                <w:rFonts w:ascii="Arial" w:cs="Arial" w:eastAsia="Arial" w:hAnsi="Arial"/>
                <w:sz w:val="18"/>
                <w:szCs w:val="18"/>
                <w:b w:val="1"/>
                <w:bCs w:val="1"/>
                <w:color w:val="auto"/>
              </w:rPr>
              <w:t>Commodity</w:t>
            </w:r>
          </w:p>
        </w:tc>
        <w:tc>
          <w:tcPr>
            <w:tcW w:w="29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2"/>
              </w:rPr>
              <w:t>Calculation Period</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MMBtu)</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$/MMBtu)</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16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16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Oil - WTI </w:t>
            </w:r>
            <w:r>
              <w:rPr>
                <w:rFonts w:ascii="Arial" w:cs="Arial" w:eastAsia="Arial" w:hAnsi="Arial"/>
                <w:sz w:val="25"/>
                <w:szCs w:val="25"/>
                <w:color w:val="auto"/>
                <w:vertAlign w:val="superscript"/>
              </w:rPr>
              <w:t>(1)</w:t>
            </w:r>
          </w:p>
        </w:tc>
        <w:tc>
          <w:tcPr>
            <w:tcW w:w="28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0"/>
              </w:rPr>
              <w:t>04/01/2018 - 12/31/2018</w:t>
            </w: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2,160,000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(11,663)</w:t>
            </w:r>
          </w:p>
        </w:tc>
      </w:tr>
      <w:tr>
        <w:trPr>
          <w:trHeight w:val="270"/>
        </w:trPr>
        <w:tc>
          <w:tcPr>
            <w:tcW w:w="1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Oil - WTI </w:t>
            </w:r>
            <w:r>
              <w:rPr>
                <w:rFonts w:ascii="Arial" w:cs="Arial" w:eastAsia="Arial" w:hAnsi="Arial"/>
                <w:sz w:val="25"/>
                <w:szCs w:val="25"/>
                <w:color w:val="auto"/>
                <w:vertAlign w:val="superscript"/>
              </w:rPr>
              <w:t>(1)</w:t>
            </w:r>
          </w:p>
        </w:tc>
        <w:tc>
          <w:tcPr>
            <w:tcW w:w="2820" w:type="dxa"/>
            <w:vAlign w:val="bottom"/>
          </w:tcPr>
          <w:p>
            <w:pPr>
              <w:jc w:val="center"/>
              <w:ind w:left="230"/>
              <w:spacing w:after="0"/>
              <w:rPr>
                <w:sz w:val="20"/>
                <w:szCs w:val="20"/>
                <w:color w:val="auto"/>
              </w:rPr>
            </w:pPr>
            <w:r>
              <w:rPr>
                <w:rFonts w:ascii="Arial" w:cs="Arial" w:eastAsia="Arial" w:hAnsi="Arial"/>
                <w:sz w:val="18"/>
                <w:szCs w:val="18"/>
                <w:color w:val="auto"/>
                <w:w w:val="90"/>
              </w:rPr>
              <w:t>01/01/2019 - 12/31/2019</w:t>
            </w:r>
          </w:p>
        </w:tc>
        <w:tc>
          <w:tcPr>
            <w:tcW w:w="120" w:type="dxa"/>
            <w:vAlign w:val="bottom"/>
          </w:tcPr>
          <w:p>
            <w:pPr>
              <w:spacing w:after="0"/>
              <w:rPr>
                <w:sz w:val="23"/>
                <w:szCs w:val="23"/>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2,400,000</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70"/>
        </w:trPr>
        <w:tc>
          <w:tcPr>
            <w:tcW w:w="1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Oil - LLS </w:t>
            </w:r>
            <w:r>
              <w:rPr>
                <w:rFonts w:ascii="Arial" w:cs="Arial" w:eastAsia="Arial" w:hAnsi="Arial"/>
                <w:sz w:val="25"/>
                <w:szCs w:val="25"/>
                <w:color w:val="auto"/>
                <w:vertAlign w:val="superscript"/>
              </w:rPr>
              <w:t>(2)</w:t>
            </w:r>
          </w:p>
        </w:tc>
        <w:tc>
          <w:tcPr>
            <w:tcW w:w="28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0"/>
              </w:rPr>
              <w:t>04/01/2018 - 12/31/2018</w:t>
            </w:r>
          </w:p>
        </w:tc>
        <w:tc>
          <w:tcPr>
            <w:tcW w:w="12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r>
      <w:tr>
        <w:trPr>
          <w:trHeight w:val="243"/>
        </w:trPr>
        <w:tc>
          <w:tcPr>
            <w:tcW w:w="16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820" w:type="dxa"/>
            <w:vAlign w:val="bottom"/>
          </w:tcPr>
          <w:p>
            <w:pPr>
              <w:jc w:val="center"/>
              <w:ind w:left="230"/>
              <w:spacing w:after="0"/>
              <w:rPr>
                <w:sz w:val="20"/>
                <w:szCs w:val="20"/>
                <w:color w:val="auto"/>
              </w:rPr>
            </w:pPr>
            <w:r>
              <w:rPr>
                <w:rFonts w:ascii="Arial" w:cs="Arial" w:eastAsia="Arial" w:hAnsi="Arial"/>
                <w:sz w:val="18"/>
                <w:szCs w:val="18"/>
                <w:color w:val="auto"/>
                <w:w w:val="90"/>
              </w:rPr>
              <w:t>04/01/2018 - 12/31/2018</w:t>
            </w:r>
          </w:p>
        </w:tc>
        <w:tc>
          <w:tcPr>
            <w:tcW w:w="120" w:type="dxa"/>
            <w:vAlign w:val="bottom"/>
          </w:tcPr>
          <w:p>
            <w:pPr>
              <w:spacing w:after="0"/>
              <w:rPr>
                <w:sz w:val="21"/>
                <w:szCs w:val="21"/>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12,600,000</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480</w:t>
            </w:r>
          </w:p>
        </w:tc>
      </w:tr>
      <w:tr>
        <w:trPr>
          <w:trHeight w:val="27"/>
        </w:trPr>
        <w:tc>
          <w:tcPr>
            <w:tcW w:w="44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open costless collar contracts</w:t>
            </w:r>
          </w:p>
        </w:tc>
        <w:tc>
          <w:tcPr>
            <w:tcW w:w="2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(15,179)</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09" w:lineRule="exact"/>
        <w:rPr>
          <w:sz w:val="20"/>
          <w:szCs w:val="20"/>
          <w:color w:val="auto"/>
        </w:rPr>
      </w:pPr>
    </w:p>
    <w:p>
      <w:pPr>
        <w:ind w:left="660" w:hanging="490"/>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NYMEX West Texas Intermediate crude oil.</w:t>
      </w:r>
    </w:p>
    <w:p>
      <w:pPr>
        <w:spacing w:after="0" w:line="109" w:lineRule="exact"/>
        <w:rPr>
          <w:rFonts w:ascii="Arial" w:cs="Arial" w:eastAsia="Arial" w:hAnsi="Arial"/>
          <w:sz w:val="14"/>
          <w:szCs w:val="14"/>
          <w:color w:val="auto"/>
        </w:rPr>
      </w:pPr>
    </w:p>
    <w:p>
      <w:pPr>
        <w:ind w:left="660" w:hanging="490"/>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Argus Louisiana Light Sweet crude oil.</w:t>
      </w:r>
    </w:p>
    <w:p>
      <w:pPr>
        <w:spacing w:after="0" w:line="113"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is a summary of the Company’s open three-way costless collar contracts for oil at March 31, 2018. Open three-way costless collars consist of a long put (the floor), a short call (the ceiling) and a long call that limits losses on the upside.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Notional</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Quantity</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Price, Short Call</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Price, Long Call</w:t>
            </w:r>
          </w:p>
        </w:tc>
        <w:tc>
          <w:tcPr>
            <w:tcW w:w="2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Asset (Liability)</w:t>
            </w:r>
          </w:p>
        </w:tc>
      </w:tr>
      <w:tr>
        <w:trPr>
          <w:trHeight w:val="234"/>
        </w:trPr>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Commodity</w:t>
            </w:r>
          </w:p>
        </w:tc>
        <w:tc>
          <w:tcPr>
            <w:tcW w:w="2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Calculation Period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(Bbl)</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Floor ($/Bbl)</w:t>
            </w: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($/Bbl)</w:t>
            </w:r>
          </w:p>
        </w:tc>
        <w:tc>
          <w:tcPr>
            <w:tcW w:w="300" w:type="dxa"/>
            <w:vAlign w:val="bottom"/>
          </w:tcPr>
          <w:p>
            <w:pPr>
              <w:spacing w:after="0"/>
              <w:rPr>
                <w:sz w:val="20"/>
                <w:szCs w:val="20"/>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($/Bbl)</w:t>
            </w:r>
          </w:p>
        </w:tc>
        <w:tc>
          <w:tcPr>
            <w:tcW w:w="22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13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13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Oil - WTI </w:t>
            </w:r>
            <w:r>
              <w:rPr>
                <w:rFonts w:ascii="Arial" w:cs="Arial" w:eastAsia="Arial" w:hAnsi="Arial"/>
                <w:sz w:val="25"/>
                <w:szCs w:val="25"/>
                <w:color w:val="auto"/>
                <w:vertAlign w:val="superscript"/>
              </w:rPr>
              <w:t>(1)</w:t>
            </w:r>
          </w:p>
        </w:tc>
        <w:tc>
          <w:tcPr>
            <w:tcW w:w="2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04/01/2018 - 12/31/2018</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1,440,000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37"/>
        </w:trPr>
        <w:tc>
          <w:tcPr>
            <w:tcW w:w="4020" w:type="dxa"/>
            <w:vAlign w:val="bottom"/>
            <w:gridSpan w:val="3"/>
          </w:tcPr>
          <w:p>
            <w:pPr>
              <w:ind w:left="380"/>
              <w:spacing w:after="0"/>
              <w:rPr>
                <w:sz w:val="20"/>
                <w:szCs w:val="20"/>
                <w:color w:val="auto"/>
              </w:rPr>
            </w:pPr>
            <w:r>
              <w:rPr>
                <w:rFonts w:ascii="Arial" w:cs="Arial" w:eastAsia="Arial" w:hAnsi="Arial"/>
                <w:sz w:val="18"/>
                <w:szCs w:val="18"/>
                <w:color w:val="auto"/>
                <w:w w:val="99"/>
              </w:rPr>
              <w:t>Total open three-way costless collar contracts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7"/>
        </w:trPr>
        <w:tc>
          <w:tcPr>
            <w:tcW w:w="1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09" w:lineRule="exact"/>
        <w:rPr>
          <w:sz w:val="20"/>
          <w:szCs w:val="20"/>
          <w:color w:val="auto"/>
        </w:rPr>
      </w:pPr>
    </w:p>
    <w:p>
      <w:pPr>
        <w:ind w:left="660" w:hanging="490"/>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NYMEX West Texas Intermediate crude oil.</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Company’s open basis swap contracts for oil at March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28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1"/>
              </w:rPr>
              <w:t>Asset</w:t>
            </w:r>
          </w:p>
        </w:tc>
      </w:tr>
      <w:tr>
        <w:trPr>
          <w:trHeight w:val="216"/>
        </w:trPr>
        <w:tc>
          <w:tcPr>
            <w:tcW w:w="28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Fixed Price</w:t>
            </w: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(Liability)</w:t>
            </w:r>
          </w:p>
        </w:tc>
      </w:tr>
      <w:tr>
        <w:trPr>
          <w:trHeight w:val="234"/>
        </w:trPr>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Commodity</w:t>
            </w:r>
          </w:p>
        </w:tc>
        <w:tc>
          <w:tcPr>
            <w:tcW w:w="3120" w:type="dxa"/>
            <w:vAlign w:val="bottom"/>
            <w:gridSpan w:val="2"/>
          </w:tcPr>
          <w:p>
            <w:pPr>
              <w:ind w:left="1080"/>
              <w:spacing w:after="0"/>
              <w:rPr>
                <w:sz w:val="20"/>
                <w:szCs w:val="20"/>
                <w:color w:val="auto"/>
              </w:rPr>
            </w:pPr>
            <w:r>
              <w:rPr>
                <w:rFonts w:ascii="Arial" w:cs="Arial" w:eastAsia="Arial" w:hAnsi="Arial"/>
                <w:sz w:val="18"/>
                <w:szCs w:val="18"/>
                <w:b w:val="1"/>
                <w:bCs w:val="1"/>
                <w:color w:val="auto"/>
              </w:rPr>
              <w:t>Calculation Period</w:t>
            </w:r>
          </w:p>
        </w:tc>
        <w:tc>
          <w:tcPr>
            <w:tcW w:w="2060" w:type="dxa"/>
            <w:vAlign w:val="bottom"/>
            <w:gridSpan w:val="2"/>
          </w:tcPr>
          <w:p>
            <w:pPr>
              <w:ind w:left="60"/>
              <w:spacing w:after="0"/>
              <w:rPr>
                <w:sz w:val="20"/>
                <w:szCs w:val="20"/>
                <w:color w:val="auto"/>
              </w:rPr>
            </w:pPr>
            <w:r>
              <w:rPr>
                <w:rFonts w:ascii="Arial" w:cs="Arial" w:eastAsia="Arial" w:hAnsi="Arial"/>
                <w:sz w:val="18"/>
                <w:szCs w:val="18"/>
                <w:b w:val="1"/>
                <w:bCs w:val="1"/>
                <w:color w:val="auto"/>
              </w:rPr>
              <w:t>Notional Quantity (Bbl)</w:t>
            </w:r>
          </w:p>
        </w:tc>
        <w:tc>
          <w:tcPr>
            <w:tcW w:w="30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($/Bbl)</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28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Basis Swaps</w:t>
            </w:r>
          </w:p>
        </w:tc>
        <w:tc>
          <w:tcPr>
            <w:tcW w:w="30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04/01/2018 - 12/31/2018</w:t>
            </w: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11,552</w:t>
            </w:r>
          </w:p>
        </w:tc>
      </w:tr>
      <w:tr>
        <w:trPr>
          <w:trHeight w:val="237"/>
        </w:trPr>
        <w:tc>
          <w:tcPr>
            <w:tcW w:w="2840" w:type="dxa"/>
            <w:vAlign w:val="bottom"/>
          </w:tcPr>
          <w:p>
            <w:pPr>
              <w:ind w:left="360"/>
              <w:spacing w:after="0"/>
              <w:rPr>
                <w:sz w:val="20"/>
                <w:szCs w:val="20"/>
                <w:color w:val="auto"/>
              </w:rPr>
            </w:pPr>
            <w:r>
              <w:rPr>
                <w:rFonts w:ascii="Arial" w:cs="Arial" w:eastAsia="Arial" w:hAnsi="Arial"/>
                <w:sz w:val="18"/>
                <w:szCs w:val="18"/>
                <w:color w:val="auto"/>
              </w:rPr>
              <w:t>Total open swap contracts</w:t>
            </w: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11,552</w:t>
            </w:r>
          </w:p>
        </w:tc>
      </w:tr>
      <w:tr>
        <w:trPr>
          <w:trHeight w:val="27"/>
        </w:trPr>
        <w:tc>
          <w:tcPr>
            <w:tcW w:w="58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Total open derivative financial instruments</w:t>
            </w: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r>
      <w:tr>
        <w:trPr>
          <w:trHeight w:val="20"/>
        </w:trPr>
        <w:tc>
          <w:tcPr>
            <w:tcW w:w="2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From time-to-time, we enter into derivative financial instruments with certain counterparties. These derivative financial instruments are subject to master netting arrangements, and all but one counterparty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 — Continued</w:t>
      </w:r>
    </w:p>
    <w:p>
      <w:pPr>
        <w:spacing w:after="0" w:line="364" w:lineRule="exact"/>
        <w:rPr>
          <w:sz w:val="20"/>
          <w:szCs w:val="20"/>
          <w:color w:val="auto"/>
        </w:rPr>
      </w:pPr>
    </w:p>
    <w:p>
      <w:pPr>
        <w:ind w:right="500" w:firstLine="468"/>
        <w:spacing w:after="0" w:line="360" w:lineRule="auto"/>
        <w:rPr>
          <w:sz w:val="20"/>
          <w:szCs w:val="20"/>
          <w:color w:val="auto"/>
        </w:rPr>
      </w:pPr>
      <w:r>
        <w:rPr>
          <w:rFonts w:ascii="Arial" w:cs="Arial" w:eastAsia="Arial" w:hAnsi="Arial"/>
          <w:sz w:val="16"/>
          <w:szCs w:val="16"/>
          <w:color w:val="auto"/>
        </w:rPr>
        <w:t>The following table presents the gross asset and liability fair values of the Company’s commodity price derivative financial instruments and the location of these balances in the interim unaudited condensed consolidated balance sheets as of March 31, 2018 and December 31, 2017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Gross amounts</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Net amounts</w:t>
            </w:r>
          </w:p>
        </w:tc>
      </w:tr>
      <w:tr>
        <w:trPr>
          <w:trHeight w:val="216"/>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netted in the</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presented in the</w:t>
            </w:r>
          </w:p>
        </w:tc>
      </w:tr>
      <w:tr>
        <w:trPr>
          <w:trHeight w:val="216"/>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condensed</w:t>
            </w: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condensed</w:t>
            </w:r>
          </w:p>
        </w:tc>
      </w:tr>
      <w:tr>
        <w:trPr>
          <w:trHeight w:val="216"/>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amounts</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consolidated</w:t>
            </w: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consolidated</w:t>
            </w:r>
          </w:p>
        </w:tc>
      </w:tr>
      <w:tr>
        <w:trPr>
          <w:trHeight w:val="194"/>
        </w:trPr>
        <w:tc>
          <w:tcPr>
            <w:tcW w:w="60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Derivative Instruments</w:t>
            </w:r>
          </w:p>
        </w:tc>
        <w:tc>
          <w:tcPr>
            <w:tcW w:w="280" w:type="dxa"/>
            <w:vAlign w:val="bottom"/>
          </w:tcPr>
          <w:p>
            <w:pPr>
              <w:spacing w:after="0"/>
              <w:rPr>
                <w:sz w:val="16"/>
                <w:szCs w:val="16"/>
                <w:color w:val="auto"/>
              </w:rPr>
            </w:pPr>
          </w:p>
        </w:tc>
        <w:tc>
          <w:tcPr>
            <w:tcW w:w="1560" w:type="dxa"/>
            <w:vAlign w:val="bottom"/>
            <w:gridSpan w:val="2"/>
          </w:tcPr>
          <w:p>
            <w:pPr>
              <w:jc w:val="center"/>
              <w:ind w:right="380"/>
              <w:spacing w:after="0" w:line="194" w:lineRule="exact"/>
              <w:rPr>
                <w:sz w:val="20"/>
                <w:szCs w:val="20"/>
                <w:color w:val="auto"/>
              </w:rPr>
            </w:pPr>
            <w:r>
              <w:rPr>
                <w:rFonts w:ascii="Arial" w:cs="Arial" w:eastAsia="Arial" w:hAnsi="Arial"/>
                <w:sz w:val="18"/>
                <w:szCs w:val="18"/>
                <w:b w:val="1"/>
                <w:bCs w:val="1"/>
                <w:color w:val="auto"/>
                <w:w w:val="86"/>
              </w:rPr>
              <w:t>recognized</w:t>
            </w:r>
          </w:p>
        </w:tc>
        <w:tc>
          <w:tcPr>
            <w:tcW w:w="200" w:type="dxa"/>
            <w:vAlign w:val="bottom"/>
          </w:tcPr>
          <w:p>
            <w:pPr>
              <w:spacing w:after="0"/>
              <w:rPr>
                <w:sz w:val="16"/>
                <w:szCs w:val="16"/>
                <w:color w:val="auto"/>
              </w:rPr>
            </w:pPr>
          </w:p>
        </w:tc>
        <w:tc>
          <w:tcPr>
            <w:tcW w:w="162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3"/>
              </w:rPr>
              <w:t>balance sheets</w:t>
            </w:r>
          </w:p>
        </w:tc>
        <w:tc>
          <w:tcPr>
            <w:tcW w:w="180" w:type="dxa"/>
            <w:vAlign w:val="bottom"/>
          </w:tcPr>
          <w:p>
            <w:pPr>
              <w:spacing w:after="0"/>
              <w:rPr>
                <w:sz w:val="16"/>
                <w:szCs w:val="16"/>
                <w:color w:val="auto"/>
              </w:rPr>
            </w:pPr>
          </w:p>
        </w:tc>
        <w:tc>
          <w:tcPr>
            <w:tcW w:w="1520" w:type="dxa"/>
            <w:vAlign w:val="bottom"/>
          </w:tcPr>
          <w:p>
            <w:pPr>
              <w:jc w:val="center"/>
              <w:ind w:right="90"/>
              <w:spacing w:after="0" w:line="194" w:lineRule="exact"/>
              <w:rPr>
                <w:sz w:val="20"/>
                <w:szCs w:val="20"/>
                <w:color w:val="auto"/>
              </w:rPr>
            </w:pPr>
            <w:r>
              <w:rPr>
                <w:rFonts w:ascii="Arial" w:cs="Arial" w:eastAsia="Arial" w:hAnsi="Arial"/>
                <w:sz w:val="18"/>
                <w:szCs w:val="18"/>
                <w:b w:val="1"/>
                <w:bCs w:val="1"/>
                <w:color w:val="auto"/>
                <w:w w:val="85"/>
              </w:rPr>
              <w:t>balance sheets</w:t>
            </w:r>
          </w:p>
        </w:tc>
      </w:tr>
      <w:tr>
        <w:trPr>
          <w:trHeight w:val="48"/>
        </w:trPr>
        <w:tc>
          <w:tcPr>
            <w:tcW w:w="40" w:type="dxa"/>
            <w:vAlign w:val="bottom"/>
            <w:tcBorders>
              <w:bottom w:val="single" w:sz="8" w:color="CCEEFF"/>
            </w:tcBorders>
          </w:tcPr>
          <w:p>
            <w:pPr>
              <w:spacing w:after="0"/>
              <w:rPr>
                <w:sz w:val="4"/>
                <w:szCs w:val="4"/>
                <w:color w:val="auto"/>
              </w:rPr>
            </w:pPr>
          </w:p>
        </w:tc>
        <w:tc>
          <w:tcPr>
            <w:tcW w:w="1780" w:type="dxa"/>
            <w:vAlign w:val="bottom"/>
            <w:tcBorders>
              <w:top w:val="single" w:sz="8" w:color="auto"/>
              <w:bottom w:val="single" w:sz="8" w:color="CCEEFF"/>
            </w:tcBorders>
          </w:tcPr>
          <w:p>
            <w:pPr>
              <w:spacing w:after="0"/>
              <w:rPr>
                <w:sz w:val="4"/>
                <w:szCs w:val="4"/>
                <w:color w:val="auto"/>
              </w:rPr>
            </w:pPr>
          </w:p>
        </w:tc>
        <w:tc>
          <w:tcPr>
            <w:tcW w:w="42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2018</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109,635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(109,155)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480</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(114,046)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109,155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(4,891)</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97"/>
        </w:trPr>
        <w:tc>
          <w:tcPr>
            <w:tcW w:w="40" w:type="dxa"/>
            <w:vAlign w:val="bottom"/>
            <w:tcBorders>
              <w:bottom w:val="single" w:sz="8" w:color="CCEEFF"/>
            </w:tcBorders>
          </w:tcPr>
          <w:p>
            <w:pPr>
              <w:spacing w:after="0"/>
              <w:rPr>
                <w:sz w:val="24"/>
                <w:szCs w:val="24"/>
                <w:color w:val="auto"/>
              </w:rPr>
            </w:pPr>
          </w:p>
        </w:tc>
        <w:tc>
          <w:tcPr>
            <w:tcW w:w="6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(4,823)</w:t>
            </w:r>
          </w:p>
        </w:tc>
      </w:tr>
      <w:tr>
        <w:trPr>
          <w:trHeight w:val="23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131,092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(129,902)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1,190</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129,902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(16,429)</w:t>
            </w:r>
          </w:p>
        </w:tc>
      </w:tr>
      <w:tr>
        <w:trPr>
          <w:trHeight w:val="257"/>
        </w:trPr>
        <w:tc>
          <w:tcPr>
            <w:tcW w:w="40" w:type="dxa"/>
            <w:vAlign w:val="bottom"/>
          </w:tcPr>
          <w:p>
            <w:pPr>
              <w:spacing w:after="0"/>
              <w:rPr>
                <w:sz w:val="22"/>
                <w:szCs w:val="22"/>
                <w:color w:val="auto"/>
              </w:rPr>
            </w:pPr>
          </w:p>
        </w:tc>
        <w:tc>
          <w:tcPr>
            <w:tcW w:w="602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(15,239)</w:t>
            </w:r>
          </w:p>
        </w:tc>
      </w:tr>
      <w:tr>
        <w:trPr>
          <w:trHeight w:val="20"/>
        </w:trPr>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following table summarizes the location and aggregate fair value of all derivative financial instruments recorded in the interim unaudited condensed consolidated statements of operations for the periods presented (in thousands). These derivative financial instruments are not designated as hedging instruments.</w:t>
      </w:r>
    </w:p>
    <w:p>
      <w:pPr>
        <w:spacing w:after="0" w:line="227" w:lineRule="exact"/>
        <w:rPr>
          <w:sz w:val="20"/>
          <w:szCs w:val="20"/>
          <w:color w:val="auto"/>
        </w:rPr>
      </w:pPr>
    </w:p>
    <w:p>
      <w:pPr>
        <w:ind w:left="98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4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Type of Instrument</w:t>
            </w:r>
          </w:p>
        </w:tc>
        <w:tc>
          <w:tcPr>
            <w:tcW w:w="5960" w:type="dxa"/>
            <w:vAlign w:val="bottom"/>
            <w:gridSpan w:val="2"/>
          </w:tcPr>
          <w:p>
            <w:pPr>
              <w:ind w:left="1360"/>
              <w:spacing w:after="0"/>
              <w:rPr>
                <w:sz w:val="20"/>
                <w:szCs w:val="20"/>
                <w:color w:val="auto"/>
              </w:rPr>
            </w:pPr>
            <w:r>
              <w:rPr>
                <w:rFonts w:ascii="Arial" w:cs="Arial" w:eastAsia="Arial" w:hAnsi="Arial"/>
                <w:sz w:val="14"/>
                <w:szCs w:val="14"/>
                <w:b w:val="1"/>
                <w:bCs w:val="1"/>
                <w:color w:val="auto"/>
              </w:rPr>
              <w:t>Location in Condensed Consolidated Statement of Operations</w:t>
            </w:r>
          </w:p>
        </w:tc>
        <w:tc>
          <w:tcPr>
            <w:tcW w:w="220" w:type="dxa"/>
            <w:vAlign w:val="bottom"/>
          </w:tcPr>
          <w:p>
            <w:pPr>
              <w:spacing w:after="0"/>
              <w:rPr>
                <w:sz w:val="22"/>
                <w:szCs w:val="22"/>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21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3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w:t>
            </w:r>
          </w:p>
        </w:tc>
        <w:tc>
          <w:tcPr>
            <w:tcW w:w="5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Oil</w:t>
            </w:r>
          </w:p>
        </w:tc>
        <w:tc>
          <w:tcPr>
            <w:tcW w:w="5960" w:type="dxa"/>
            <w:vAlign w:val="bottom"/>
            <w:gridSpan w:val="2"/>
          </w:tcPr>
          <w:p>
            <w:pPr>
              <w:ind w:left="720"/>
              <w:spacing w:after="0"/>
              <w:rPr>
                <w:sz w:val="20"/>
                <w:szCs w:val="20"/>
                <w:color w:val="auto"/>
              </w:rPr>
            </w:pPr>
            <w:r>
              <w:rPr>
                <w:rFonts w:ascii="Arial" w:cs="Arial" w:eastAsia="Arial" w:hAnsi="Arial"/>
                <w:sz w:val="18"/>
                <w:szCs w:val="18"/>
                <w:color w:val="auto"/>
              </w:rPr>
              <w:t>Revenues: Realized loss on derivatives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(4,309)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(1,635)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59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Revenues: Realized gain (loss) on 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7"/>
        </w:trPr>
        <w:tc>
          <w:tcPr>
            <w:tcW w:w="3540" w:type="dxa"/>
            <w:vAlign w:val="bottom"/>
          </w:tcPr>
          <w:p>
            <w:pPr>
              <w:ind w:left="600"/>
              <w:spacing w:after="0"/>
              <w:rPr>
                <w:sz w:val="20"/>
                <w:szCs w:val="20"/>
                <w:color w:val="auto"/>
              </w:rPr>
            </w:pPr>
            <w:r>
              <w:rPr>
                <w:rFonts w:ascii="Arial" w:cs="Arial" w:eastAsia="Arial" w:hAnsi="Arial"/>
                <w:sz w:val="18"/>
                <w:szCs w:val="18"/>
                <w:color w:val="auto"/>
              </w:rPr>
              <w:t>Realized loss on derivatives</w:t>
            </w:r>
          </w:p>
        </w:tc>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(2,219)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w:t>
            </w:r>
          </w:p>
        </w:tc>
        <w:tc>
          <w:tcPr>
            <w:tcW w:w="59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Revenues: Unrealized gain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17,780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Natural Gas</w:t>
            </w:r>
          </w:p>
        </w:tc>
        <w:tc>
          <w:tcPr>
            <w:tcW w:w="5960" w:type="dxa"/>
            <w:vAlign w:val="bottom"/>
            <w:gridSpan w:val="2"/>
          </w:tcPr>
          <w:p>
            <w:pPr>
              <w:ind w:left="720"/>
              <w:spacing w:after="0"/>
              <w:rPr>
                <w:sz w:val="20"/>
                <w:szCs w:val="20"/>
                <w:color w:val="auto"/>
              </w:rPr>
            </w:pPr>
            <w:r>
              <w:rPr>
                <w:rFonts w:ascii="Arial" w:cs="Arial" w:eastAsia="Arial" w:hAnsi="Arial"/>
                <w:sz w:val="18"/>
                <w:szCs w:val="18"/>
                <w:color w:val="auto"/>
              </w:rPr>
              <w:t>Revenues: Unrealized (loss) gain on derivatives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Unrealized gain on derivatives</w:t>
            </w:r>
          </w:p>
        </w:tc>
        <w:tc>
          <w:tcPr>
            <w:tcW w:w="5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20,631</w:t>
            </w:r>
          </w:p>
        </w:tc>
        <w:tc>
          <w:tcPr>
            <w:tcW w:w="0" w:type="dxa"/>
            <w:vAlign w:val="bottom"/>
          </w:tcPr>
          <w:p>
            <w:pPr>
              <w:spacing w:after="0"/>
              <w:rPr>
                <w:sz w:val="1"/>
                <w:szCs w:val="1"/>
                <w:color w:val="auto"/>
              </w:rPr>
            </w:pPr>
          </w:p>
        </w:tc>
      </w:tr>
      <w:tr>
        <w:trPr>
          <w:trHeight w:val="237"/>
        </w:trPr>
        <w:tc>
          <w:tcPr>
            <w:tcW w:w="3540" w:type="dxa"/>
            <w:vAlign w:val="bottom"/>
          </w:tcPr>
          <w:p>
            <w:pPr>
              <w:ind w:left="1140"/>
              <w:spacing w:after="0"/>
              <w:rPr>
                <w:sz w:val="20"/>
                <w:szCs w:val="20"/>
                <w:color w:val="auto"/>
              </w:rPr>
            </w:pPr>
            <w:r>
              <w:rPr>
                <w:rFonts w:ascii="Arial" w:cs="Arial" w:eastAsia="Arial" w:hAnsi="Arial"/>
                <w:sz w:val="18"/>
                <w:szCs w:val="18"/>
                <w:color w:val="auto"/>
              </w:rPr>
              <w:t>Total</w:t>
            </w:r>
          </w:p>
        </w:tc>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6,158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18,412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5840" w:type="dxa"/>
            <w:vAlign w:val="bottom"/>
            <w:vMerge w:val="restart"/>
          </w:tcPr>
          <w:p>
            <w:pPr>
              <w:ind w:left="20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8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36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Level 1 Unadjusted quoted prices for identical, unrestricted assets or liabilities in active markets.</w:t>
      </w:r>
    </w:p>
    <w:p>
      <w:pPr>
        <w:spacing w:after="0" w:line="117" w:lineRule="exact"/>
        <w:rPr>
          <w:sz w:val="20"/>
          <w:szCs w:val="20"/>
          <w:color w:val="auto"/>
        </w:rPr>
      </w:pPr>
    </w:p>
    <w:p>
      <w:pPr>
        <w:ind w:left="660" w:right="80" w:hanging="647"/>
        <w:spacing w:after="0" w:line="255"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 that reflect a company’s own market assumptions.</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tables summarize the valuation of the Company’s financial assets and liabilities that were accounted for at fair value on a recurring basis in accordance with the classifications provided above as of March 31, 2018 and December 31, 2017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Fair Value Measurements 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March 31, 2018 using</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6"/>
        </w:trPr>
        <w:tc>
          <w:tcPr>
            <w:tcW w:w="744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7"/>
                <w:szCs w:val="17"/>
                <w:color w:val="auto"/>
              </w:rPr>
            </w:pPr>
          </w:p>
        </w:tc>
        <w:tc>
          <w:tcPr>
            <w:tcW w:w="90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7"/>
                <w:szCs w:val="17"/>
                <w:color w:val="auto"/>
              </w:rPr>
            </w:pPr>
          </w:p>
        </w:tc>
        <w:tc>
          <w:tcPr>
            <w:tcW w:w="7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880" w:type="dxa"/>
            <w:vAlign w:val="bottom"/>
            <w:tcBorders>
              <w:top w:val="single" w:sz="8" w:color="auto"/>
              <w:bottom w:val="single" w:sz="8" w:color="CCEEFF"/>
            </w:tcBorders>
          </w:tcPr>
          <w:p>
            <w:pPr>
              <w:spacing w:after="0"/>
              <w:rPr>
                <w:sz w:val="4"/>
                <w:szCs w:val="4"/>
                <w:color w:val="auto"/>
              </w:rPr>
            </w:pPr>
          </w:p>
        </w:tc>
        <w:tc>
          <w:tcPr>
            <w:tcW w:w="6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Natural gas derivatives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480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r>
      <w:tr>
        <w:trPr>
          <w:trHeight w:val="237"/>
        </w:trPr>
        <w:tc>
          <w:tcPr>
            <w:tcW w:w="40" w:type="dxa"/>
            <w:vAlign w:val="bottom"/>
          </w:tcPr>
          <w:p>
            <w:pPr>
              <w:spacing w:after="0"/>
              <w:rPr>
                <w:sz w:val="20"/>
                <w:szCs w:val="20"/>
                <w:color w:val="auto"/>
              </w:rPr>
            </w:pPr>
          </w:p>
        </w:tc>
        <w:tc>
          <w:tcPr>
            <w:tcW w:w="740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Fair Value Measurements 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89"/>
              </w:rPr>
              <w:t>December 31, 2017 using</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6"/>
        </w:trPr>
        <w:tc>
          <w:tcPr>
            <w:tcW w:w="744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7"/>
                <w:szCs w:val="17"/>
                <w:color w:val="auto"/>
              </w:rPr>
            </w:pPr>
          </w:p>
        </w:tc>
        <w:tc>
          <w:tcPr>
            <w:tcW w:w="90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7"/>
                <w:szCs w:val="17"/>
                <w:color w:val="auto"/>
              </w:rPr>
            </w:pPr>
          </w:p>
        </w:tc>
        <w:tc>
          <w:tcPr>
            <w:tcW w:w="7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880" w:type="dxa"/>
            <w:vAlign w:val="bottom"/>
            <w:tcBorders>
              <w:top w:val="single" w:sz="8" w:color="auto"/>
              <w:bottom w:val="single" w:sz="8" w:color="CCEEFF"/>
            </w:tcBorders>
          </w:tcPr>
          <w:p>
            <w:pPr>
              <w:spacing w:after="0"/>
              <w:rPr>
                <w:sz w:val="4"/>
                <w:szCs w:val="4"/>
                <w:color w:val="auto"/>
              </w:rPr>
            </w:pPr>
          </w:p>
        </w:tc>
        <w:tc>
          <w:tcPr>
            <w:tcW w:w="6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340"/>
              <w:spacing w:after="0"/>
              <w:rPr>
                <w:sz w:val="20"/>
                <w:szCs w:val="20"/>
                <w:color w:val="auto"/>
              </w:rPr>
            </w:pPr>
            <w:r>
              <w:rPr>
                <w:rFonts w:ascii="Arial" w:cs="Arial" w:eastAsia="Arial" w:hAnsi="Arial"/>
                <w:sz w:val="18"/>
                <w:szCs w:val="18"/>
                <w:color w:val="auto"/>
              </w:rPr>
              <w:t>Natural gas derivatives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1,190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(16,429)</w:t>
            </w:r>
          </w:p>
        </w:tc>
      </w:tr>
      <w:tr>
        <w:trPr>
          <w:trHeight w:val="237"/>
        </w:trPr>
        <w:tc>
          <w:tcPr>
            <w:tcW w:w="40" w:type="dxa"/>
            <w:vAlign w:val="bottom"/>
          </w:tcPr>
          <w:p>
            <w:pPr>
              <w:spacing w:after="0"/>
              <w:rPr>
                <w:sz w:val="20"/>
                <w:szCs w:val="20"/>
                <w:color w:val="auto"/>
              </w:rPr>
            </w:pPr>
          </w:p>
        </w:tc>
        <w:tc>
          <w:tcPr>
            <w:tcW w:w="740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(15,239)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disclosures related to derivative financial instruments are provided in Note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7"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At March 31, 2018 and December 31, 2017, the carrying values reported on the interim unaudited condensed consolidated balance sheets for accounts receivable, prepaid expenses and other assets, accounts payable, accrued liabilities, royalties payable, amounts due to affiliates, advances from joint interest owners, amounts due to joint ventures and other current liabilities approximated their fair values due to their short-term maturities.</w:t>
      </w:r>
    </w:p>
    <w:p>
      <w:pPr>
        <w:spacing w:after="0" w:line="57"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At March 31, 2018 and December 31, 2017, the fair value of the Notes was $599.3 million and $614.1 million, respectively, based on quoted market prices, which represent Level 1 inputs in the fair value hierarchy.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Transportation and Salt Water Disposal Commitments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Delaware Basin — Loving County, Texas Natural Gas Processing</w:t>
      </w:r>
    </w:p>
    <w:p>
      <w:pPr>
        <w:spacing w:after="0" w:line="11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late 2015, the Company entered into a 15-year, fixed-fee natural gas gathering and processing agreement whereby the Company committed to deliver the anticipated natural gas production from a significant portion of its Loving County, Texas acreage in West Texas through the counterparty’s gathering system for processing at the counterparty’s facilities. Under this agreement, if the Company does not meet the volume commitment for transportation and processing at the facilities in a contract year, it will be required to pay a deficiency fee per MMBtu of natural gas deficiency. At the end of each year of the agreement, the Company can elect to have the previous year’s actual transportation and processing volumes be the new minimum commitment for each of the remaining years of the contract. As such, the Company has the ability to unilaterally reduce the gathering and processing commitment if the Company’s production in the Loving County area is less than the Company’s currently projected production. If the Company ceased operations in this area at March 31, 2018, the total deficiency fee required to be paid would be approximately $12.6 million. In addition, if the Company elects to reduce the gathering and processing commitment in any year, the Company has the ability to elect to increase the committed volumes in any future year to the originally agreed gathering and processing commitment. Any quantity in excess of the volume commitment delivered in a contract year can be carried over to the next contract year for purposes of calculating the natural gas deficiency. The Company paid approximately $3.5 million and $3.2 million in natural gas processing and gathering fees under this agreement during the three months ended March 31, 2018 and 2017, respectively. The Company can elect to either sell the residue gas to the counterparty at the tailgate of its processing plants or have the counterparty deliver to the Company the residue gas in-kind to be sold to third parties downstream of the plants.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Delaware Basin — Eddy County, New Mexico Natural Gas Transportation</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 late 2017, the Company entered into an 18-year, fixed-fee natural gas transportation agreement whereby the Company committed to deliver a portion of the residue natural gas production at the tailgate of San Mateo’s Black River cryogenic natural gas processing plant in the Rustler Breaks asset area (the “Black River Processing Plant”) to transport through the counterparty’s pipeline. Under this agreement, if the Company does not meet the volume commitment for transportation in a contract year, the Company will owe the fees to transport the committed volume whether or not the committed volume is utilized. The minimum contractual obligation at March 31, 2018 was approximately $58.8 million. The Company paid approximately $0.5 million in transportation fees under this agreement during the three months ended March 31, 2018.</w:t>
      </w:r>
    </w:p>
    <w:p>
      <w:pPr>
        <w:spacing w:after="0" w:line="7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In late 2017, the Company also entered into a fixed-fee NGL transportation and fractionation agreement whereby the Company committed to deliver its NGL production at the tailgate of the Black River Processing Plant. The Company is committed to deliver a minimum amount of NGLs to the counterparty upon construction and completion of a pipeline expansion and a fractionation facility by the counterparty, which is currently expected to be completed late in 2019. The Company has no rights to compel the counterparty to construct this pipeline extension or fractionation facility. If the counterparty does not construct the pipeline extension and fractionation facility, then the Company does not have any minimum volume commitments under the agreement. If the counterparty constructs the pipeline extension and fractionation facility on or prior to February 28, 2021, then the Company will have a commitment to deliver a minimum amount of NGLs for seven years following the completion of the pipeline extension and fractionation facility. If the Company does not meet its NGL volume commitment in any quarter during the seven-year commitment period, it will be required to pay a deficiency fee per gallon of NGL deficiency. Should the pipeline extension and fractionation facility be completed on or prior to February 28, 2021, the minimum contractual obligation during the seven-year period would be approximately $132.5 million.</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Delaware Basin — San Mateo</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February 2017, the Company dedicated its current and future leasehold interests in the Rustler Breaks and Wolf asset areas pursuant to 15-year, fixed-fee natural gas, oil and salt water gathering agreements and salt water disposal agreements. In addition, the Company dedicated its current and future leasehold interests in the Rustler Breaks asset area pursuant to a 15-year, fixed-fee natural gas processing agreement (collectively with the gathering and salt water disposal agreements, the “Operational Agreements”). San Mateo provides the Company with firm service under each of the Operational Agreements in exchange for certain minimum volume commitments. The minimum contractual obligation under the Operational Agreements at March 31, 2018 was approximately $225.6 million.</w:t>
      </w:r>
    </w:p>
    <w:p>
      <w:pPr>
        <w:spacing w:after="0" w:line="8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Beginning in May 2017, a subsidiary of San Mateo entered into certain agreements with third parties for the engineering, procurement, construction and installation of an expansion of the Black River Processing Plant. The expansion was completed late in the first quarter of 2018. San Mateo’s total commitments under these agreements are $55.3 million. The subsidiary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 — Continued</w:t>
      </w:r>
    </w:p>
    <w:p>
      <w:pPr>
        <w:spacing w:after="0" w:line="3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San Mateo paid approximately $2.4 million under these agreements during the three months ended March 31, 2018. As of March 31, 2018, the remaining obligations under these agreements were $3.1 million, which are expected to be paid within the next few months.</w:t>
      </w:r>
    </w:p>
    <w:p>
      <w:pPr>
        <w:spacing w:after="0" w:line="62"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During the first quarter of 2018, a subsidiary of San Mateo entered into agreements for additional field compression and an amine gas treatment unit to maximize the operation of the Black River Processing Plant. San Mateo’s total commitments under these agreements are $13.4 million. The subsidiary of San Mateo paid approximately $0.4 million under these agreements during the three months ended March 31, 2018. As of March 31, 2018, the remaining obligations under these agreements were $13.0 million, which are expected to be paid within the next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11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Company does not own or operate its own drilling rigs, but instead enters into contracts with third parties for such drilling rigs. These contracts establish daily rates for the drilling rigs and the term of the Company’s commitment for the drilling services to be provided. The Company would incur a termination obligation if the Company elected to terminate a contract and if the drilling contractor were unable to secure replacement work for the contracted drilling rigs at the same daily rates being charged to the Company prior to the end of their respective contract terms. The Company’s undiscounted minimum outstanding aggregate termination obligations under its drilling rig contracts were approximately $32.7 million at March 31, 2018.</w:t>
      </w:r>
    </w:p>
    <w:p>
      <w:pPr>
        <w:spacing w:after="0" w:line="50"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At March 31, 2018, the Company had outstanding commitments to participate in the drilling and completion of various non-operated wells. If all of these wells are drilled and completed as proposed, the Company’s minimum outstanding aggregate commitments for its participation in these non-operated wells were approximately $30.1 million at March 31, 2018. The Company expects these costs to be incurred within the next year.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Company is a party to several lawsuits encountered in the ordinary course of its business. While the ultimate outcome and impact to the Company cannot be predicted with certainty, in the opinion of management, it is remote that these lawsuits will have a material adverse impact on the Company’s financial condition, results of operations or cash flows.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SUPPLEMENTAL DISCLOSURES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Accrued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current accrued liabilities at March 31, 2018 and December 31, 2017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December 31, 2017</w:t>
            </w:r>
          </w:p>
        </w:tc>
      </w:tr>
      <w:tr>
        <w:trPr>
          <w:trHeight w:val="27"/>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evaluated and unproved and unevaluated property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105,347</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Accrued midstream property costs</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22,817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14,823</w:t>
            </w: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lease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12,611</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Accrued interest on debt</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18,228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8,345</w:t>
            </w: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asset retirement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Accrued partners’ share of joint interest charges</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26,109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27,628</w:t>
            </w: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4,418</w:t>
            </w:r>
          </w:p>
        </w:tc>
      </w:tr>
      <w:tr>
        <w:trPr>
          <w:trHeight w:val="237"/>
        </w:trPr>
        <w:tc>
          <w:tcPr>
            <w:tcW w:w="7720" w:type="dxa"/>
            <w:vAlign w:val="bottom"/>
          </w:tcPr>
          <w:p>
            <w:pPr>
              <w:ind w:left="68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191,233</w:t>
            </w:r>
          </w:p>
        </w:tc>
        <w:tc>
          <w:tcPr>
            <w:tcW w:w="12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174,348</w:t>
            </w:r>
          </w:p>
        </w:tc>
      </w:tr>
      <w:tr>
        <w:trPr>
          <w:trHeight w:val="27"/>
        </w:trPr>
        <w:tc>
          <w:tcPr>
            <w:tcW w:w="7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supplemental disclosures of cash flow information for the three months ended March 31, 2018 and 2017 (in thousands).</w:t>
      </w:r>
    </w:p>
    <w:p>
      <w:pPr>
        <w:spacing w:after="0" w:line="190"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r>
      <w:tr>
        <w:trPr>
          <w:trHeight w:val="241"/>
        </w:trPr>
        <w:tc>
          <w:tcPr>
            <w:tcW w:w="79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79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asset retirement obligations related to mineral properties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Decrease in asset retirement obligations related to midstream properties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7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Increase in liabilities for oil and natural gas properties capital expenditures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5,863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Increase (decrease) in liabilities for midstream properties capital expenditures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8,090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(6,329)</w:t>
            </w:r>
          </w:p>
        </w:tc>
      </w:tr>
      <w:tr>
        <w:trPr>
          <w:trHeight w:val="27"/>
        </w:trPr>
        <w:tc>
          <w:tcPr>
            <w:tcW w:w="7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recognized as liability</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Decrease in liabilities for accrued cost to issue equity</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7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of inventory (to) from oil and natural gas properties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Transfer of inventory to midstream and other property and equipment</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197"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209,705</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25,753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14,604</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and restricted cash</w:t>
            </w:r>
          </w:p>
        </w:tc>
        <w:tc>
          <w:tcPr>
            <w:tcW w:w="4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52,783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224,309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Arial" w:cs="Arial" w:eastAsia="Arial" w:hAnsi="Arial"/>
                <w:sz w:val="18"/>
                <w:szCs w:val="18"/>
                <w:color w:val="auto"/>
              </w:rPr>
              <w:t>18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2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125" w:right="4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36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Company operates in two business segments: (i) exploration and production and (ii) midstream. The exploration and production segment is engaged in the acquisition, exploration and development of oil and natural gas properties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and East Texas. The midstream segment conducts midstream operations in support of the Company’s exploration, development and production operations and provides natural gas processing, oil transportation services, natural gas, oil and salt water gathering services and salt water disposal services to third parties. Substantially all of the Company’s midstream operations in the Rustler Breaks and Wolf asset areas in the Delaware Basin are conducted through San Mateo.</w:t>
      </w:r>
    </w:p>
    <w:p>
      <w:pPr>
        <w:spacing w:after="0" w:line="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Production</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180,260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181,954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Realized loss on derivatives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10,416</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106,155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7,198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17,209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117,818</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80,263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73,362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1,902,151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323,536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50,018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2,275,705</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189,445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235,688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6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$53.2 million and $1.5 million for the exploration and production and midstream segments, respectively. Also includes corporate depletion, depreciation and amortization expenses of $0.6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$5.0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$22.4 million in capital expenditures attributable to non-controlling interest in subsidiaries related to the midstream segment.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Production</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2017</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114,165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114,847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Realized loss on derivatives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20,631</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68,339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15,755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80,536</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64,238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54,278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1,296,823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166,148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223,422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1,686,393</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208,373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12,880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222,717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60" w:hanging="332"/>
        <w:spacing w:after="0" w:line="27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$32.5 million and $1.2 million for the exploration and production and midstream segments, respectively. Also includes corporate depletion, depreciation and amortization expenses of $0.3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$1.9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$4.7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SUBSIDIARY GUARANTORS</w:t>
      </w:r>
    </w:p>
    <w:p>
      <w:pPr>
        <w:spacing w:after="0" w:line="364"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Matador’s Notes are jointly and severally guaranteed by certain subsidiaries of Matador (the “Guarantor Subsidiaries”) on a full and unconditional basis (except for customary release provisions). At March 31, 2018,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(the “Non-Guarantor Subsidiaries”) are not guarantors of the Notes.</w:t>
      </w:r>
    </w:p>
    <w:p>
      <w:pPr>
        <w:spacing w:after="0" w:line="6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following presents condensed consolidating financial information of the issuer (Matador), the Non-Guarantor Subsidiaries, the Guarantor Subsidiaries and all entities on a consolidated basis (in thousands). Elimination entries are necessary to combine the entities. This financial information is presented in accordance with the requirements of Rule 3-10 of Regulation S-X. The following financial information may not necessarily be indicative of results of operations, cash flows or financial position had the Guarantor Subsidiaries operated as independent entities.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Consolidating Balance Sheet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13335</wp:posOffset>
            </wp:positionV>
            <wp:extent cx="57886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88660" cy="17145"/>
                    </a:xfrm>
                    <a:prstGeom prst="rect">
                      <a:avLst/>
                    </a:prstGeom>
                    <a:noFill/>
                  </pic:spPr>
                </pic:pic>
              </a:graphicData>
            </a:graphic>
          </wp:anchor>
        </w:drawing>
      </w:r>
    </w:p>
    <w:p>
      <w:pPr>
        <w:spacing w:after="0" w:line="2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8"/>
              </w:rPr>
              <w:t>Eliminating</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Matador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Subsidiaries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Subsidiaries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Entries</w:t>
            </w:r>
          </w:p>
        </w:tc>
        <w:tc>
          <w:tcPr>
            <w:tcW w:w="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tcPr>
          <w:p>
            <w:pPr>
              <w:ind w:left="380"/>
              <w:spacing w:after="0"/>
              <w:rPr>
                <w:sz w:val="20"/>
                <w:szCs w:val="20"/>
                <w:color w:val="auto"/>
              </w:rPr>
            </w:pPr>
            <w:r>
              <w:rPr>
                <w:rFonts w:ascii="Arial" w:cs="Arial" w:eastAsia="Arial" w:hAnsi="Arial"/>
                <w:sz w:val="14"/>
                <w:szCs w:val="14"/>
                <w:color w:val="auto"/>
              </w:rPr>
              <w:t>Intercompany receivable</w:t>
            </w:r>
          </w:p>
        </w:tc>
        <w:tc>
          <w:tcPr>
            <w:tcW w:w="740" w:type="dxa"/>
            <w:vAlign w:val="bottom"/>
            <w:gridSpan w:val="4"/>
            <w:vMerge w:val="restart"/>
          </w:tcPr>
          <w:p>
            <w:pPr>
              <w:ind w:left="60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601,346</w:t>
            </w:r>
          </w:p>
        </w:tc>
        <w:tc>
          <w:tcPr>
            <w:tcW w:w="20" w:type="dxa"/>
            <w:vAlign w:val="bottom"/>
          </w:tcPr>
          <w:p>
            <w:pPr>
              <w:spacing w:after="0"/>
              <w:rPr>
                <w:sz w:val="16"/>
                <w:szCs w:val="16"/>
                <w:color w:val="auto"/>
              </w:rPr>
            </w:pPr>
          </w:p>
        </w:tc>
        <w:tc>
          <w:tcPr>
            <w:tcW w:w="280" w:type="dxa"/>
            <w:vAlign w:val="bottom"/>
            <w:gridSpan w:val="5"/>
            <w:vMerge w:val="restart"/>
          </w:tcPr>
          <w:p>
            <w:pPr>
              <w:ind w:left="1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487</w:t>
            </w:r>
          </w:p>
        </w:tc>
        <w:tc>
          <w:tcPr>
            <w:tcW w:w="40" w:type="dxa"/>
            <w:vAlign w:val="bottom"/>
          </w:tcPr>
          <w:p>
            <w:pPr>
              <w:spacing w:after="0"/>
              <w:rPr>
                <w:sz w:val="16"/>
                <w:szCs w:val="16"/>
                <w:color w:val="auto"/>
              </w:rPr>
            </w:pPr>
          </w:p>
        </w:tc>
        <w:tc>
          <w:tcPr>
            <w:tcW w:w="22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gridSpan w:val="5"/>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(601,833)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gridSpan w:val="5"/>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gridSpan w:val="4"/>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40" w:type="dxa"/>
            <w:vAlign w:val="bottom"/>
            <w:gridSpan w:val="5"/>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Third-party current assets</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292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30,637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176,049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206,978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tcPr>
          <w:p>
            <w:pPr>
              <w:ind w:left="380"/>
              <w:spacing w:after="0"/>
              <w:rPr>
                <w:sz w:val="20"/>
                <w:szCs w:val="20"/>
                <w:color w:val="auto"/>
              </w:rPr>
            </w:pPr>
            <w:r>
              <w:rPr>
                <w:rFonts w:ascii="Arial" w:cs="Arial" w:eastAsia="Arial" w:hAnsi="Arial"/>
                <w:sz w:val="14"/>
                <w:szCs w:val="14"/>
                <w:color w:val="auto"/>
              </w:rPr>
              <w:t>Net property and equipment</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267,651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1,794,083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2,061,734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subsidiaries</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1,216,908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136,713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(1,353,621)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3"/>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tcPr>
          <w:p>
            <w:pPr>
              <w:ind w:left="380"/>
              <w:spacing w:after="0"/>
              <w:rPr>
                <w:sz w:val="20"/>
                <w:szCs w:val="20"/>
                <w:color w:val="auto"/>
              </w:rPr>
            </w:pPr>
            <w:r>
              <w:rPr>
                <w:rFonts w:ascii="Arial" w:cs="Arial" w:eastAsia="Arial" w:hAnsi="Arial"/>
                <w:sz w:val="14"/>
                <w:szCs w:val="14"/>
                <w:color w:val="auto"/>
              </w:rPr>
              <w:t>Third-party long-term assets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6,444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3,504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(2,955)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6,993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0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CCEEFF"/>
            </w:tcBorders>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1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740" w:type="dxa"/>
            <w:vAlign w:val="bottom"/>
            <w:gridSpan w:val="4"/>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1,824,990</w:t>
            </w:r>
          </w:p>
        </w:tc>
        <w:tc>
          <w:tcPr>
            <w:tcW w:w="20" w:type="dxa"/>
            <w:vAlign w:val="bottom"/>
            <w:shd w:val="clear" w:color="auto" w:fill="CCEEFF"/>
          </w:tcPr>
          <w:p>
            <w:pPr>
              <w:spacing w:after="0"/>
              <w:rPr>
                <w:sz w:val="15"/>
                <w:szCs w:val="15"/>
                <w:color w:val="auto"/>
              </w:rPr>
            </w:pPr>
          </w:p>
        </w:tc>
        <w:tc>
          <w:tcPr>
            <w:tcW w:w="280" w:type="dxa"/>
            <w:vAlign w:val="bottom"/>
            <w:gridSpan w:val="5"/>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298,775</w:t>
            </w:r>
          </w:p>
        </w:tc>
        <w:tc>
          <w:tcPr>
            <w:tcW w:w="40" w:type="dxa"/>
            <w:vAlign w:val="bottom"/>
            <w:shd w:val="clear" w:color="auto" w:fill="CCEEFF"/>
          </w:tcPr>
          <w:p>
            <w:pPr>
              <w:spacing w:after="0"/>
              <w:rPr>
                <w:sz w:val="15"/>
                <w:szCs w:val="15"/>
                <w:color w:val="auto"/>
              </w:rPr>
            </w:pPr>
          </w:p>
        </w:tc>
        <w:tc>
          <w:tcPr>
            <w:tcW w:w="22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2,110,349</w:t>
            </w:r>
          </w:p>
        </w:tc>
        <w:tc>
          <w:tcPr>
            <w:tcW w:w="60" w:type="dxa"/>
            <w:vAlign w:val="bottom"/>
            <w:shd w:val="clear" w:color="auto" w:fill="CCEEFF"/>
          </w:tcPr>
          <w:p>
            <w:pPr>
              <w:spacing w:after="0"/>
              <w:rPr>
                <w:sz w:val="15"/>
                <w:szCs w:val="15"/>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(1,958,409)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2,275,705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100" w:type="dxa"/>
            <w:vAlign w:val="bottom"/>
            <w:shd w:val="clear" w:color="auto" w:fill="CCEEFF"/>
          </w:tcPr>
          <w:p>
            <w:pPr>
              <w:spacing w:after="0"/>
              <w:rPr>
                <w:sz w:val="5"/>
                <w:szCs w:val="5"/>
                <w:color w:val="auto"/>
              </w:rPr>
            </w:pPr>
          </w:p>
        </w:tc>
        <w:tc>
          <w:tcPr>
            <w:tcW w:w="740" w:type="dxa"/>
            <w:vAlign w:val="bottom"/>
            <w:gridSpan w:val="4"/>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gridSpan w:val="5"/>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4"/>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payable</w:t>
            </w:r>
          </w:p>
        </w:tc>
        <w:tc>
          <w:tcPr>
            <w:tcW w:w="740" w:type="dxa"/>
            <w:vAlign w:val="bottom"/>
            <w:gridSpan w:val="4"/>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80" w:type="dxa"/>
            <w:vAlign w:val="bottom"/>
            <w:gridSpan w:val="5"/>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601,833</w:t>
            </w:r>
          </w:p>
        </w:tc>
        <w:tc>
          <w:tcPr>
            <w:tcW w:w="60" w:type="dxa"/>
            <w:vAlign w:val="bottom"/>
            <w:shd w:val="clear" w:color="auto" w:fill="CCEEFF"/>
          </w:tcPr>
          <w:p>
            <w:pPr>
              <w:spacing w:after="0"/>
              <w:rPr>
                <w:sz w:val="16"/>
                <w:szCs w:val="16"/>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(601,833)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740" w:type="dxa"/>
            <w:vAlign w:val="bottom"/>
            <w:gridSpan w:val="4"/>
            <w:vMerge w:val="continue"/>
            <w:shd w:val="clear" w:color="auto" w:fill="CCEEFF"/>
          </w:tcPr>
          <w:p>
            <w:pPr>
              <w:spacing w:after="0"/>
              <w:rPr>
                <w:sz w:val="6"/>
                <w:szCs w:val="6"/>
                <w:color w:val="auto"/>
              </w:rPr>
            </w:pPr>
          </w:p>
        </w:tc>
        <w:tc>
          <w:tcPr>
            <w:tcW w:w="800" w:type="dxa"/>
            <w:vAlign w:val="bottom"/>
            <w:gridSpan w:val="3"/>
            <w:vMerge w:val="continue"/>
            <w:shd w:val="clear" w:color="auto" w:fill="CCEEFF"/>
          </w:tcPr>
          <w:p>
            <w:pPr>
              <w:spacing w:after="0"/>
              <w:rPr>
                <w:sz w:val="6"/>
                <w:szCs w:val="6"/>
                <w:color w:val="auto"/>
              </w:rPr>
            </w:pPr>
          </w:p>
        </w:tc>
        <w:tc>
          <w:tcPr>
            <w:tcW w:w="280" w:type="dxa"/>
            <w:vAlign w:val="bottom"/>
            <w:gridSpan w:val="5"/>
            <w:vMerge w:val="continue"/>
            <w:shd w:val="clear" w:color="auto" w:fill="CCEEFF"/>
          </w:tcPr>
          <w:p>
            <w:pPr>
              <w:spacing w:after="0"/>
              <w:rPr>
                <w:sz w:val="6"/>
                <w:szCs w:val="6"/>
                <w:color w:val="auto"/>
              </w:rPr>
            </w:pPr>
          </w:p>
        </w:tc>
        <w:tc>
          <w:tcPr>
            <w:tcW w:w="880" w:type="dxa"/>
            <w:vAlign w:val="bottom"/>
            <w:gridSpan w:val="3"/>
            <w:vMerge w:val="continue"/>
            <w:shd w:val="clear" w:color="auto" w:fill="CCEEFF"/>
          </w:tcPr>
          <w:p>
            <w:pPr>
              <w:spacing w:after="0"/>
              <w:rPr>
                <w:sz w:val="6"/>
                <w:szCs w:val="6"/>
                <w:color w:val="auto"/>
              </w:rPr>
            </w:pPr>
          </w:p>
        </w:tc>
        <w:tc>
          <w:tcPr>
            <w:tcW w:w="220" w:type="dxa"/>
            <w:vAlign w:val="bottom"/>
            <w:gridSpan w:val="4"/>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tcPr>
          <w:p>
            <w:pPr>
              <w:ind w:left="380"/>
              <w:spacing w:after="0"/>
              <w:rPr>
                <w:sz w:val="20"/>
                <w:szCs w:val="20"/>
                <w:color w:val="auto"/>
              </w:rPr>
            </w:pPr>
            <w:r>
              <w:rPr>
                <w:rFonts w:ascii="Arial" w:cs="Arial" w:eastAsia="Arial" w:hAnsi="Arial"/>
                <w:sz w:val="14"/>
                <w:szCs w:val="14"/>
                <w:color w:val="auto"/>
              </w:rPr>
              <w:t>Third-party current liabilities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18,626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28,113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260,027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(274)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306,492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unsecured notes payable</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574,118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574,118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3"/>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tcPr>
          <w:p>
            <w:pPr>
              <w:ind w:left="380"/>
              <w:spacing w:after="0"/>
              <w:rPr>
                <w:sz w:val="20"/>
                <w:szCs w:val="20"/>
                <w:color w:val="auto"/>
              </w:rPr>
            </w:pPr>
            <w:r>
              <w:rPr>
                <w:rFonts w:ascii="Arial" w:cs="Arial" w:eastAsia="Arial" w:hAnsi="Arial"/>
                <w:sz w:val="14"/>
                <w:szCs w:val="14"/>
                <w:color w:val="auto"/>
              </w:rPr>
              <w:t>Other third-party long-term liabilities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3,429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31,581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(2,681)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32,329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310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Total equity attributable to Matador Resources</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Company</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1,232,246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136,713</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1,216,908</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(1,353,621)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1,232,246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tcPr>
          <w:p>
            <w:pPr>
              <w:ind w:left="380"/>
              <w:spacing w:after="0"/>
              <w:rPr>
                <w:sz w:val="20"/>
                <w:szCs w:val="20"/>
                <w:color w:val="auto"/>
              </w:rPr>
            </w:pPr>
            <w:r>
              <w:rPr>
                <w:rFonts w:ascii="Arial" w:cs="Arial" w:eastAsia="Arial" w:hAnsi="Arial"/>
                <w:sz w:val="14"/>
                <w:szCs w:val="14"/>
                <w:color w:val="auto"/>
              </w:rPr>
              <w:t>Non-controlling interest in subsidiaries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130,520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gridSpan w:val="3"/>
            <w:vMerge w:val="restart"/>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130,520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0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gridSpan w:val="3"/>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1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equity</w:t>
            </w:r>
          </w:p>
        </w:tc>
        <w:tc>
          <w:tcPr>
            <w:tcW w:w="740" w:type="dxa"/>
            <w:vAlign w:val="bottom"/>
            <w:gridSpan w:val="4"/>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1,824,990</w:t>
            </w:r>
          </w:p>
        </w:tc>
        <w:tc>
          <w:tcPr>
            <w:tcW w:w="20" w:type="dxa"/>
            <w:vAlign w:val="bottom"/>
            <w:shd w:val="clear" w:color="auto" w:fill="CCEEFF"/>
          </w:tcPr>
          <w:p>
            <w:pPr>
              <w:spacing w:after="0"/>
              <w:rPr>
                <w:sz w:val="15"/>
                <w:szCs w:val="15"/>
                <w:color w:val="auto"/>
              </w:rPr>
            </w:pPr>
          </w:p>
        </w:tc>
        <w:tc>
          <w:tcPr>
            <w:tcW w:w="280" w:type="dxa"/>
            <w:vAlign w:val="bottom"/>
            <w:gridSpan w:val="5"/>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298,775</w:t>
            </w:r>
          </w:p>
        </w:tc>
        <w:tc>
          <w:tcPr>
            <w:tcW w:w="40" w:type="dxa"/>
            <w:vAlign w:val="bottom"/>
            <w:shd w:val="clear" w:color="auto" w:fill="CCEEFF"/>
          </w:tcPr>
          <w:p>
            <w:pPr>
              <w:spacing w:after="0"/>
              <w:rPr>
                <w:sz w:val="15"/>
                <w:szCs w:val="15"/>
                <w:color w:val="auto"/>
              </w:rPr>
            </w:pPr>
          </w:p>
        </w:tc>
        <w:tc>
          <w:tcPr>
            <w:tcW w:w="22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2,110,349</w:t>
            </w:r>
          </w:p>
        </w:tc>
        <w:tc>
          <w:tcPr>
            <w:tcW w:w="60" w:type="dxa"/>
            <w:vAlign w:val="bottom"/>
            <w:shd w:val="clear" w:color="auto" w:fill="CCEEFF"/>
          </w:tcPr>
          <w:p>
            <w:pPr>
              <w:spacing w:after="0"/>
              <w:rPr>
                <w:sz w:val="15"/>
                <w:szCs w:val="15"/>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(1,958,409)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2,275,705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100" w:type="dxa"/>
            <w:vAlign w:val="bottom"/>
            <w:shd w:val="clear" w:color="auto" w:fill="CCEEFF"/>
          </w:tcPr>
          <w:p>
            <w:pPr>
              <w:spacing w:after="0"/>
              <w:rPr>
                <w:sz w:val="5"/>
                <w:szCs w:val="5"/>
                <w:color w:val="auto"/>
              </w:rPr>
            </w:pPr>
          </w:p>
        </w:tc>
        <w:tc>
          <w:tcPr>
            <w:tcW w:w="740" w:type="dxa"/>
            <w:vAlign w:val="bottom"/>
            <w:gridSpan w:val="4"/>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gridSpan w:val="5"/>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4"/>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700" w:type="dxa"/>
            <w:vAlign w:val="bottom"/>
            <w:gridSpan w:val="15"/>
          </w:tcPr>
          <w:p>
            <w:pPr>
              <w:jc w:val="center"/>
              <w:ind w:left="128"/>
              <w:spacing w:after="0"/>
              <w:rPr>
                <w:sz w:val="20"/>
                <w:szCs w:val="20"/>
                <w:color w:val="auto"/>
              </w:rPr>
            </w:pPr>
            <w:r>
              <w:rPr>
                <w:rFonts w:ascii="Arial" w:cs="Arial" w:eastAsia="Arial" w:hAnsi="Arial"/>
                <w:sz w:val="14"/>
                <w:szCs w:val="14"/>
                <w:b w:val="1"/>
                <w:bCs w:val="1"/>
                <w:color w:val="auto"/>
                <w:w w:val="90"/>
              </w:rPr>
              <w:t>Condensed Consolidating Balance Sheet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11"/>
          </w:tcPr>
          <w:p>
            <w:pPr>
              <w:jc w:val="center"/>
              <w:ind w:right="52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8"/>
              </w:rPr>
              <w:t>Eliminating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Matador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Subsidiaries</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Subsidiaries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6"/>
              </w:rPr>
              <w:t>Entries</w:t>
            </w: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tcPr>
          <w:p>
            <w:pPr>
              <w:ind w:left="340"/>
              <w:spacing w:after="0"/>
              <w:rPr>
                <w:sz w:val="20"/>
                <w:szCs w:val="20"/>
                <w:color w:val="auto"/>
              </w:rPr>
            </w:pPr>
            <w:r>
              <w:rPr>
                <w:rFonts w:ascii="Arial" w:cs="Arial" w:eastAsia="Arial" w:hAnsi="Arial"/>
                <w:sz w:val="14"/>
                <w:szCs w:val="14"/>
                <w:color w:val="auto"/>
              </w:rPr>
              <w:t>Intercompany receivable</w:t>
            </w:r>
          </w:p>
        </w:tc>
        <w:tc>
          <w:tcPr>
            <w:tcW w:w="74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585,109</w:t>
            </w:r>
          </w:p>
        </w:tc>
        <w:tc>
          <w:tcPr>
            <w:tcW w:w="280" w:type="dxa"/>
            <w:vAlign w:val="bottom"/>
            <w:gridSpan w:val="5"/>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2,912</w:t>
            </w:r>
          </w:p>
        </w:tc>
        <w:tc>
          <w:tcPr>
            <w:tcW w:w="40" w:type="dxa"/>
            <w:vAlign w:val="bottom"/>
          </w:tcPr>
          <w:p>
            <w:pPr>
              <w:spacing w:after="0"/>
              <w:rPr>
                <w:sz w:val="16"/>
                <w:szCs w:val="16"/>
                <w:color w:val="auto"/>
              </w:rPr>
            </w:pPr>
          </w:p>
        </w:tc>
        <w:tc>
          <w:tcPr>
            <w:tcW w:w="220" w:type="dxa"/>
            <w:vAlign w:val="bottom"/>
            <w:gridSpan w:val="4"/>
            <w:vMerge w:val="restart"/>
          </w:tcPr>
          <w:p>
            <w:pPr>
              <w:ind w:left="14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gridSpan w:val="5"/>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(588,021)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80" w:type="dxa"/>
            <w:vAlign w:val="bottom"/>
            <w:gridSpan w:val="5"/>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gridSpan w:val="4"/>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40" w:type="dxa"/>
            <w:vAlign w:val="bottom"/>
            <w:gridSpan w:val="5"/>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Third-party current assets</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2,240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9,334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245,596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257,170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3"/>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tcPr>
          <w:p>
            <w:pPr>
              <w:ind w:left="340"/>
              <w:spacing w:after="0"/>
              <w:rPr>
                <w:sz w:val="20"/>
                <w:szCs w:val="20"/>
                <w:color w:val="auto"/>
              </w:rPr>
            </w:pPr>
            <w:r>
              <w:rPr>
                <w:rFonts w:ascii="Arial" w:cs="Arial" w:eastAsia="Arial" w:hAnsi="Arial"/>
                <w:sz w:val="14"/>
                <w:szCs w:val="14"/>
                <w:color w:val="auto"/>
              </w:rPr>
              <w:t>Net property and equipment</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223,178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1,658,278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1,881,456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Investment in subsidiaries</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1,147,295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111,077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(1,258,372)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3"/>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3"/>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tcPr>
          <w:p>
            <w:pPr>
              <w:ind w:left="340"/>
              <w:spacing w:after="0"/>
              <w:rPr>
                <w:sz w:val="20"/>
                <w:szCs w:val="20"/>
                <w:color w:val="auto"/>
              </w:rPr>
            </w:pPr>
            <w:r>
              <w:rPr>
                <w:rFonts w:ascii="Arial" w:cs="Arial" w:eastAsia="Arial" w:hAnsi="Arial"/>
                <w:sz w:val="14"/>
                <w:szCs w:val="14"/>
                <w:color w:val="auto"/>
              </w:rPr>
              <w:t>Third-party long-term assets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6,425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3,642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(3,003)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7,064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310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3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Total assets</w:t>
            </w:r>
          </w:p>
        </w:tc>
        <w:tc>
          <w:tcPr>
            <w:tcW w:w="7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1,741,069</w:t>
            </w:r>
          </w:p>
        </w:tc>
        <w:tc>
          <w:tcPr>
            <w:tcW w:w="28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235,424</w:t>
            </w:r>
          </w:p>
        </w:tc>
        <w:tc>
          <w:tcPr>
            <w:tcW w:w="40" w:type="dxa"/>
            <w:vAlign w:val="bottom"/>
            <w:shd w:val="clear" w:color="auto" w:fill="CCEEFF"/>
          </w:tcPr>
          <w:p>
            <w:pPr>
              <w:spacing w:after="0"/>
              <w:rPr>
                <w:sz w:val="15"/>
                <w:szCs w:val="15"/>
                <w:color w:val="auto"/>
              </w:rPr>
            </w:pPr>
          </w:p>
        </w:tc>
        <w:tc>
          <w:tcPr>
            <w:tcW w:w="220" w:type="dxa"/>
            <w:vAlign w:val="bottom"/>
            <w:gridSpan w:val="4"/>
            <w:vMerge w:val="restart"/>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2,018,593</w:t>
            </w: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(1,849,396)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2,145,690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3100" w:type="dxa"/>
            <w:vAlign w:val="bottom"/>
            <w:shd w:val="clear" w:color="auto" w:fill="CCEEFF"/>
          </w:tcPr>
          <w:p>
            <w:pPr>
              <w:spacing w:after="0"/>
              <w:rPr>
                <w:sz w:val="5"/>
                <w:szCs w:val="5"/>
                <w:color w:val="auto"/>
              </w:rPr>
            </w:pPr>
          </w:p>
        </w:tc>
        <w:tc>
          <w:tcPr>
            <w:tcW w:w="740" w:type="dxa"/>
            <w:vAlign w:val="bottom"/>
            <w:gridSpan w:val="4"/>
            <w:vMerge w:val="continue"/>
            <w:shd w:val="clear" w:color="auto" w:fill="CCEEFF"/>
          </w:tcPr>
          <w:p>
            <w:pPr>
              <w:spacing w:after="0"/>
              <w:rPr>
                <w:sz w:val="5"/>
                <w:szCs w:val="5"/>
                <w:color w:val="auto"/>
              </w:rPr>
            </w:pPr>
          </w:p>
        </w:tc>
        <w:tc>
          <w:tcPr>
            <w:tcW w:w="800" w:type="dxa"/>
            <w:vAlign w:val="bottom"/>
            <w:gridSpan w:val="3"/>
            <w:vMerge w:val="continue"/>
            <w:shd w:val="clear" w:color="auto" w:fill="CCEEFF"/>
          </w:tcPr>
          <w:p>
            <w:pPr>
              <w:spacing w:after="0"/>
              <w:rPr>
                <w:sz w:val="5"/>
                <w:szCs w:val="5"/>
                <w:color w:val="auto"/>
              </w:rPr>
            </w:pPr>
          </w:p>
        </w:tc>
        <w:tc>
          <w:tcPr>
            <w:tcW w:w="280" w:type="dxa"/>
            <w:vAlign w:val="bottom"/>
            <w:gridSpan w:val="5"/>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4"/>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shd w:val="clear" w:color="auto" w:fill="CCEEFF"/>
          </w:tcPr>
          <w:p>
            <w:pPr>
              <w:spacing w:after="0"/>
              <w:rPr>
                <w:sz w:val="16"/>
                <w:szCs w:val="16"/>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Intercompany payable</w:t>
            </w:r>
          </w:p>
        </w:tc>
        <w:tc>
          <w:tcPr>
            <w:tcW w:w="7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gridSpan w:val="4"/>
            <w:vMerge w:val="restart"/>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588,021</w:t>
            </w: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(588,021)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740" w:type="dxa"/>
            <w:vAlign w:val="bottom"/>
            <w:gridSpan w:val="4"/>
            <w:vMerge w:val="continue"/>
            <w:shd w:val="clear" w:color="auto" w:fill="CCEEFF"/>
          </w:tcPr>
          <w:p>
            <w:pPr>
              <w:spacing w:after="0"/>
              <w:rPr>
                <w:sz w:val="6"/>
                <w:szCs w:val="6"/>
                <w:color w:val="auto"/>
              </w:rPr>
            </w:pPr>
          </w:p>
        </w:tc>
        <w:tc>
          <w:tcPr>
            <w:tcW w:w="800" w:type="dxa"/>
            <w:vAlign w:val="bottom"/>
            <w:gridSpan w:val="3"/>
            <w:vMerge w:val="continue"/>
            <w:shd w:val="clear" w:color="auto" w:fill="CCEEFF"/>
          </w:tcPr>
          <w:p>
            <w:pPr>
              <w:spacing w:after="0"/>
              <w:rPr>
                <w:sz w:val="6"/>
                <w:szCs w:val="6"/>
                <w:color w:val="auto"/>
              </w:rPr>
            </w:pPr>
          </w:p>
        </w:tc>
        <w:tc>
          <w:tcPr>
            <w:tcW w:w="280" w:type="dxa"/>
            <w:vAlign w:val="bottom"/>
            <w:gridSpan w:val="5"/>
            <w:vMerge w:val="continue"/>
            <w:shd w:val="clear" w:color="auto" w:fill="CCEEFF"/>
          </w:tcPr>
          <w:p>
            <w:pPr>
              <w:spacing w:after="0"/>
              <w:rPr>
                <w:sz w:val="6"/>
                <w:szCs w:val="6"/>
                <w:color w:val="auto"/>
              </w:rPr>
            </w:pPr>
          </w:p>
        </w:tc>
        <w:tc>
          <w:tcPr>
            <w:tcW w:w="880" w:type="dxa"/>
            <w:vAlign w:val="bottom"/>
            <w:gridSpan w:val="3"/>
            <w:vMerge w:val="continue"/>
            <w:shd w:val="clear" w:color="auto" w:fill="CCEEFF"/>
          </w:tcPr>
          <w:p>
            <w:pPr>
              <w:spacing w:after="0"/>
              <w:rPr>
                <w:sz w:val="6"/>
                <w:szCs w:val="6"/>
                <w:color w:val="auto"/>
              </w:rPr>
            </w:pPr>
          </w:p>
        </w:tc>
        <w:tc>
          <w:tcPr>
            <w:tcW w:w="220" w:type="dxa"/>
            <w:vAlign w:val="bottom"/>
            <w:gridSpan w:val="4"/>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tcPr>
          <w:p>
            <w:pPr>
              <w:ind w:left="340"/>
              <w:spacing w:after="0"/>
              <w:rPr>
                <w:sz w:val="20"/>
                <w:szCs w:val="20"/>
                <w:color w:val="auto"/>
              </w:rPr>
            </w:pPr>
            <w:r>
              <w:rPr>
                <w:rFonts w:ascii="Arial" w:cs="Arial" w:eastAsia="Arial" w:hAnsi="Arial"/>
                <w:sz w:val="14"/>
                <w:szCs w:val="14"/>
                <w:color w:val="auto"/>
              </w:rPr>
              <w:t>Third-party current liabilities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8,847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19,891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254,142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282,606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Senior unsecured notes payable</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574,073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574,073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3"/>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3"/>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tcPr>
          <w:p>
            <w:pPr>
              <w:ind w:left="340"/>
              <w:spacing w:after="0"/>
              <w:rPr>
                <w:sz w:val="20"/>
                <w:szCs w:val="20"/>
                <w:color w:val="auto"/>
              </w:rPr>
            </w:pPr>
            <w:r>
              <w:rPr>
                <w:rFonts w:ascii="Arial" w:cs="Arial" w:eastAsia="Arial" w:hAnsi="Arial"/>
                <w:sz w:val="14"/>
                <w:szCs w:val="14"/>
                <w:color w:val="auto"/>
              </w:rPr>
              <w:t>Other third-party long-term liabilities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1,593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3,466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29,135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(2,729)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31,465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5"/>
              </w:rPr>
              <w:t>Total equity attributable to Matador Resources</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Company</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1,156,556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111,077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1,147,295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(1,258,372)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1,156,556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tcPr>
          <w:p>
            <w:pPr>
              <w:ind w:left="340"/>
              <w:spacing w:after="0"/>
              <w:rPr>
                <w:sz w:val="20"/>
                <w:szCs w:val="20"/>
                <w:color w:val="auto"/>
              </w:rPr>
            </w:pPr>
            <w:r>
              <w:rPr>
                <w:rFonts w:ascii="Arial" w:cs="Arial" w:eastAsia="Arial" w:hAnsi="Arial"/>
                <w:sz w:val="14"/>
                <w:szCs w:val="14"/>
                <w:color w:val="auto"/>
              </w:rPr>
              <w:t>Non-controlling interest in subsidiaries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100,990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100,990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310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80" w:type="dxa"/>
            <w:vAlign w:val="bottom"/>
            <w:tcBorders>
              <w:bottom w:val="single" w:sz="8" w:color="CCEEFF"/>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3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Total liabilities and equity</w:t>
            </w:r>
          </w:p>
        </w:tc>
        <w:tc>
          <w:tcPr>
            <w:tcW w:w="600" w:type="dxa"/>
            <w:vAlign w:val="bottom"/>
            <w:gridSpan w:val="3"/>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1,741,069</w:t>
            </w:r>
          </w:p>
        </w:tc>
        <w:tc>
          <w:tcPr>
            <w:tcW w:w="60" w:type="dxa"/>
            <w:vAlign w:val="bottom"/>
            <w:gridSpan w:val="2"/>
            <w:vMerge w:val="restart"/>
            <w:shd w:val="clear" w:color="auto" w:fill="CCEEFF"/>
          </w:tcPr>
          <w:p>
            <w:pPr>
              <w:spacing w:after="0"/>
              <w:rPr>
                <w:sz w:val="15"/>
                <w:szCs w:val="15"/>
                <w:color w:val="auto"/>
              </w:rPr>
            </w:pPr>
          </w:p>
        </w:tc>
        <w:tc>
          <w:tcPr>
            <w:tcW w:w="100" w:type="dxa"/>
            <w:vAlign w:val="bottom"/>
            <w:gridSpan w:val="2"/>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235,424</w:t>
            </w:r>
          </w:p>
        </w:tc>
        <w:tc>
          <w:tcPr>
            <w:tcW w:w="40" w:type="dxa"/>
            <w:vAlign w:val="bottom"/>
            <w:shd w:val="clear" w:color="auto" w:fill="CCEEFF"/>
          </w:tcPr>
          <w:p>
            <w:pPr>
              <w:spacing w:after="0"/>
              <w:rPr>
                <w:sz w:val="15"/>
                <w:szCs w:val="15"/>
                <w:color w:val="auto"/>
              </w:rPr>
            </w:pPr>
          </w:p>
        </w:tc>
        <w:tc>
          <w:tcPr>
            <w:tcW w:w="120" w:type="dxa"/>
            <w:vAlign w:val="bottom"/>
            <w:gridSpan w:val="3"/>
            <w:vMerge w:val="restart"/>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2,018,593</w:t>
            </w:r>
          </w:p>
        </w:tc>
        <w:tc>
          <w:tcPr>
            <w:tcW w:w="40" w:type="dxa"/>
            <w:vAlign w:val="bottom"/>
            <w:vMerge w:val="restart"/>
            <w:shd w:val="clear" w:color="auto" w:fill="CCEEFF"/>
          </w:tcPr>
          <w:p>
            <w:pPr>
              <w:spacing w:after="0"/>
              <w:rPr>
                <w:sz w:val="15"/>
                <w:szCs w:val="15"/>
                <w:color w:val="auto"/>
              </w:rPr>
            </w:pPr>
          </w:p>
        </w:tc>
        <w:tc>
          <w:tcPr>
            <w:tcW w:w="100" w:type="dxa"/>
            <w:vAlign w:val="bottom"/>
            <w:gridSpan w:val="3"/>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(1,849,396)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vMerge w:val="restart"/>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2,145,690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Borders>
              <w:bottom w:val="single" w:sz="8" w:color="CCEEFF"/>
            </w:tcBorders>
            <w:shd w:val="clear" w:color="auto" w:fill="CCEEFF"/>
          </w:tcPr>
          <w:p>
            <w:pPr>
              <w:spacing w:after="0"/>
              <w:rPr>
                <w:sz w:val="5"/>
                <w:szCs w:val="5"/>
                <w:color w:val="auto"/>
              </w:rPr>
            </w:pPr>
          </w:p>
        </w:tc>
        <w:tc>
          <w:tcPr>
            <w:tcW w:w="3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CCEEFF"/>
            </w:tcBorders>
            <w:gridSpan w:val="3"/>
            <w:vMerge w:val="continue"/>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gridSpan w:val="3"/>
            <w:vMerge w:val="continue"/>
            <w:shd w:val="clear" w:color="auto" w:fill="CCEEFF"/>
          </w:tcPr>
          <w:p>
            <w:pPr>
              <w:spacing w:after="0"/>
              <w:rPr>
                <w:sz w:val="5"/>
                <w:szCs w:val="5"/>
                <w:color w:val="auto"/>
              </w:rPr>
            </w:pPr>
          </w:p>
        </w:tc>
        <w:tc>
          <w:tcPr>
            <w:tcW w:w="60" w:type="dxa"/>
            <w:vAlign w:val="bottom"/>
            <w:tcBorders>
              <w:bottom w:val="single" w:sz="8" w:color="auto"/>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gridSpan w:val="2"/>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gridSpan w:val="3"/>
            <w:vMerge w:val="continue"/>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gridSpan w:val="2"/>
            <w:vMerge w:val="continue"/>
            <w:shd w:val="clear" w:color="auto" w:fill="CCEEFF"/>
          </w:tcPr>
          <w:p>
            <w:pPr>
              <w:spacing w:after="0"/>
              <w:rPr>
                <w:sz w:val="5"/>
                <w:szCs w:val="5"/>
                <w:color w:val="auto"/>
              </w:rPr>
            </w:pPr>
          </w:p>
        </w:tc>
        <w:tc>
          <w:tcPr>
            <w:tcW w:w="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gridSpan w:val="3"/>
            <w:vMerge w:val="continue"/>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920" w:type="dxa"/>
            <w:vAlign w:val="bottom"/>
            <w:tcBorders>
              <w:bottom w:val="single" w:sz="8" w:color="auto"/>
            </w:tcBorders>
            <w:gridSpan w:val="2"/>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0" w:type="dxa"/>
            <w:vAlign w:val="bottom"/>
          </w:tcPr>
          <w:p>
            <w:pPr>
              <w:spacing w:after="0"/>
              <w:rPr>
                <w:sz w:val="23"/>
                <w:szCs w:val="23"/>
                <w:color w:val="auto"/>
              </w:rPr>
            </w:pPr>
          </w:p>
        </w:tc>
        <w:tc>
          <w:tcPr>
            <w:tcW w:w="6880" w:type="dxa"/>
            <w:vAlign w:val="bottom"/>
            <w:gridSpan w:val="22"/>
          </w:tcPr>
          <w:p>
            <w:pPr>
              <w:jc w:val="center"/>
              <w:ind w:left="2148"/>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19"/>
          </w:tcPr>
          <w:p>
            <w:pPr>
              <w:jc w:val="center"/>
              <w:spacing w:after="0"/>
              <w:rPr>
                <w:sz w:val="20"/>
                <w:szCs w:val="20"/>
                <w:color w:val="auto"/>
              </w:rPr>
            </w:pPr>
            <w:r>
              <w:rPr>
                <w:rFonts w:ascii="Arial" w:cs="Arial" w:eastAsia="Arial" w:hAnsi="Arial"/>
                <w:sz w:val="14"/>
                <w:szCs w:val="14"/>
                <w:b w:val="1"/>
                <w:bCs w:val="1"/>
                <w:color w:val="auto"/>
                <w:w w:val="94"/>
              </w:rPr>
              <w:t>For the Three Months Ended March 31, 2018</w:t>
            </w: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Matador</w:t>
            </w:r>
          </w:p>
        </w:tc>
        <w:tc>
          <w:tcPr>
            <w:tcW w:w="20" w:type="dxa"/>
            <w:vAlign w:val="bottom"/>
          </w:tcPr>
          <w:p>
            <w:pPr>
              <w:spacing w:after="0"/>
              <w:rPr>
                <w:sz w:val="13"/>
                <w:szCs w:val="13"/>
                <w:color w:val="auto"/>
              </w:rPr>
            </w:pPr>
          </w:p>
        </w:tc>
        <w:tc>
          <w:tcPr>
            <w:tcW w:w="1140" w:type="dxa"/>
            <w:vAlign w:val="bottom"/>
            <w:gridSpan w:val="7"/>
          </w:tcPr>
          <w:p>
            <w:pPr>
              <w:ind w:left="20"/>
              <w:spacing w:after="0" w:line="153"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right"/>
              <w:ind w:right="220"/>
              <w:spacing w:after="0" w:line="153" w:lineRule="exact"/>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40" w:type="dxa"/>
            <w:vAlign w:val="bottom"/>
          </w:tcPr>
          <w:p>
            <w:pPr>
              <w:spacing w:after="0"/>
              <w:rPr>
                <w:sz w:val="13"/>
                <w:szCs w:val="1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5"/>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Entries</w:t>
            </w: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17,194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4"/>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186,480</w:t>
            </w:r>
          </w:p>
        </w:tc>
        <w:tc>
          <w:tcPr>
            <w:tcW w:w="60" w:type="dxa"/>
            <w:vAlign w:val="bottom"/>
            <w:shd w:val="clear" w:color="auto" w:fill="CCEEFF"/>
          </w:tcPr>
          <w:p>
            <w:pPr>
              <w:spacing w:after="0"/>
              <w:rPr>
                <w:sz w:val="16"/>
                <w:szCs w:val="16"/>
                <w:color w:val="auto"/>
              </w:rPr>
            </w:pPr>
          </w:p>
        </w:tc>
        <w:tc>
          <w:tcPr>
            <w:tcW w:w="240" w:type="dxa"/>
            <w:vAlign w:val="bottom"/>
            <w:gridSpan w:val="5"/>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(12,494)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191,180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5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3"/>
            <w:vMerge w:val="continue"/>
            <w:shd w:val="clear" w:color="auto" w:fill="CCEEFF"/>
          </w:tcPr>
          <w:p>
            <w:pPr>
              <w:spacing w:after="0"/>
              <w:rPr>
                <w:sz w:val="6"/>
                <w:szCs w:val="6"/>
                <w:color w:val="auto"/>
              </w:rPr>
            </w:pPr>
          </w:p>
        </w:tc>
        <w:tc>
          <w:tcPr>
            <w:tcW w:w="1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gridSpan w:val="4"/>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Total expenses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1,234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6,928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122,150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(12,494)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117,818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310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(loss) income</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10,266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64,330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73,362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(8,491)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(8,491)</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3"/>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rPr>
              <w:t>Earnings in subsidiaries</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69,613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(74,849)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040" w:type="dxa"/>
            <w:vAlign w:val="bottom"/>
            <w:tcBorders>
              <w:bottom w:val="single" w:sz="8" w:color="CCEEFF"/>
            </w:tcBorders>
          </w:tcPr>
          <w:p>
            <w:pPr>
              <w:spacing w:after="0"/>
              <w:rPr>
                <w:sz w:val="6"/>
                <w:szCs w:val="6"/>
                <w:color w:val="auto"/>
              </w:rPr>
            </w:pPr>
          </w:p>
        </w:tc>
        <w:tc>
          <w:tcPr>
            <w:tcW w:w="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before income taxes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59,894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69,613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(74,849)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64,924</w:t>
            </w:r>
          </w:p>
        </w:tc>
        <w:tc>
          <w:tcPr>
            <w:tcW w:w="0" w:type="dxa"/>
            <w:vAlign w:val="bottom"/>
          </w:tcPr>
          <w:p>
            <w:pPr>
              <w:spacing w:after="0"/>
              <w:rPr>
                <w:sz w:val="1"/>
                <w:szCs w:val="1"/>
                <w:color w:val="auto"/>
              </w:rPr>
            </w:pPr>
          </w:p>
        </w:tc>
      </w:tr>
      <w:tr>
        <w:trPr>
          <w:trHeight w:val="80"/>
        </w:trPr>
        <w:tc>
          <w:tcPr>
            <w:tcW w:w="30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66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Net income attributable to non-controlling interest in</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(5,030)</w:t>
            </w:r>
          </w:p>
        </w:tc>
        <w:tc>
          <w:tcPr>
            <w:tcW w:w="0" w:type="dxa"/>
            <w:vAlign w:val="bottom"/>
          </w:tcPr>
          <w:p>
            <w:pPr>
              <w:spacing w:after="0"/>
              <w:rPr>
                <w:sz w:val="1"/>
                <w:szCs w:val="1"/>
                <w:color w:val="auto"/>
              </w:rPr>
            </w:pPr>
          </w:p>
        </w:tc>
      </w:tr>
      <w:tr>
        <w:trPr>
          <w:trHeight w:val="143"/>
        </w:trPr>
        <w:tc>
          <w:tcPr>
            <w:tcW w:w="3040" w:type="dxa"/>
            <w:vAlign w:val="bottom"/>
            <w:shd w:val="clear" w:color="auto" w:fill="CCEEFF"/>
          </w:tcPr>
          <w:p>
            <w:pPr>
              <w:ind w:left="380"/>
              <w:spacing w:after="0" w:line="143" w:lineRule="exact"/>
              <w:rPr>
                <w:sz w:val="20"/>
                <w:szCs w:val="20"/>
                <w:color w:val="auto"/>
              </w:rPr>
            </w:pPr>
            <w:r>
              <w:rPr>
                <w:rFonts w:ascii="Arial" w:cs="Arial" w:eastAsia="Arial" w:hAnsi="Arial"/>
                <w:sz w:val="14"/>
                <w:szCs w:val="14"/>
                <w:color w:val="auto"/>
                <w:w w:val="92"/>
              </w:rPr>
              <w:t>Net income attributable to Matador Resources</w:t>
            </w:r>
          </w:p>
        </w:tc>
        <w:tc>
          <w:tcPr>
            <w:tcW w:w="46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59,894</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5,236</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69,613</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(74,849)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59,894</w:t>
            </w:r>
          </w:p>
        </w:tc>
        <w:tc>
          <w:tcPr>
            <w:tcW w:w="0" w:type="dxa"/>
            <w:vAlign w:val="bottom"/>
          </w:tcPr>
          <w:p>
            <w:pPr>
              <w:spacing w:after="0"/>
              <w:rPr>
                <w:sz w:val="1"/>
                <w:szCs w:val="1"/>
                <w:color w:val="auto"/>
              </w:rPr>
            </w:pPr>
          </w:p>
        </w:tc>
      </w:tr>
      <w:tr>
        <w:trPr>
          <w:trHeight w:val="181"/>
        </w:trPr>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Company shareholders</w:t>
            </w:r>
          </w:p>
        </w:tc>
        <w:tc>
          <w:tcPr>
            <w:tcW w:w="46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040" w:type="dxa"/>
            <w:vAlign w:val="bottom"/>
          </w:tcPr>
          <w:p>
            <w:pPr>
              <w:spacing w:after="0"/>
              <w:rPr>
                <w:sz w:val="24"/>
                <w:szCs w:val="24"/>
                <w:color w:val="auto"/>
              </w:rPr>
            </w:pPr>
          </w:p>
        </w:tc>
        <w:tc>
          <w:tcPr>
            <w:tcW w:w="3940" w:type="dxa"/>
            <w:vAlign w:val="bottom"/>
            <w:gridSpan w:val="10"/>
          </w:tcPr>
          <w:p>
            <w:pPr>
              <w:jc w:val="center"/>
              <w:ind w:right="840"/>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10"/>
          </w:tcPr>
          <w:p>
            <w:pPr>
              <w:jc w:val="center"/>
              <w:ind w:right="840"/>
              <w:spacing w:after="0"/>
              <w:rPr>
                <w:sz w:val="20"/>
                <w:szCs w:val="20"/>
                <w:color w:val="auto"/>
              </w:rPr>
            </w:pPr>
            <w:r>
              <w:rPr>
                <w:rFonts w:ascii="Arial" w:cs="Arial" w:eastAsia="Arial" w:hAnsi="Arial"/>
                <w:sz w:val="14"/>
                <w:szCs w:val="14"/>
                <w:b w:val="1"/>
                <w:bCs w:val="1"/>
                <w:color w:val="auto"/>
                <w:w w:val="94"/>
              </w:rPr>
              <w:t>For the Three Months Ended March 31, 2017</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Matador</w:t>
            </w:r>
          </w:p>
        </w:tc>
        <w:tc>
          <w:tcPr>
            <w:tcW w:w="12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3"/>
                <w:szCs w:val="13"/>
                <w:color w:val="auto"/>
              </w:rPr>
            </w:pPr>
          </w:p>
        </w:tc>
        <w:tc>
          <w:tcPr>
            <w:tcW w:w="10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5840095"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0095" cy="180340"/>
                    </a:xfrm>
                    <a:prstGeom prst="rect">
                      <a:avLst/>
                    </a:prstGeom>
                    <a:noFill/>
                  </pic:spPr>
                </pic:pic>
              </a:graphicData>
            </a:graphic>
          </wp:anchor>
        </w:drawing>
      </w:r>
    </w:p>
    <w:p>
      <w:pPr>
        <w:sectPr>
          <w:pgSz w:w="11900" w:h="16838" w:orient="portrait"/>
          <w:cols w:equalWidth="0" w:num="1">
            <w:col w:w="9200"/>
          </w:cols>
          <w:pgMar w:left="1360" w:top="121" w:right="1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gain on asset sales and inventory impairment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income tax provision (benefit)</w:t>
      </w:r>
    </w:p>
    <w:p>
      <w:pPr>
        <w:spacing w:after="0" w:line="109"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380" w:right="2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9,663</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132,648</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(7,497)</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134,814</w:t>
            </w:r>
          </w:p>
        </w:tc>
      </w:tr>
      <w:tr>
        <w:trPr>
          <w:trHeight w:val="276"/>
        </w:trPr>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82,905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80,536</w:t>
            </w:r>
          </w:p>
        </w:tc>
      </w:tr>
      <w:tr>
        <w:trPr>
          <w:trHeight w:val="244"/>
        </w:trPr>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5,795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49,743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54,278</w:t>
            </w:r>
          </w:p>
        </w:tc>
      </w:tr>
      <w:tr>
        <w:trPr>
          <w:trHeight w:val="270"/>
        </w:trPr>
        <w:tc>
          <w:tcPr>
            <w:tcW w:w="3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w:t>
            </w:r>
          </w:p>
        </w:tc>
      </w:tr>
      <w:tr>
        <w:trPr>
          <w:trHeight w:val="270"/>
        </w:trPr>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(8,455)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(8,455)</w:t>
            </w:r>
          </w:p>
        </w:tc>
      </w:tr>
      <w:tr>
        <w:trPr>
          <w:trHeight w:val="270"/>
        </w:trPr>
        <w:tc>
          <w:tcPr>
            <w:tcW w:w="3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70</w:t>
            </w:r>
          </w:p>
        </w:tc>
      </w:tr>
      <w:tr>
        <w:trPr>
          <w:trHeight w:val="276"/>
        </w:trPr>
        <w:tc>
          <w:tcPr>
            <w:tcW w:w="34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53,672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3,825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(57,497)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43,984</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5,795</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53,618</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(57,497)</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45,900</w:t>
            </w:r>
          </w:p>
        </w:tc>
      </w:tr>
      <w:tr>
        <w:trPr>
          <w:trHeight w:val="270"/>
        </w:trPr>
        <w:tc>
          <w:tcPr>
            <w:tcW w:w="3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57"/>
        </w:trPr>
        <w:tc>
          <w:tcPr>
            <w:tcW w:w="3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(1,916)</w:t>
            </w:r>
          </w:p>
        </w:tc>
      </w:tr>
      <w:tr>
        <w:trPr>
          <w:trHeight w:val="318"/>
        </w:trPr>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43,984</w:t>
            </w:r>
          </w:p>
        </w:tc>
        <w:tc>
          <w:tcPr>
            <w:tcW w:w="1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3,825</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53,672</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(57,497)</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43,984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-1663065</wp:posOffset>
            </wp:positionV>
            <wp:extent cx="584009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-1320165</wp:posOffset>
            </wp:positionV>
            <wp:extent cx="584009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-977265</wp:posOffset>
            </wp:positionV>
            <wp:extent cx="584009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-633730</wp:posOffset>
            </wp:positionV>
            <wp:extent cx="584009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-239395</wp:posOffset>
            </wp:positionV>
            <wp:extent cx="5840095"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0095"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400"/>
            <w:col w:w="5740"/>
          </w:cols>
          <w:pgMar w:left="1360" w:top="121" w:right="1339" w:bottom="144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584009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3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6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10,385</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125,908</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136,149</w:t>
            </w:r>
          </w:p>
        </w:tc>
        <w:tc>
          <w:tcPr>
            <w:tcW w:w="0" w:type="dxa"/>
            <w:vAlign w:val="bottom"/>
          </w:tcPr>
          <w:p>
            <w:pPr>
              <w:spacing w:after="0"/>
              <w:rPr>
                <w:sz w:val="1"/>
                <w:szCs w:val="1"/>
                <w:color w:val="auto"/>
              </w:rPr>
            </w:pPr>
          </w:p>
        </w:tc>
      </w:tr>
      <w:tr>
        <w:trPr>
          <w:trHeight w:val="80"/>
        </w:trPr>
        <w:tc>
          <w:tcPr>
            <w:tcW w:w="314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(36,831)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(204,323)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20,400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(220,754)</w:t>
            </w:r>
          </w:p>
        </w:tc>
        <w:tc>
          <w:tcPr>
            <w:tcW w:w="0" w:type="dxa"/>
            <w:vAlign w:val="bottom"/>
          </w:tcPr>
          <w:p>
            <w:pPr>
              <w:spacing w:after="0"/>
              <w:rPr>
                <w:sz w:val="1"/>
                <w:szCs w:val="1"/>
                <w:color w:val="auto"/>
              </w:rPr>
            </w:pPr>
          </w:p>
        </w:tc>
      </w:tr>
      <w:tr>
        <w:trPr>
          <w:trHeight w:val="74"/>
        </w:trPr>
        <w:tc>
          <w:tcPr>
            <w:tcW w:w="3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44,900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34,906</w:t>
            </w:r>
          </w:p>
        </w:tc>
        <w:tc>
          <w:tcPr>
            <w:tcW w:w="0" w:type="dxa"/>
            <w:vAlign w:val="bottom"/>
          </w:tcPr>
          <w:p>
            <w:pPr>
              <w:spacing w:after="0"/>
              <w:rPr>
                <w:sz w:val="1"/>
                <w:szCs w:val="1"/>
                <w:color w:val="auto"/>
              </w:rPr>
            </w:pPr>
          </w:p>
        </w:tc>
      </w:tr>
      <w:tr>
        <w:trPr>
          <w:trHeight w:val="80"/>
        </w:trPr>
        <w:tc>
          <w:tcPr>
            <w:tcW w:w="3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140" w:type="dxa"/>
            <w:vAlign w:val="bottom"/>
          </w:tcPr>
          <w:p>
            <w:pPr>
              <w:ind w:left="380"/>
              <w:spacing w:after="0"/>
              <w:rPr>
                <w:sz w:val="20"/>
                <w:szCs w:val="20"/>
                <w:color w:val="auto"/>
              </w:rPr>
            </w:pPr>
            <w:r>
              <w:rPr>
                <w:rFonts w:ascii="Arial" w:cs="Arial" w:eastAsia="Arial" w:hAnsi="Arial"/>
                <w:sz w:val="14"/>
                <w:szCs w:val="14"/>
                <w:color w:val="auto"/>
                <w:w w:val="92"/>
              </w:rPr>
              <w:t>(Decrease) increase in cash and restricted cash</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18,454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(68,009)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(49,699)</w:t>
            </w:r>
          </w:p>
        </w:tc>
        <w:tc>
          <w:tcPr>
            <w:tcW w:w="0" w:type="dxa"/>
            <w:vAlign w:val="bottom"/>
          </w:tcPr>
          <w:p>
            <w:pPr>
              <w:spacing w:after="0"/>
              <w:rPr>
                <w:sz w:val="1"/>
                <w:szCs w:val="1"/>
                <w:color w:val="auto"/>
              </w:rPr>
            </w:pPr>
          </w:p>
        </w:tc>
      </w:tr>
      <w:tr>
        <w:trPr>
          <w:trHeight w:val="74"/>
        </w:trPr>
        <w:tc>
          <w:tcPr>
            <w:tcW w:w="3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3"/>
              </w:rPr>
              <w:t>Cash and restricted cash at beginning of period</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96,533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102,482</w:t>
            </w:r>
          </w:p>
        </w:tc>
        <w:tc>
          <w:tcPr>
            <w:tcW w:w="0" w:type="dxa"/>
            <w:vAlign w:val="bottom"/>
          </w:tcPr>
          <w:p>
            <w:pPr>
              <w:spacing w:after="0"/>
              <w:rPr>
                <w:sz w:val="1"/>
                <w:szCs w:val="1"/>
                <w:color w:val="auto"/>
              </w:rPr>
            </w:pPr>
          </w:p>
        </w:tc>
      </w:tr>
      <w:tr>
        <w:trPr>
          <w:trHeight w:val="80"/>
        </w:trPr>
        <w:tc>
          <w:tcPr>
            <w:tcW w:w="3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140" w:type="dxa"/>
            <w:vAlign w:val="bottom"/>
          </w:tcPr>
          <w:p>
            <w:pPr>
              <w:ind w:left="380"/>
              <w:spacing w:after="0"/>
              <w:rPr>
                <w:sz w:val="20"/>
                <w:szCs w:val="20"/>
                <w:color w:val="auto"/>
              </w:rPr>
            </w:pPr>
            <w:r>
              <w:rPr>
                <w:rFonts w:ascii="Arial" w:cs="Arial" w:eastAsia="Arial" w:hAnsi="Arial"/>
                <w:sz w:val="14"/>
                <w:szCs w:val="14"/>
                <w:color w:val="auto"/>
              </w:rPr>
              <w:t>Cash and restricted cash at end of period</w:t>
            </w:r>
          </w:p>
        </w:tc>
        <w:tc>
          <w:tcPr>
            <w:tcW w:w="480" w:type="dxa"/>
            <w:vAlign w:val="bottom"/>
            <w:vMerge w:val="restart"/>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24,117</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28,524</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52,783</w:t>
            </w:r>
          </w:p>
        </w:tc>
        <w:tc>
          <w:tcPr>
            <w:tcW w:w="0" w:type="dxa"/>
            <w:vAlign w:val="bottom"/>
          </w:tcPr>
          <w:p>
            <w:pPr>
              <w:spacing w:after="0"/>
              <w:rPr>
                <w:sz w:val="1"/>
                <w:szCs w:val="1"/>
                <w:color w:val="auto"/>
              </w:rPr>
            </w:pPr>
          </w:p>
        </w:tc>
      </w:tr>
      <w:tr>
        <w:trPr>
          <w:trHeight w:val="65"/>
        </w:trPr>
        <w:tc>
          <w:tcPr>
            <w:tcW w:w="3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000" w:type="dxa"/>
            <w:vAlign w:val="bottom"/>
            <w:gridSpan w:val="11"/>
          </w:tcPr>
          <w:p>
            <w:pPr>
              <w:ind w:left="302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1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6"/>
              </w:rPr>
              <w:t>For the Three Months Ended March 31, 2017</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11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3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6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(99,235)</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161,608</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61,309</w:t>
            </w:r>
          </w:p>
        </w:tc>
        <w:tc>
          <w:tcPr>
            <w:tcW w:w="0" w:type="dxa"/>
            <w:vAlign w:val="bottom"/>
          </w:tcPr>
          <w:p>
            <w:pPr>
              <w:spacing w:after="0"/>
              <w:rPr>
                <w:sz w:val="1"/>
                <w:szCs w:val="1"/>
                <w:color w:val="auto"/>
              </w:rPr>
            </w:pPr>
          </w:p>
        </w:tc>
      </w:tr>
      <w:tr>
        <w:trPr>
          <w:trHeight w:val="80"/>
        </w:trPr>
        <w:tc>
          <w:tcPr>
            <w:tcW w:w="314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(19,147)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(63,816)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(142,040)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(224,974)</w:t>
            </w:r>
          </w:p>
        </w:tc>
        <w:tc>
          <w:tcPr>
            <w:tcW w:w="0" w:type="dxa"/>
            <w:vAlign w:val="bottom"/>
          </w:tcPr>
          <w:p>
            <w:pPr>
              <w:spacing w:after="0"/>
              <w:rPr>
                <w:sz w:val="1"/>
                <w:szCs w:val="1"/>
                <w:color w:val="auto"/>
              </w:rPr>
            </w:pPr>
          </w:p>
        </w:tc>
      </w:tr>
      <w:tr>
        <w:trPr>
          <w:trHeight w:val="74"/>
        </w:trPr>
        <w:tc>
          <w:tcPr>
            <w:tcW w:w="3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31,707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142,040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173,832</w:t>
            </w:r>
          </w:p>
        </w:tc>
        <w:tc>
          <w:tcPr>
            <w:tcW w:w="0" w:type="dxa"/>
            <w:vAlign w:val="bottom"/>
          </w:tcPr>
          <w:p>
            <w:pPr>
              <w:spacing w:after="0"/>
              <w:rPr>
                <w:sz w:val="1"/>
                <w:szCs w:val="1"/>
                <w:color w:val="auto"/>
              </w:rPr>
            </w:pPr>
          </w:p>
        </w:tc>
      </w:tr>
      <w:tr>
        <w:trPr>
          <w:trHeight w:val="80"/>
        </w:trPr>
        <w:tc>
          <w:tcPr>
            <w:tcW w:w="3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140" w:type="dxa"/>
            <w:vAlign w:val="bottom"/>
          </w:tcPr>
          <w:p>
            <w:pPr>
              <w:ind w:left="380"/>
              <w:spacing w:after="0"/>
              <w:rPr>
                <w:sz w:val="20"/>
                <w:szCs w:val="20"/>
                <w:color w:val="auto"/>
              </w:rPr>
            </w:pPr>
            <w:r>
              <w:rPr>
                <w:rFonts w:ascii="Arial" w:cs="Arial" w:eastAsia="Arial" w:hAnsi="Arial"/>
                <w:sz w:val="14"/>
                <w:szCs w:val="14"/>
                <w:color w:val="auto"/>
                <w:w w:val="92"/>
              </w:rPr>
              <w:t>(Decrease) increase in cash and restricted cash</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(99,206)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11,496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97,877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10,167</w:t>
            </w:r>
          </w:p>
        </w:tc>
        <w:tc>
          <w:tcPr>
            <w:tcW w:w="0" w:type="dxa"/>
            <w:vAlign w:val="bottom"/>
          </w:tcPr>
          <w:p>
            <w:pPr>
              <w:spacing w:after="0"/>
              <w:rPr>
                <w:sz w:val="1"/>
                <w:szCs w:val="1"/>
                <w:color w:val="auto"/>
              </w:rPr>
            </w:pPr>
          </w:p>
        </w:tc>
      </w:tr>
      <w:tr>
        <w:trPr>
          <w:trHeight w:val="74"/>
        </w:trPr>
        <w:tc>
          <w:tcPr>
            <w:tcW w:w="3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3"/>
              </w:rPr>
              <w:t>Cash and restricted cash at beginning of period</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99,795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111,447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214,142</w:t>
            </w:r>
          </w:p>
        </w:tc>
        <w:tc>
          <w:tcPr>
            <w:tcW w:w="0" w:type="dxa"/>
            <w:vAlign w:val="bottom"/>
          </w:tcPr>
          <w:p>
            <w:pPr>
              <w:spacing w:after="0"/>
              <w:rPr>
                <w:sz w:val="1"/>
                <w:szCs w:val="1"/>
                <w:color w:val="auto"/>
              </w:rPr>
            </w:pPr>
          </w:p>
        </w:tc>
      </w:tr>
      <w:tr>
        <w:trPr>
          <w:trHeight w:val="80"/>
        </w:trPr>
        <w:tc>
          <w:tcPr>
            <w:tcW w:w="3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140" w:type="dxa"/>
            <w:vAlign w:val="bottom"/>
          </w:tcPr>
          <w:p>
            <w:pPr>
              <w:ind w:left="380"/>
              <w:spacing w:after="0"/>
              <w:rPr>
                <w:sz w:val="20"/>
                <w:szCs w:val="20"/>
                <w:color w:val="auto"/>
              </w:rPr>
            </w:pPr>
            <w:r>
              <w:rPr>
                <w:rFonts w:ascii="Arial" w:cs="Arial" w:eastAsia="Arial" w:hAnsi="Arial"/>
                <w:sz w:val="14"/>
                <w:szCs w:val="14"/>
                <w:color w:val="auto"/>
              </w:rPr>
              <w:t>Cash and restricted cash at end of period</w:t>
            </w: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14,396</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209,324</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224,309</w:t>
            </w: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200"/>
          </w:cols>
          <w:pgMar w:left="1360" w:top="121" w:right="1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36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April 2018, the Company entered into a short-term natural gas transportation agreement whereby the Company committed to firm transportation from the tailgate of the Black River Processing Plant. Under this short-term agreement, the Company will owe the fees to transport the committed volume whether or not the committed volume is transported through the counterparty’s pipeline. The minimum contractual obligation under this short-term contract is approximately $4.8 million. This short-term agreement ends September 30, 2019.</w:t>
      </w:r>
    </w:p>
    <w:p>
      <w:pPr>
        <w:spacing w:after="0" w:line="7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addition, in April 2018, the Company entered into a 16-year, fixed-fee natural gas transportation agreement that begins on October 1, 2019, whereby the Company committed to firm transportation from the tailgate of the Black River Processing Plant. The Company will owe the fees to transport the committed volume whether or not the committed volume is transported through the counterparty’s pipeline. The minimum contractual obligation is approximately $56.8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 xml:space="preserve">The following discussion and analysis of our financial condition and results of operations should be read in conjunction with our interim unaudited consolidated financial statements and related notes thereto contained herein and the consolidated financial statements and related notes thereto contained in our Annual Report on Form 10-K for the year ended December 31, 2017 (the “Annual Report”) filed with the Securities and Exchange Commission (“SEC”), along with Management’s Discussion and Analysis of Financial Condition and Results of Operations contained in the Annual Report. The Annual Report is accessible on the SEC’s website at </w:t>
      </w:r>
      <w:r>
        <w:rPr>
          <w:rFonts w:ascii="Arial" w:cs="Arial" w:eastAsia="Arial" w:hAnsi="Arial"/>
          <w:sz w:val="17"/>
          <w:szCs w:val="17"/>
          <w:i w:val="1"/>
          <w:iCs w:val="1"/>
          <w:u w:val="single" w:color="auto"/>
          <w:color w:val="auto"/>
        </w:rPr>
        <w:t>www.sec.gov</w:t>
      </w:r>
      <w:r>
        <w:rPr>
          <w:rFonts w:ascii="Arial" w:cs="Arial" w:eastAsia="Arial" w:hAnsi="Arial"/>
          <w:sz w:val="17"/>
          <w:szCs w:val="17"/>
          <w:i w:val="1"/>
          <w:iCs w:val="1"/>
          <w:color w:val="auto"/>
        </w:rPr>
        <w:t xml:space="preserve"> and on our website at </w:t>
      </w:r>
      <w:r>
        <w:rPr>
          <w:rFonts w:ascii="Arial" w:cs="Arial" w:eastAsia="Arial" w:hAnsi="Arial"/>
          <w:sz w:val="17"/>
          <w:szCs w:val="17"/>
          <w:i w:val="1"/>
          <w:iCs w:val="1"/>
          <w:u w:val="single" w:color="auto"/>
          <w:color w:val="auto"/>
        </w:rPr>
        <w:t>www.matadorresources.com</w:t>
      </w:r>
      <w:r>
        <w:rPr>
          <w:rFonts w:ascii="Arial" w:cs="Arial" w:eastAsia="Arial" w:hAnsi="Arial"/>
          <w:sz w:val="17"/>
          <w:szCs w:val="17"/>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71"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i w:val="1"/>
          <w:iCs w:val="1"/>
          <w:color w:val="auto"/>
        </w:rPr>
        <w:t>In this Quarterly Report on Form 10-Q (the “Quarterly Report”), references to “we,” “our” or the “Company” refer to Matador Resources Company and its subsidiaries as a whole (unless the context indicates otherwise) and references to “Matador” refer solely to Matador Resources Company. For certain oil and natural gas terms used in this Quarterly Report, please see the “Glossary of Oil and Natural Gas Terms” included with the Annual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Certain statements in this Quarterly Report constitute “forward-looking statements” within the meaning of Section 27A of the Securities Act of 1933, as amended, or the Securities Act, and Section 21E of the Securities Exchange Act of 1934, as amended, or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8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general economic conditions, changes in oil, natural gas and natural gas liquids prices and the demand for oil, natural gas and natural gas liquids, the success of our drilling program, the timing of planned capital expenditures, the sufficiency of our cash flow from operations together with available borrowing capacity under our credit agreement, uncertainties in estimating proved reserves and forecasting production results, operational factors affecting the commencement or maintenance of producing wells, the condition of the capital markets generally, as well as our ability to access them, the proximity to our properties and capacity of transportation facilities, availability of acquisitions, our ability to integrate acquisitions with our business, weather and environmental conditions, uncertainties regarding environmental regulations or litigation and other legal or regulatory developments affecting our business, and the other factors discussed below and elsewhere in this Quarterly Report and in other documents that we file with or furnish to the SEC, all of which are difficult to predict. Forward-looking statements may include statements about:</w:t>
      </w:r>
    </w:p>
    <w:p>
      <w:pPr>
        <w:spacing w:after="0" w:line="75"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reserves;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technology;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cash flows and liquidity;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financial strategy, budget, projections and operating results;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oil and natural gas realized prices;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amount of future production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drilling and production equipment;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oil field labor;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and terms of capital;</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drilling of wells;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negotiate and consummate acquisition and divestiture opportunities;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regulation and taxation of the oil and natural gas industry;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marketing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exploitation projects or property acquisitions;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integration of acquisitions with our business;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right="160" w:hanging="321"/>
        <w:spacing w:after="0" w:line="258"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the ability of our midstream joint venture to construct and operate midstream facilities, including the expansion and operation of our Black River cryogenic natural gas processing plant and the drilling of additional salt water disposal wells;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midstream joint venture to attract third-party volumes;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costs of exploiting and developing our properties and conducting other operations;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risk management and hedging activities;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counterparty credit risk;</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oil-producing and natural gas-producing countries;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estimated future reserves and the present value thereof;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plans, objectives, expectations and intentions contained in this Quarterly Report or in our other filings with the SEC that are not historical.</w:t>
      </w:r>
    </w:p>
    <w:p>
      <w:pPr>
        <w:spacing w:after="0" w:line="114"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3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and East Texas. Additionally, we conduct midstream operations, primarily through our midstream joint venture, San Mateo Midstream, LLC (“San Mateo”), in support of our exploration, development and production operations and provide natural gas processing, oil transportation services, oil, natural gas and salt water gathering services and salt water disposal services to third parties.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Highlights</w:t>
      </w:r>
    </w:p>
    <w:p>
      <w:pPr>
        <w:spacing w:after="0" w:line="11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For the three months ended March 31, 2018, our total oil equivalent production was 4.1 million BOE, and our average daily oil equivalent production was 45,273 BOE per day, of which 26,465 Bbl per day, or 58%, was oil and 112.9 MMcf per day, or 42%, was natural gas. Our oil production of 2.4 million Bbl for the three months ended March 31, 2018 increased 44% year-over-year from 1.6 million Bbl for the three months ended March 31, 2017. Our natural gas production of 10.2 Bcf for the three months ended March 31, 2018 increased 28% year-over-year from 7.9 Bcf for the three months ended March 31, 2017.</w:t>
      </w:r>
    </w:p>
    <w:p>
      <w:pPr>
        <w:spacing w:after="0" w:line="8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For the first quarter of 2018, we reported net income attributable to Matador Resources Company shareholders of approximately $59.9 million, or $0.55 per diluted common share on a GAAP basis, as compared to net income attributable to Matador Resources Company shareholders of $44.0 million, or $0.44 per diluted common share, for the first quarter of 2017. For the first quarter of 2018, our Adjusted EBITDA attributable to Matador Resources Company shareholders (“Adjusted EBITDA”), a non-GAAP financial measure, was $117.3 million, as compared to Adjusted EBITDA of $70.0 million during the first quarter of 2017. For a definition of Adjusted EBITDA and a reconciliation of Adjusted EBITDA to our net income (loss) and net cash provided by operating activities, see “— Liquidity and Capital Resources — Non-GAAP Financial Measures.” For more information regarding our financial results for the first quarter of 2018, see “— Results of Operations” below.</w:t>
      </w:r>
    </w:p>
    <w:p>
      <w:pPr>
        <w:spacing w:after="0" w:line="8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During the first quarter of 2018, we continued our focus on the exploration, delineation and development of our Delaware Basin acreage in Loving County, Texas and Lea and Eddy Counties, New Mexico. We began 2018 operating six drilling rigs in the Delaware Basin and continued to do so throughout the first quarter of 2018. We expect to operate those six rigs in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Delaware Basin throughout 2018, including three rigs in the Rustler Breaks asset area, one rig in the Wolf/Jackson Trust asset areas, one rig in the Ranger/Arrowhead and Twin Lakes asset areas and one rig in the Antelope Ridge asset area. San Mateo’s third commercial salt water disposal well in the Rustler Breaks asset area became operational in the first quarter of 2018, and one of the three rigs operating in the Rustler Breaks asset area is also expected to drill at least two additional commercial salt water disposal wells in that area during 2018 for San Mateo, which, when completed, will result in five commercial salt water disposal wells in the Rustler Breaks asset area. Depending on commodity prices, costs, opportunities in new asset areas like Antelope Ridge, liquidity and other factors, we may consider adding a seventh rig towards the end of 2018.</w:t>
      </w:r>
    </w:p>
    <w:p>
      <w:pPr>
        <w:spacing w:after="0" w:line="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late March 2018, we completed the expansion of San Mateo’s Black River cryogenic natural gas processing plant in the Rustler Breaks asset area in Eddy County, New Mexico (the “Black River Processing Plant”), adding an incremental designed inlet capacity of 200 MMcf of natural gas per day and bringing the total designed inlet capacity of the Black River Processing Plant to 260 MMcf of natural gas per day. The expanded Black River Processing Plant supports our exploration and development activities in the Delaware Basin, and with the expanded capacity, San Mateo can offer natural gas processing services to other producers as well.</w:t>
      </w:r>
    </w:p>
    <w:p>
      <w:pPr>
        <w:spacing w:after="0" w:line="8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During the first quarter of 2018, we did not conduct any operated drilling and completion activities on our leasehold properties in the Eagle Ford shale play in South Texas or in the Haynesville shale and Cotton Valley plays in Northwest Louisiana and East Texas, although we did participate in the drilling and completion of 3 gross (0.1 net) non-operated Haynesville shale wells that were turned to sales in the first quarter of 2018. We have no operated drilling activities planned in the Eagle Ford or in the Haynesville shale and Cotton Valley plays for the remainder of 2018.</w:t>
      </w:r>
    </w:p>
    <w:p>
      <w:pPr>
        <w:spacing w:after="0" w:line="63"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completed and turned to sales a total of 29 gross (16.1 net) wells in the Delaware Basin during the first quarter of 2018, including 16 gross (13.4 net) operated horizontal wells, one gross (1.0 net) operated vertical well and 12 gross (1.7 net) non-operated horizontal wells. During the first quarter of 2018, we began producing oil and natural gas from our first three gross (3.0 net) operated wells in the Antelope Ridge asset area, including a Wolfcamp A-XY completion, a Wolfcamp A-Lower completion and a First Bone Spring completion. We also participated in two gross (0.1 net) non-operated wells in the Antelope Ridge asset area. In the Rustler Breaks asset area, we began producing oil and natural gas from a total of 16 gross (9.1 net) wells during the first quarter of 2018, including nine gross (7.8 net) operated and seven gross (1.3 net) non-operated wells. Of the nine gross operated wells in the Rustler Breaks asset area, four were Wolfcamp A-XY completions, two were Wolfcamp A-Lower completions, two were Wolfcamp B-Blair completions and one was a vertical Morrow completion. In addition, we began producing oil and natural gas from two gross (1.0 net) operated wells in the Wolf and Jackson Trust asset areas during the first quarter of 2018, including a Wolfcamp A-XY completion and a Wolfcamp A-Lower completion. In the Ranger/Arrowhead and Twin Lakes asset areas, we began producing oil and natural gas from six gross (2.9 net) wells, including three gross (2.6 net) operated wells and three gross (0.3 net) non-operated wells during the first quarter of 2018.</w:t>
      </w:r>
    </w:p>
    <w:p>
      <w:pPr>
        <w:spacing w:after="0" w:line="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a result of our ongoing drilling and completion operations in these asset areas, our Delaware Basin production has continued to increase over the past twelve months. Our total Delaware Basin production for the first quarter of 2018 was 37,160 BOE per day, consisting of 23,363 Bbl of oil per day and 82.8 MMcf of natural gas per day, a 51% increase from production of 24,535 BOE per day, consisting of 15,685 Bbl of oil per day and 53.1 MMcf of natural gas per day, in the first quarter of 2017. The Delaware Basin contributed approximately 88% of our daily oil production and approximately 73% of our daily natural gas production in the first quarter of 2018, as compared to approximately 86% of our daily oil production and approximately 60% of our daily natural gas production in the first quarter of 2017.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Relationship with Plains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January 22, 2018, a subsidiary of San Mateo entered into a strategic relationship with a subsidiary of Plains All American Pipeline, L.P. (“Plains”) to gather and transport crude oil for us and additional customers in and around the Rustler Breaks asset area. Subsidiaries of San Mateo and Plains have agreed to work together through a joint tariff arrangement and related transactions to offer producers located within a joint development area of approximately 400,000 acres in Eddy County, New Mexico crude oil transportation services from the wellhead to Midland, Texas with access to other end markets, such as Cushing and the Gulf Coast. In addition, another subsidiary of Plains has agreed to purchase our oil production in the Rustler Breaks asset area in Eddy County, New Mexico and the Wolf asset area in Loving County, Texas.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 xml:space="preserve">Other than as discussed in Note 2 to the interim unaudited condensed consolidated financial statements in this Quarterly Report related to the adoption of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there have been no changes to our critical accounting policies and estimates from those set forth in the Annual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See Note 2 to the interim unaudited condensed consolidated financial statements in this Quarterly Report for a summary of recent accounting pronouncements that we believe may have an impact on our financial statements upon adoption.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revenues and production data for the periods indicated:</w:t>
      </w:r>
    </w:p>
    <w:p>
      <w:pPr>
        <w:spacing w:after="0" w:line="271"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r>
      <w:tr>
        <w:trPr>
          <w:trHeight w:val="257"/>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230"/>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Operating Data:</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1"/>
        </w:trPr>
        <w:tc>
          <w:tcPr>
            <w:tcW w:w="9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Revenues (in thousands):</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Oil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148,159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83,636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31,211</w:t>
            </w:r>
          </w:p>
        </w:tc>
      </w:tr>
      <w:tr>
        <w:trPr>
          <w:trHeight w:val="237"/>
        </w:trPr>
        <w:tc>
          <w:tcPr>
            <w:tcW w:w="9020" w:type="dxa"/>
            <w:vAlign w:val="bottom"/>
          </w:tcPr>
          <w:p>
            <w:pPr>
              <w:ind w:left="720"/>
              <w:spacing w:after="0"/>
              <w:rPr>
                <w:sz w:val="20"/>
                <w:szCs w:val="20"/>
                <w:color w:val="auto"/>
              </w:rPr>
            </w:pPr>
            <w:r>
              <w:rPr>
                <w:rFonts w:ascii="Arial" w:cs="Arial" w:eastAsia="Arial" w:hAnsi="Arial"/>
                <w:sz w:val="18"/>
                <w:szCs w:val="18"/>
                <w:color w:val="auto"/>
              </w:rPr>
              <w:t>Total oil and natural gas revenues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181,954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114,847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Third-party midstream services 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Realized loss on derivatives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(2,219)</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20,631</w:t>
            </w:r>
          </w:p>
        </w:tc>
      </w:tr>
      <w:tr>
        <w:trPr>
          <w:trHeight w:val="237"/>
        </w:trPr>
        <w:tc>
          <w:tcPr>
            <w:tcW w:w="9020" w:type="dxa"/>
            <w:vAlign w:val="bottom"/>
          </w:tcPr>
          <w:p>
            <w:pPr>
              <w:ind w:left="11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191,180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134,814</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Net Production Volumes:</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70"/>
        </w:trPr>
        <w:tc>
          <w:tcPr>
            <w:tcW w:w="9020" w:type="dxa"/>
            <w:vAlign w:val="bottom"/>
          </w:tcPr>
          <w:p>
            <w:pPr>
              <w:ind w:left="380"/>
              <w:spacing w:after="0" w:line="270" w:lineRule="exact"/>
              <w:rPr>
                <w:sz w:val="20"/>
                <w:szCs w:val="20"/>
                <w:color w:val="auto"/>
              </w:rPr>
            </w:pPr>
            <w:r>
              <w:rPr>
                <w:rFonts w:ascii="Arial" w:cs="Arial" w:eastAsia="Arial" w:hAnsi="Arial"/>
                <w:sz w:val="18"/>
                <w:szCs w:val="18"/>
                <w:color w:val="auto"/>
              </w:rPr>
              <w:t>Oil (MBbl)</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1,649</w:t>
            </w:r>
          </w:p>
        </w:tc>
      </w:tr>
      <w:tr>
        <w:trPr>
          <w:trHeight w:val="270"/>
        </w:trPr>
        <w:tc>
          <w:tcPr>
            <w:tcW w:w="90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Natural gas (Bcf)</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70"/>
        </w:trPr>
        <w:tc>
          <w:tcPr>
            <w:tcW w:w="9020" w:type="dxa"/>
            <w:vAlign w:val="bottom"/>
          </w:tcPr>
          <w:p>
            <w:pPr>
              <w:ind w:left="760"/>
              <w:spacing w:after="0" w:line="270" w:lineRule="exact"/>
              <w:rPr>
                <w:sz w:val="20"/>
                <w:szCs w:val="20"/>
                <w:color w:val="auto"/>
              </w:rPr>
            </w:pPr>
            <w:r>
              <w:rPr>
                <w:rFonts w:ascii="Arial" w:cs="Arial" w:eastAsia="Arial" w:hAnsi="Arial"/>
                <w:sz w:val="18"/>
                <w:szCs w:val="18"/>
                <w:color w:val="auto"/>
              </w:rPr>
              <w:t>Total oil equivalent (MBOE)</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2,970</w:t>
            </w:r>
          </w:p>
        </w:tc>
      </w:tr>
      <w:tr>
        <w:trPr>
          <w:trHeight w:val="270"/>
        </w:trPr>
        <w:tc>
          <w:tcPr>
            <w:tcW w:w="9020" w:type="dxa"/>
            <w:vAlign w:val="bottom"/>
            <w:shd w:val="clear" w:color="auto" w:fill="CCEEFF"/>
          </w:tcPr>
          <w:p>
            <w:pPr>
              <w:ind w:left="760"/>
              <w:spacing w:after="0" w:line="270" w:lineRule="exact"/>
              <w:rPr>
                <w:sz w:val="20"/>
                <w:szCs w:val="20"/>
                <w:color w:val="auto"/>
              </w:rPr>
            </w:pPr>
            <w:r>
              <w:rPr>
                <w:rFonts w:ascii="Arial" w:cs="Arial" w:eastAsia="Arial" w:hAnsi="Arial"/>
                <w:sz w:val="18"/>
                <w:szCs w:val="18"/>
                <w:color w:val="auto"/>
              </w:rPr>
              <w:t>Average daily production (BOE/d)</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45,273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32,999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Average Sales Prices: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without realized derivatives (per Bbl)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Oil, with realized derivatives (per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49.73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without realized derivatives (per Mcf)</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Natural gas, with realized derivatives (per Mcf)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3.86</w:t>
            </w:r>
          </w:p>
        </w:tc>
      </w:tr>
      <w:tr>
        <w:trPr>
          <w:trHeight w:val="243"/>
        </w:trPr>
        <w:tc>
          <w:tcPr>
            <w:tcW w:w="9020" w:type="dxa"/>
            <w:vAlign w:val="bottom"/>
          </w:tcPr>
          <w:p>
            <w:pPr>
              <w:spacing w:after="0"/>
              <w:rPr>
                <w:sz w:val="20"/>
                <w:szCs w:val="20"/>
                <w:color w:val="auto"/>
              </w:rPr>
            </w:pPr>
            <w:r>
              <w:rPr>
                <w:rFonts w:ascii="Arial" w:cs="Arial" w:eastAsia="Arial" w:hAnsi="Arial"/>
                <w:sz w:val="18"/>
                <w:szCs w:val="18"/>
                <w:color w:val="auto"/>
              </w:rPr>
              <w:t>_________________</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spacing w:after="0" w:line="89" w:lineRule="exact"/>
        <w:rPr>
          <w:sz w:val="20"/>
          <w:szCs w:val="20"/>
          <w:color w:val="auto"/>
        </w:rPr>
      </w:pPr>
    </w:p>
    <w:p>
      <w:pPr>
        <w:ind w:left="340" w:right="20" w:hanging="332"/>
        <w:spacing w:after="0" w:line="273"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natural gas liquids are included with our natural gas revenues.</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One thousand barrels of oil.</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One billion cubic feet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One thousand barrels of oil equivalent, estimated using a conversion ratio of one Bbl of oil per six Mcf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Barrels of oil equivalent per day, estimated using a conversion ratio of one Bbl of oil per six Mcf of natural gas.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March 31, 2018 as Compared to Three Months Ended March 31, 2017</w:t>
      </w:r>
    </w:p>
    <w:p>
      <w:pPr>
        <w:spacing w:after="0" w:line="11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i w:val="1"/>
          <w:iCs w:val="1"/>
          <w:color w:val="auto"/>
        </w:rPr>
        <w:t xml:space="preserve">Oil and natural gas revenues. </w:t>
      </w:r>
      <w:r>
        <w:rPr>
          <w:rFonts w:ascii="Arial" w:cs="Arial" w:eastAsia="Arial" w:hAnsi="Arial"/>
          <w:sz w:val="16"/>
          <w:szCs w:val="16"/>
          <w:color w:val="auto"/>
        </w:rPr>
        <w:t>Our oil and natural gas revenues increased $67.1 million to $182.0 million, or 58%,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2018, as compared to $114.8 million for the three months ended March 31, 2017. Our oil revenues increased $64.5 million, or 77%, to $148.2 million for the three months ended March 31, 2018, as compared to $83.6 million for the three months ended March 31, 2017. The increase in oil revenues resulted from (i) a higher weighted average oil price realized for the three months ended March 31, 2018 of $62.20 per Bbl, as compared to $50.72 per Bbl realized for the three months ended March 31, 2017, and (ii) the 44% increase in our oil production to 2.4 million Bbl of oil for the three months ended March 31, 2018, or 26,465 Bbl of oil per day, as compared to 1.6 million Bbl of oil, or 18,323 Bbl of oil per day, for the three months ended March 31, 2017. The increase in oil production was primarily attributable to our ongoing delineation and development drilling activities in the Delaware Basin. Our natural gas revenues increased by $2.6 million, or 8%, to $33.8 million for the three months ended March 31, 2018, as compared to $31.2 million for the three months ended March 31, 2017. The increase in natural gas revenues resulted from the 28% increase in our natural gas production to 10.2 Bcf for the three months ended March 31, 2018, as compared to 7.9 Bcf for the three months ended March 31, 2017, which was partially offset by a lower weighted average natural gas price realized for the three months ended March 31, 2018 of $3.33 per Mcf, as compared to $3.94 per Mcf realized for the three months ended March 31, 2017. The increase in natural gas production was primarily attributable to our ongoing delineation and development drilling activities in the Delaware Basin.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405"/>
        <w:spacing w:after="0" w:line="285" w:lineRule="auto"/>
        <w:rPr>
          <w:sz w:val="20"/>
          <w:szCs w:val="20"/>
          <w:color w:val="auto"/>
        </w:rPr>
      </w:pPr>
      <w:r>
        <w:rPr>
          <w:rFonts w:ascii="Arial" w:cs="Arial" w:eastAsia="Arial" w:hAnsi="Arial"/>
          <w:sz w:val="16"/>
          <w:szCs w:val="16"/>
          <w:i w:val="1"/>
          <w:iCs w:val="1"/>
          <w:color w:val="auto"/>
        </w:rPr>
        <w:t xml:space="preserve">Third-party midstream services revenues. </w:t>
      </w:r>
      <w:r>
        <w:rPr>
          <w:rFonts w:ascii="Arial" w:cs="Arial" w:eastAsia="Arial" w:hAnsi="Arial"/>
          <w:sz w:val="16"/>
          <w:szCs w:val="16"/>
          <w:color w:val="auto"/>
        </w:rPr>
        <w:t>Our third-party midstream services revenues increased $1.5 million to $3.1 million, or 97%,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2018, as compared to $1.6 million for the three months ended March 31, 2017. Third-party midstream services revenues are those revenues from midstream operations related to third parties, including working interest owners in our operated wells. This increase was primarily attributable to a significant increase in (i) natural gas gathering and processing revenues to approximately $1.9 million for the three months ended March 31, 2018, as compared to $1.1 million for the three months ended March 31, 2017, due to increased natural gas production in our Rustler Breaks and Wolf asset areas and</w:t>
      </w:r>
    </w:p>
    <w:p>
      <w:pPr>
        <w:spacing w:after="0" w:line="2" w:lineRule="exact"/>
        <w:rPr>
          <w:sz w:val="20"/>
          <w:szCs w:val="20"/>
          <w:color w:val="auto"/>
        </w:rPr>
      </w:pPr>
    </w:p>
    <w:p>
      <w:pPr>
        <w:ind w:right="440" w:firstLine="8"/>
        <w:spacing w:after="0" w:line="261"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our third-party salt water gathering and disposal revenue to approximately $1.1 million for the three months ended March 31, 2018, as compared to approximately $0.3 million for the three months ended March 31, 2017.</w:t>
      </w:r>
    </w:p>
    <w:p>
      <w:pPr>
        <w:spacing w:after="0" w:line="7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 xml:space="preserve">Realized loss on derivatives. </w:t>
      </w:r>
      <w:r>
        <w:rPr>
          <w:rFonts w:ascii="Arial" w:cs="Arial" w:eastAsia="Arial" w:hAnsi="Arial"/>
          <w:sz w:val="17"/>
          <w:szCs w:val="17"/>
          <w:color w:val="auto"/>
        </w:rPr>
        <w:t>Our realized net loss on derivatives was $4.3 million for the three months ended March 31, 2018, as compared to a realized</w:t>
      </w:r>
      <w:r>
        <w:rPr>
          <w:rFonts w:ascii="Arial" w:cs="Arial" w:eastAsia="Arial" w:hAnsi="Arial"/>
          <w:sz w:val="17"/>
          <w:szCs w:val="17"/>
          <w:i w:val="1"/>
          <w:iCs w:val="1"/>
          <w:color w:val="auto"/>
        </w:rPr>
        <w:t xml:space="preserve"> </w:t>
      </w:r>
      <w:r>
        <w:rPr>
          <w:rFonts w:ascii="Arial" w:cs="Arial" w:eastAsia="Arial" w:hAnsi="Arial"/>
          <w:sz w:val="17"/>
          <w:szCs w:val="17"/>
          <w:color w:val="auto"/>
        </w:rPr>
        <w:t>net loss of $2.2 million for the three months ended March 31, 2017. We realized a net loss of $4.3 million from our oil derivative contracts for the three months ended March 31, 2018 resulting from oil prices above the short call/ceiling prices of certain of our oil costless collar contracts and oil basis prices below swap prices of certain of our oil basis swap contracts. We realized a net loss of $1.6 million and $0.6 million from our oil and natural gas derivative contracts, respectively, for the three months ended March 31, 2017 resulting from oil and natural gas prices that were above the ceiling prices of the majority of our oil and natural gas costless collar contracts. We realized an average loss on our oil derivatives of approximately $1.81 per Bbl produced during the three months ended March 31, 2018, as compared to an average loss of $0.99 per Bbl produced during the three months ended March 31, 2017. Our total oil volumes hedged for the three months ended March 31, 2018 represented 55% of our total oil production, as compared to 58% of our total oil production for the three months ended March 31, 2017. We realized an average loss on our natural gas derivatives of less than $0.01 per Mcf produced during the three months ended March 31, 2018, as compared to an average loss of approximately $0.08 per Mcf produced for the three months ended March 31, 2017. Our total natural gas volumes hedged for the three months ended March 31, 2018 represented 41% of our total natural gas production, as compared to 66% of our total natural gas production for the three months ended March 31, 2017.</w:t>
      </w:r>
    </w:p>
    <w:p>
      <w:pPr>
        <w:spacing w:after="0" w:line="7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i w:val="1"/>
          <w:iCs w:val="1"/>
          <w:color w:val="auto"/>
        </w:rPr>
        <w:t xml:space="preserve">Unrealized gain on derivatives. </w:t>
      </w:r>
      <w:r>
        <w:rPr>
          <w:rFonts w:ascii="Arial" w:cs="Arial" w:eastAsia="Arial" w:hAnsi="Arial"/>
          <w:sz w:val="16"/>
          <w:szCs w:val="16"/>
          <w:color w:val="auto"/>
        </w:rPr>
        <w:t>Our unrealized net gain on derivatives was $10.4 million for the three months ended March 31, 2018, as compared to an</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net gain of $20.6 million for the three months ended March 31, 2017. During the three months ended March 31, 2018, the net fair value of our open oil and natural gas derivative contracts changed to a net liability of approximately $4.8 million from a net liability of $15.2 million at December 31, 2017, resulting in an unrealized net gain on derivatives of $10.4 million for the three months ended March 31, 2018. During the three months ended March 31, 2017, the net fair value of our open oil and natural gas derivative contracts changed to a net liability of approximately $4.3 million from a net liability of $25.0 million at December 31, 2016, resulting in an unrealized net gain on derivatives of $20.6 million for the three months ended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operating expenses and other income (expense) for the periods indicated:</w:t>
      </w:r>
    </w:p>
    <w:p>
      <w:pPr>
        <w:spacing w:after="0" w:line="271"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r>
      <w:tr>
        <w:trPr>
          <w:trHeight w:val="257"/>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expenses per BOE)</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230"/>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1"/>
        </w:trPr>
        <w:tc>
          <w:tcPr>
            <w:tcW w:w="9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5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Production taxes, transportation and processing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11,807</w:t>
            </w:r>
          </w:p>
        </w:tc>
      </w:tr>
      <w:tr>
        <w:trPr>
          <w:trHeight w:val="243"/>
        </w:trPr>
        <w:tc>
          <w:tcPr>
            <w:tcW w:w="9260" w:type="dxa"/>
            <w:vAlign w:val="bottom"/>
          </w:tcPr>
          <w:p>
            <w:pPr>
              <w:ind w:left="720"/>
              <w:spacing w:after="0"/>
              <w:rPr>
                <w:sz w:val="20"/>
                <w:szCs w:val="20"/>
                <w:color w:val="auto"/>
              </w:rPr>
            </w:pPr>
            <w:r>
              <w:rPr>
                <w:rFonts w:ascii="Arial" w:cs="Arial" w:eastAsia="Arial" w:hAnsi="Arial"/>
                <w:sz w:val="18"/>
                <w:szCs w:val="18"/>
                <w:color w:val="auto"/>
              </w:rPr>
              <w:t>Lease operating</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22,148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15,758</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Plant and other midstream services operating</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2,341</w:t>
            </w:r>
          </w:p>
        </w:tc>
      </w:tr>
      <w:tr>
        <w:trPr>
          <w:trHeight w:val="243"/>
        </w:trPr>
        <w:tc>
          <w:tcPr>
            <w:tcW w:w="9260" w:type="dxa"/>
            <w:vAlign w:val="bottom"/>
          </w:tcPr>
          <w:p>
            <w:pPr>
              <w:ind w:left="720"/>
              <w:spacing w:after="0"/>
              <w:rPr>
                <w:sz w:val="20"/>
                <w:szCs w:val="20"/>
                <w:color w:val="auto"/>
              </w:rPr>
            </w:pPr>
            <w:r>
              <w:rPr>
                <w:rFonts w:ascii="Arial" w:cs="Arial" w:eastAsia="Arial" w:hAnsi="Arial"/>
                <w:sz w:val="18"/>
                <w:szCs w:val="18"/>
                <w:color w:val="auto"/>
              </w:rPr>
              <w:t>Depletion, depreciation and amortization</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55,369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33,992</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Accretion of 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9260" w:type="dxa"/>
            <w:vAlign w:val="bottom"/>
          </w:tcPr>
          <w:p>
            <w:pPr>
              <w:ind w:left="7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17,926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16,338</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80,536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73,362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54,278</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720"/>
              <w:spacing w:after="0"/>
              <w:rPr>
                <w:sz w:val="20"/>
                <w:szCs w:val="20"/>
                <w:color w:val="auto"/>
              </w:rPr>
            </w:pPr>
            <w:r>
              <w:rPr>
                <w:rFonts w:ascii="Arial" w:cs="Arial" w:eastAsia="Arial" w:hAnsi="Arial"/>
                <w:sz w:val="18"/>
                <w:szCs w:val="18"/>
                <w:color w:val="auto"/>
              </w:rPr>
              <w:t>Net gain on asset sales and inventory impairment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(8,455)</w:t>
            </w:r>
          </w:p>
        </w:tc>
      </w:tr>
      <w:tr>
        <w:trPr>
          <w:trHeight w:val="243"/>
        </w:trPr>
        <w:tc>
          <w:tcPr>
            <w:tcW w:w="9260" w:type="dxa"/>
            <w:vAlign w:val="bottom"/>
          </w:tcPr>
          <w:p>
            <w:pPr>
              <w:ind w:left="72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other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64,924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45,900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59,894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43,984</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 per BOE: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720"/>
              <w:spacing w:after="0"/>
              <w:rPr>
                <w:sz w:val="20"/>
                <w:szCs w:val="20"/>
                <w:color w:val="auto"/>
              </w:rPr>
            </w:pPr>
            <w:r>
              <w:rPr>
                <w:rFonts w:ascii="Arial" w:cs="Arial" w:eastAsia="Arial" w:hAnsi="Arial"/>
                <w:sz w:val="18"/>
                <w:szCs w:val="18"/>
                <w:color w:val="auto"/>
              </w:rPr>
              <w:t>Production taxes, transportation and processing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3.98</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Lease operating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w:t>
            </w:r>
          </w:p>
        </w:tc>
      </w:tr>
      <w:tr>
        <w:trPr>
          <w:trHeight w:val="243"/>
        </w:trPr>
        <w:tc>
          <w:tcPr>
            <w:tcW w:w="9260" w:type="dxa"/>
            <w:vAlign w:val="bottom"/>
          </w:tcPr>
          <w:p>
            <w:pPr>
              <w:ind w:left="720"/>
              <w:spacing w:after="0"/>
              <w:rPr>
                <w:sz w:val="20"/>
                <w:szCs w:val="20"/>
                <w:color w:val="auto"/>
              </w:rPr>
            </w:pPr>
            <w:r>
              <w:rPr>
                <w:rFonts w:ascii="Arial" w:cs="Arial" w:eastAsia="Arial" w:hAnsi="Arial"/>
                <w:sz w:val="18"/>
                <w:szCs w:val="18"/>
                <w:color w:val="auto"/>
              </w:rPr>
              <w:t>Plant and other midstream services operating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0.79</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Depletion, depreciation and amortization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w:t>
            </w:r>
          </w:p>
        </w:tc>
      </w:tr>
      <w:tr>
        <w:trPr>
          <w:trHeight w:val="243"/>
        </w:trPr>
        <w:tc>
          <w:tcPr>
            <w:tcW w:w="9260" w:type="dxa"/>
            <w:vAlign w:val="bottom"/>
          </w:tcPr>
          <w:p>
            <w:pPr>
              <w:ind w:left="7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5.50</w:t>
            </w:r>
          </w:p>
        </w:tc>
      </w:tr>
    </w:tbl>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March 31, 2018 as Compared to Three Months Ended March 31, 2017</w:t>
      </w:r>
    </w:p>
    <w:p>
      <w:pPr>
        <w:spacing w:after="0" w:line="117"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i w:val="1"/>
          <w:iCs w:val="1"/>
          <w:color w:val="auto"/>
        </w:rPr>
        <w:t xml:space="preserve">Production taxes, transportation and processing. </w:t>
      </w:r>
      <w:r>
        <w:rPr>
          <w:rFonts w:ascii="Arial" w:cs="Arial" w:eastAsia="Arial" w:hAnsi="Arial"/>
          <w:sz w:val="16"/>
          <w:szCs w:val="16"/>
          <w:color w:val="auto"/>
        </w:rPr>
        <w:t>Our production taxes, transportation and processing expenses increased $6.0 million to $17.8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51%, for the three months ended March 31, 2018, as compared to $11.8 million for the three months ended March 31, 2017. On a unit-of-production basis, our production taxes, transportation and processing expenses increased 10% to $4.37 per BOE for the three months ended March 31, 2018, as compared to $3.98 per BOE for the three months ended March 31, 2017. The increase in production taxes, transportation and processing expenses was primarily attributable to the $5.9 million increase in our production taxes to $13.1 million for the three months ended March 31, 2018, as compared to $7.2 million for the three months ended March 31, 2017, primarily due to the $67.1 million increase in oil and natural gas revenues for the three months ended March 31, 2018, as compared to the three months ended March 31, 2017. In addition, the production tax rates in New Mexico are higher than production tax rates in Texas. As more of our oil and natural gas production becomes attributable to New Mexico, we expect our production tax expenses to increase proportionately.</w:t>
      </w:r>
    </w:p>
    <w:p>
      <w:pPr>
        <w:spacing w:after="0" w:line="58"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i w:val="1"/>
          <w:iCs w:val="1"/>
          <w:color w:val="auto"/>
        </w:rPr>
        <w:t xml:space="preserve">Lease operating. </w:t>
      </w:r>
      <w:r>
        <w:rPr>
          <w:rFonts w:ascii="Arial" w:cs="Arial" w:eastAsia="Arial" w:hAnsi="Arial"/>
          <w:sz w:val="17"/>
          <w:szCs w:val="17"/>
          <w:color w:val="auto"/>
        </w:rPr>
        <w:t>Our lease operating expenses increased $6.4 million to $22.1 million, or an increase of 41%,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2018, as compared to $15.8 million for the three months ended March 31, 2017. Our lease operating expenses on a unit-of-production basis increased 2% to $5.44 per BOE for the three months ended March 31, 2018, as compared to $5.31 per BOE for the three months ended March 31, 2017. The increase in lease operating expenses for the three months ended March 31, 2018, as compared to the three months ended March 31, 2017, was primarily attributable to an increase in costs of services and equipment related to the increased number of wells at March 31, 2018, as compared to March 31, 2017, as a result of our increased delineation and development drilling activities in the Delaware Basin.</w:t>
      </w:r>
    </w:p>
    <w:p>
      <w:pPr>
        <w:spacing w:after="0" w:line="7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$1.9 million to $4.2 million, or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80%, for the three months ended March 31, 2018, as compared to $2.3 million for the three months ended March 31, 2017. This increase was partially attributable to (i) increased expenses associated with our expanded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commercial salt water disposal operations to $2.2 million for the three months ended March 31, 2018, as compared to $1.5 million for the three months ended March 31, 2017, and (ii) increased expenses associated with the Black River Processing Plant to $1.7 million for the three months ended March 31, 2018, as compared to $0.8 million for the three months ended March 31, 2017.</w:t>
      </w:r>
    </w:p>
    <w:p>
      <w:pPr>
        <w:spacing w:after="0" w:line="73"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i w:val="1"/>
          <w:iCs w:val="1"/>
          <w:color w:val="auto"/>
        </w:rPr>
        <w:t xml:space="preserve">Depletion, depreciation and amortization. </w:t>
      </w:r>
      <w:r>
        <w:rPr>
          <w:rFonts w:ascii="Arial" w:cs="Arial" w:eastAsia="Arial" w:hAnsi="Arial"/>
          <w:sz w:val="16"/>
          <w:szCs w:val="16"/>
          <w:color w:val="auto"/>
        </w:rPr>
        <w:t>Our depletion, depreciation and amortization expenses increased $21.4 million to $55.4 million, or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63%, for the three months ended March 31, 2018, as compared to $34.0 million for the three months ended March 31, 2017. On a unit-of-production basis, our depletion, depreciation and amortization expenses increased to $13.59 per BOE for the three months ended March 31, 2018, as compared to $11.45 per BOE for the three months ended March 31, 2017. The increase in our total depletion, depreciation and amortization expenses was primarily attributable to (i) increased well costs, largely as a result of increased well stimulation costs and (ii) the 37% increase in total oil equivalent production to 4.1 million BOE for the three months ended March 31, 2018, as compared to 3.0 million BOE for the three months ended March 31, 2017. The impact of the increase in well costs and oil and natural gas production was partially offset by higher total proved oil and natural gas reserves at March 31, 2018, as compared to March 31, 2017. The increase in total proved oil and natural gas reserves was primarily attributable to our ongoing delineation and development drilling activities in the Delaware Basin. In addition, depreciation expenses attributable to our midstream segment were approximately $1.5 million for the three months ended March 31, 2018, as compared to $1.2 million for the three months ended March 31, 2017.</w:t>
      </w:r>
    </w:p>
    <w:p>
      <w:pPr>
        <w:spacing w:after="0" w:line="6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increased $1.6 million to $17.9 million, or an increase of 10%,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2018, as compared to $16.3 million for the three months ended March 31, 2017. The increase in our general and administrative expenses was primarily attributable to increased payroll expenses of approximately $4.2 million associated with additional employees joining the Company to support our increased land, geoscience, drilling, completion, production, midstream, accounting and administration functions as a result of the continued growth of the Company. These increases were partially offset by the increase in capitalized general and administrative expenses of $1.7 million for the three months ended March 31, 2018, as compared to the three months ended March 31, 2017. As a result of the 37% increase in oil and natural gas production for the three months ended March 31, 2018, as compared to the three months ended March 31, 2017, our general and administrative expenses decreased 20% on a unit-of-production basis to $4.40 per BOE for the three months ended March 31, 2018, as compared to $5.50 per BOE for the three months ended March 31, 2017.</w:t>
      </w:r>
    </w:p>
    <w:p>
      <w:pPr>
        <w:spacing w:after="0" w:line="8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three months ended March 31, 2018, we incurred total interest expense of approximately $10.4 million. We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$1.9 million of our interest expense on certain qualifying projects for the three months ended March 31, 2018 and expensed the remaining $8.5 million to operations. For the three months ended March 31, 2017, we incurred total interest expense of approximately $9.7 million. We capitalized $1.2 million of our interest expense on certain qualifying projects for the three months ended March 31, 2017 and expensed the remaining $8.5 million to operations.</w:t>
      </w:r>
    </w:p>
    <w:p>
      <w:pPr>
        <w:spacing w:after="0" w:line="80"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i w:val="1"/>
          <w:iCs w:val="1"/>
          <w:color w:val="auto"/>
        </w:rPr>
        <w:t xml:space="preserve">Total income tax benefit. </w:t>
      </w:r>
      <w:r>
        <w:rPr>
          <w:rFonts w:ascii="Arial" w:cs="Arial" w:eastAsia="Arial" w:hAnsi="Arial"/>
          <w:sz w:val="18"/>
          <w:szCs w:val="18"/>
          <w:color w:val="auto"/>
        </w:rPr>
        <w:t>Our deferred tax assets exceeded our deferred tax liabilities at March 31, 2018 due to the deferred tax amounts generated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full-cost ceiling impairment charges recorded in prior periods. As a result, we established a valuation allowance against the deferred tax assets beginning in the third quarter of 2015. We retained a full valuation allowance at March 31, 2018 due to uncertainties regarding the future realization of our deferred tax assets.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primary use of capital has been, and we expect will continue to be during the remainder of 2018 and for the foreseeable future, for the acquisition, exploration and development of oil and natural gas properties and for midstream investments. Excluding any possible significant acquisitions, we expect to fund our capital expenditure requirements through the remainder of 2018 through a combination of cash on hand, operating cash flows and borrowings under our third amended and restated revolving credit agreement, as amended (the “Credit Agreement”) (assuming availability under our borrowing base). We continually evaluate other capital sources, including borrowings under additional credit arrangements, the sale or joint venture of midstream assets or oil and natural gas producing assets or acreage, particularly in our non-core asset areas, as well as potential issuances of equity, debt or convertible securities, none of which may be available on satisfactory terms or at all. Our future success in growing proved reserves and production will be highly dependent on our ability to access outside sources of capital and to generate operating cash flows.</w:t>
      </w:r>
    </w:p>
    <w:p>
      <w:pPr>
        <w:spacing w:after="0" w:line="58"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At March 31, 2018, we had cash totaling approximately $27.0 million and restricted cash totaling approximately $25.8 million, most of which is associated with San Mateo. By contractual agreement, the cash in the accounts held by our less-than-wholly-owned subsidiaries is not to be commingled with other of our cash and is to be used only to fund the capital expenditures and operations of these less-than-wholly-owned subsidiaries.</w:t>
      </w:r>
    </w:p>
    <w:p>
      <w:pPr>
        <w:spacing w:after="0" w:line="5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During the first quarter of 2018, the lenders under our Credit Agreement completed their review of the Company’s proved oil and natural gas reserves at December 31, 2017, and as a result, on March 5, 2018, the borrowing base was increased to $725.0 million and the maximum facility amount remained at $500.0 million. This March 2018 redetermination constituted the regularly scheduled May 1 redetermination. The Company elected to keep the lenders’ borrowing commitment at $400.0 million. Borrowings under the Credit Agreement are limited to the lowest of the borrowing base, the maximum facility amount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the elected commitment. The Credit Agreement matures on October 16, 2020. At March 31, 2018, we had no outstanding borrowings under our Credit Agreement.</w:t>
      </w:r>
    </w:p>
    <w:p>
      <w:pPr>
        <w:spacing w:after="0" w:line="62" w:lineRule="exact"/>
        <w:rPr>
          <w:sz w:val="20"/>
          <w:szCs w:val="20"/>
          <w:color w:val="auto"/>
        </w:rPr>
      </w:pPr>
    </w:p>
    <w:p>
      <w:pPr>
        <w:jc w:val="both"/>
        <w:ind w:right="420" w:firstLine="432"/>
        <w:spacing w:after="0" w:line="312" w:lineRule="auto"/>
        <w:rPr>
          <w:sz w:val="20"/>
          <w:szCs w:val="20"/>
          <w:color w:val="auto"/>
        </w:rPr>
      </w:pPr>
      <w:r>
        <w:rPr>
          <w:rFonts w:ascii="Arial" w:cs="Arial" w:eastAsia="Arial" w:hAnsi="Arial"/>
          <w:sz w:val="16"/>
          <w:szCs w:val="16"/>
          <w:color w:val="auto"/>
        </w:rPr>
        <w:t>In April 2018, we accessed the line of credit under our Credit Agreement to fund certain of our acreage and mineral acquisitions, as well as for our ongoing exploration and development and midstream activities and for general corporate purposes. At May 2, 2018, we had $45.0 million in borrowings outstanding under our Credit Agreement and approximately $3.0 million in outstanding letters of credit issued pursuant to the Credit Agreement.</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expect that development of our Delaware Basin assets will be the primary focus of our operations and capital expenditures for the remainder</w:t>
      </w:r>
    </w:p>
    <w:p>
      <w:pPr>
        <w:spacing w:after="0" w:line="3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of 2018. We plan to operate six contracted drilling rigs in the Delaware Basin throughout the remainder of 2018. One of the six rigs is also expected to drill at least two additional salt water disposal wells in the Rustler Breaks asset area for San Mateo during 2018. Our 2018 estimated capital expenditure budget consists of $530 to $570 million for drilling, completions, facilities and infrastructure and $70 to $90 million for midstream capital expenditures, which represents our 51% share of San Mateo’s 2018 estimated capital expenditures. During the first quarter of 2018, we incurred capital expenditures of approximately $170.5 million for drilling, completions, facilities and infrastructure and approximately $23.3 million for midstream activities, which was 51% of San Mateo’s capital expenditures of $45.7 million. Substantially all of our 2018 estimated capital expenditures will be allocated to the further delineation and development of our growing leasehold position and midstream assets in the Delaware Basin, with the exception of amounts allocated to limited operations in the Eagle Ford and Haynesville shales to maintain and extend leases and to participate in certain non-operated well opportunities. Our 2018 Delaware Basin drilling program will focus on the continued development of the Wolf and Rustler Breaks asset areas and the further delineation and development of the Antelope Ridge, Jackson Trust, Ranger/Arrowhead and Twin Lakes asset areas, although we also anticipate continuing to delineate previously untested intervals in the Wolf and Rustler Breaks asset areas during 2018 as well. Depending on commodity prices, costs, opportunities in new asset areas like Antelope Ridge, liquidity and other factors, we may consider adding a seventh rig towards the end of 2018.</w:t>
      </w:r>
    </w:p>
    <w:p>
      <w:pPr>
        <w:spacing w:after="0" w:line="6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From January 1, 2018 through April 30, 2018, we acquired approximately 3,500 net leasehold and mineral acres, mostly in and around our existing acreage in the Delaware Basin, for a total acquisition cost of approximately $30 million. We intend to continue acquiring acreage and mineral interests, principally in the Delaware Basin, during the remainder of 2018. These expenditures are opportunity-specific and per-acre prices can vary significantly based on the prospect. As a result, it is difficult to estimate these 2018 capital expenditures with any degree of certainty; therefore, we have not provided estimated capital expenditures related to acreage and mineral acquisitions for 2018.</w:t>
      </w:r>
    </w:p>
    <w:p>
      <w:pPr>
        <w:spacing w:after="0" w:line="8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2018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5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2018 is expected to come from producing wells and development activities on currently proved properties in the Wolfcamp and Bone Spring plays in the Delaware Basin, the Eagle Ford shale in South Texas and the Haynesville shale in Louisiana. Our existing wells may not produce at the levels we have forecasted and our exploration and development activities in these areas may not be as successful as we anticipate. Additionally, our anticipated cash flows from operations are based upon current expectations of oil and natural gas prices for the remainder of 2018 and the hedges we currently have in place. We use commodity derivative financial instruments at times to mitigate our exposure to fluctuations in oil, natural gas and natural gas liquid (“NGL”) prices and to partially offset reductions in our cash flows from operations resulting from declines in commodity prices. See Note 7 to the interim unaudited condensed consolidated financial statements in this Quarterly Report for a summary of our open derivative financial instruments at March 31, 2018.</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unaudited cash flows for the three months ended March 31, 2018 and 2017 are presented below:</w:t>
      </w:r>
    </w:p>
    <w:p>
      <w:pPr>
        <w:spacing w:after="0" w:line="172" w:lineRule="exact"/>
        <w:rPr>
          <w:sz w:val="20"/>
          <w:szCs w:val="20"/>
          <w:color w:val="auto"/>
        </w:rPr>
      </w:pPr>
    </w:p>
    <w:p>
      <w:pPr>
        <w:ind w:left="89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4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4579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61,309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(220,754)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(224,974)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173,832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change in cash</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10,167</w:t>
            </w: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51"/>
        </w:trPr>
        <w:tc>
          <w:tcPr>
            <w:tcW w:w="858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rPr>
              <w:t xml:space="preserve">Adjusted EBITDA attributable to Matador Resources Company shareholders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117,254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69,959</w:t>
            </w: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__________________</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75" w:lineRule="exact"/>
        <w:rPr>
          <w:sz w:val="20"/>
          <w:szCs w:val="20"/>
          <w:color w:val="auto"/>
        </w:rPr>
      </w:pPr>
    </w:p>
    <w:p>
      <w:pPr>
        <w:ind w:left="340" w:right="440" w:hanging="332"/>
        <w:spacing w:after="0" w:line="27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(loss) and net cash provided by operating activities, see “— Non-GAAP Financial Measures” below.</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Net cash provided by operating activities increased $74.8 million to $136.1 million for the three months ended March 31, 2018 from $61.3 million for the three months ended March 31, 2017. Excluding changes in operating assets and liabilities, net cash provided by operating activities increased to $114.8 million for the three months ended March 31, 2018 from $63.8 million for the three months ended March 31, 2017. This increase was primarily attributable to higher oil and natural gas production and higher oil prices. Changes in our operating assets and liabilities between the two periods resulted in a net increase of approximately $23.8 million in net cash provided by operating activities for the three months ended March 31, 2018, as compared to the three months ended March 31, 2017.</w:t>
      </w:r>
    </w:p>
    <w:p>
      <w:pPr>
        <w:spacing w:after="0" w:line="8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operating cash flows are sensitive to a number of variables, including changes in our production and volatility of oil and natural gas prices between reporting periods. Regional and worldwide economic activity, the actions of OPEC, weather, infrastructure capacity to reach markets and other variable factors significantly impact the prices of oil and natural gas. These factors are beyond our control and are difficult to predict. We use commodity derivative financial instruments to mitigate our exposure to fluctuations in oil, natural gas and NGL prices. In addition, we attempt to avoid long-term service agreements where possible in order to minimize ongoing future commitments.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Net cash used in investing activities decreased by $4.2 million to $220.8 million for the three months ended March 31, 2018 from $225.0 million for the three months ended March 31, 2017. This decrease in net cash used in investing activities is primarily due to a decrease of $21.0 million in oil and natural gas properties capital expenditures for the three months ended March 31, 2018, as compared to the three months ended March 31, 2017. Cash used for oil and natural gas properties capital expenditures for the three months ended March 31, 2018 was primarily attributable to the acquisition of additional leasehold and mineral interests and to our operated drilling and completion activities in the Delaware Basin. This decrease was partially offset by an increase in cash used for midstream and other property and equipment of approximately $16.5 million primarily related to capital expenditures for San Mateo.</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Net cash provided by financing activities decreased by $138.9 million to $34.9 million for the three months ended March 31, 2018 from $173.8 million for the three months ended March 31, 2017. During the three months ended March 31, 2018, we received net proceeds of $14.7 million attributable to performance incentives related to the formation of San Mateo as well as net cash of $24.5 million attributable to contributions from and distributions to the non-controlling interest owners of less-than-wholly-owned subsidiaries. During the three months ended March 31, 2017, we received net proceeds of $171.5 million related to the formation of San Mateo.</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Financial Measures</w:t>
      </w:r>
    </w:p>
    <w:p>
      <w:pPr>
        <w:spacing w:after="0" w:line="90" w:lineRule="exact"/>
        <w:rPr>
          <w:sz w:val="20"/>
          <w:szCs w:val="20"/>
          <w:color w:val="auto"/>
        </w:rPr>
      </w:pPr>
    </w:p>
    <w:p>
      <w:pPr>
        <w:jc w:val="both"/>
        <w:ind w:right="100" w:firstLine="432"/>
        <w:spacing w:after="0" w:line="288" w:lineRule="auto"/>
        <w:rPr>
          <w:sz w:val="20"/>
          <w:szCs w:val="20"/>
          <w:color w:val="auto"/>
        </w:rPr>
      </w:pPr>
      <w:r>
        <w:rPr>
          <w:rFonts w:ascii="Arial" w:cs="Arial" w:eastAsia="Arial" w:hAnsi="Arial"/>
          <w:sz w:val="16"/>
          <w:szCs w:val="16"/>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inventory impairment. Adjusted EBITDA is not a measure of net income (loss) or cash flows as determined by GAAP.</w:t>
      </w:r>
    </w:p>
    <w:p>
      <w:pPr>
        <w:ind w:right="220"/>
        <w:spacing w:after="0" w:line="261" w:lineRule="auto"/>
        <w:rPr>
          <w:sz w:val="20"/>
          <w:szCs w:val="20"/>
          <w:color w:val="auto"/>
        </w:rPr>
      </w:pPr>
      <w:r>
        <w:rPr>
          <w:rFonts w:ascii="Arial" w:cs="Arial" w:eastAsia="Arial" w:hAnsi="Arial"/>
          <w:sz w:val="18"/>
          <w:szCs w:val="18"/>
          <w:color w:val="auto"/>
        </w:rPr>
        <w:t>Adjusted EBITDA is a supplemental non-GAAP financial measure that is used by management and external users of our consolidated financial statements, such as industry analysts, investors, lenders and rating agencies.</w:t>
      </w:r>
    </w:p>
    <w:p>
      <w:pPr>
        <w:spacing w:after="0" w:line="13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substantially from company to company within our industry depending upon accounting methods and book values of assets, capital structures and the method by which certain assets were acquired.</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Adjusted EBITDA should not be considered an alternative to, or more meaningful than, net income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8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108"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4579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7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90372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03720" cy="18034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Unaudited Adjusted EBITDA Reconciliation to Net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59,894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43,984</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64,924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45,900</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Depletion, depreciation and amortization</w:t>
            </w: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55,369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33,992</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Unrealized gain on derivatives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(20,631)</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gain on asset sales and inventory impairment</w:t>
            </w:r>
          </w:p>
        </w:tc>
        <w:tc>
          <w:tcPr>
            <w:tcW w:w="2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Adjusted EBITDA</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122,911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72,175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 attributable to Matador Resources Company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117,254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69,959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r>
      <w:tr>
        <w:trPr>
          <w:trHeight w:val="268"/>
        </w:trPr>
        <w:tc>
          <w:tcPr>
            <w:tcW w:w="8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2"/>
                <w:szCs w:val="22"/>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ind w:right="311"/>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90372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03720" cy="18034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Unaudited Adjusted EBITDA Reconciliation to Net Cash Provided by Operating Activities: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136,149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61,309</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 net of non-cash portion</w:t>
            </w:r>
          </w:p>
        </w:tc>
        <w:tc>
          <w:tcPr>
            <w:tcW w:w="2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8,411</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Adjusted EBITDA attributable to Matador Resources Company shareholders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117,254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69,959</w:t>
            </w:r>
          </w:p>
        </w:tc>
      </w:tr>
      <w:tr>
        <w:trPr>
          <w:trHeight w:val="27"/>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Net income attributable to Matador Resources Company shareholders increased by $15.9 million to $59.9 million for the three months ended March 31, 2018, as compared to $44.0 million for the three months ended March 31, 2017. This increase in net income attributable to Matador Resources Company shareholders for the three months ended March 31, 2018 as compared to the three months ended March 31, 2017 is primarily attributable to the increase in oil and natural gas revenues of $67.1 million partially offset by a $10.2 million decrease in unrealized gain on derivatives and a $37.3 million increase in total expenses, including a $21.4 million increase in depletion, depreciation and amortization expenses.</w:t>
      </w:r>
    </w:p>
    <w:p>
      <w:pPr>
        <w:spacing w:after="0" w:line="64"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Our Adjusted EBITDA, a non-GAAP financial measure, increased by $47.3 million to $117.3 million for the three months ended March 31, 2018, as compared to $70.0 million for the three months ended March 31, 2017. This increase in our Adjusted EBITDA is primarily attributable to higher oil and natural gas production and higher oil prices for the three months ended March 31, 2018, as compared to the three months ended March 31, 2017.</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From time-to-time, we enter into off-balance sheet arrangements and transactions that can give rise to material off-balance sheet obligations. As</w:t>
      </w:r>
    </w:p>
    <w:p>
      <w:pPr>
        <w:spacing w:after="0" w:line="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of March 31, 2018, the material off-balance sheet arrangements and transactions that we have entered into include (i) operating lease agreements, (ii) non-operated drilling commitments, (iii) termination obligations under drilling rig contracts, (iv) firm transportation, gathering, processing and disposal commitments and (v)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the Company’s liquidity or availability of or requirements for capital resources. See “—Obligations and Commitments” below and Note 9 to the interim unaudited condensed consolidated financial statements in this Quarterly Report for more information regarding our off-balance sheet arrangements. Such information is incorporated herein by reference.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the following material contractual obligations and commitments at March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7"/>
              </w:rPr>
              <w:t>Less</w:t>
            </w:r>
          </w:p>
        </w:tc>
        <w:tc>
          <w:tcPr>
            <w:tcW w:w="22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1 - 3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3 - 5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9"/>
        </w:trPr>
        <w:tc>
          <w:tcPr>
            <w:tcW w:w="5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Than</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rPr>
              <w:t>Than</w:t>
            </w:r>
          </w:p>
        </w:tc>
        <w:tc>
          <w:tcPr>
            <w:tcW w:w="0" w:type="dxa"/>
            <w:vAlign w:val="bottom"/>
          </w:tcPr>
          <w:p>
            <w:pPr>
              <w:spacing w:after="0"/>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6"/>
                <w:szCs w:val="16"/>
                <w:color w:val="auto"/>
              </w:rPr>
            </w:pPr>
          </w:p>
        </w:tc>
        <w:tc>
          <w:tcPr>
            <w:tcW w:w="80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60" w:type="dxa"/>
            <w:vAlign w:val="bottom"/>
          </w:tcPr>
          <w:p>
            <w:pPr>
              <w:ind w:left="40"/>
              <w:spacing w:after="0" w:line="270" w:lineRule="exact"/>
              <w:rPr>
                <w:sz w:val="20"/>
                <w:szCs w:val="20"/>
                <w:color w:val="auto"/>
              </w:rPr>
            </w:pPr>
            <w:r>
              <w:rPr>
                <w:rFonts w:ascii="Arial" w:cs="Arial" w:eastAsia="Arial" w:hAnsi="Arial"/>
                <w:sz w:val="18"/>
                <w:szCs w:val="18"/>
                <w:color w:val="auto"/>
              </w:rPr>
              <w:t>Revolving credit borrowings, including letters of credit</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Senior unsecured notes</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Office leases</w:t>
            </w: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21,995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8,839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Non-operated drilling commitments</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30,128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tcPr>
          <w:p>
            <w:pPr>
              <w:ind w:left="40"/>
              <w:spacing w:after="0" w:line="270" w:lineRule="exact"/>
              <w:rPr>
                <w:sz w:val="20"/>
                <w:szCs w:val="20"/>
                <w:color w:val="auto"/>
              </w:rPr>
            </w:pPr>
            <w:r>
              <w:rPr>
                <w:rFonts w:ascii="Arial" w:cs="Arial" w:eastAsia="Arial" w:hAnsi="Arial"/>
                <w:sz w:val="18"/>
                <w:szCs w:val="18"/>
                <w:color w:val="auto"/>
              </w:rPr>
              <w:t>Drilling rig contracts</w:t>
            </w:r>
            <w:r>
              <w:rPr>
                <w:rFonts w:ascii="Arial" w:cs="Arial" w:eastAsia="Arial" w:hAnsi="Arial"/>
                <w:sz w:val="25"/>
                <w:szCs w:val="25"/>
                <w:color w:val="auto"/>
                <w:vertAlign w:val="superscript"/>
              </w:rPr>
              <w:t>(4)</w:t>
            </w:r>
          </w:p>
        </w:tc>
        <w:tc>
          <w:tcPr>
            <w:tcW w:w="20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32,738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26,504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22,820</w:t>
            </w:r>
          </w:p>
        </w:tc>
        <w:tc>
          <w:tcPr>
            <w:tcW w:w="0" w:type="dxa"/>
            <w:vAlign w:val="bottom"/>
          </w:tcPr>
          <w:p>
            <w:pPr>
              <w:spacing w:after="0"/>
              <w:rPr>
                <w:sz w:val="1"/>
                <w:szCs w:val="1"/>
                <w:color w:val="auto"/>
              </w:rPr>
            </w:pPr>
          </w:p>
        </w:tc>
      </w:tr>
      <w:tr>
        <w:trPr>
          <w:trHeight w:val="229"/>
        </w:trPr>
        <w:tc>
          <w:tcPr>
            <w:tcW w:w="5360" w:type="dxa"/>
            <w:vAlign w:val="bottom"/>
          </w:tcPr>
          <w:p>
            <w:pPr>
              <w:ind w:left="40"/>
              <w:spacing w:after="0"/>
              <w:rPr>
                <w:sz w:val="20"/>
                <w:szCs w:val="20"/>
                <w:color w:val="auto"/>
              </w:rPr>
            </w:pPr>
            <w:r>
              <w:rPr>
                <w:rFonts w:ascii="Arial" w:cs="Arial" w:eastAsia="Arial" w:hAnsi="Arial"/>
                <w:sz w:val="18"/>
                <w:szCs w:val="18"/>
                <w:color w:val="auto"/>
                <w:w w:val="95"/>
              </w:rPr>
              <w:t>Natural gas transportation, gathering and processing agreements with</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60" w:type="dxa"/>
            <w:vAlign w:val="bottom"/>
          </w:tcPr>
          <w:p>
            <w:pPr>
              <w:ind w:left="40"/>
              <w:spacing w:after="0" w:line="257" w:lineRule="exact"/>
              <w:rPr>
                <w:sz w:val="20"/>
                <w:szCs w:val="20"/>
                <w:color w:val="auto"/>
              </w:rPr>
            </w:pPr>
            <w:r>
              <w:rPr>
                <w:rFonts w:ascii="Arial" w:cs="Arial" w:eastAsia="Arial" w:hAnsi="Arial"/>
                <w:sz w:val="18"/>
                <w:szCs w:val="18"/>
                <w:color w:val="auto"/>
              </w:rPr>
              <w:t>non-affiliates</w:t>
            </w:r>
            <w:r>
              <w:rPr>
                <w:rFonts w:ascii="Arial" w:cs="Arial" w:eastAsia="Arial" w:hAnsi="Arial"/>
                <w:sz w:val="25"/>
                <w:szCs w:val="25"/>
                <w:color w:val="auto"/>
                <w:vertAlign w:val="superscript"/>
              </w:rPr>
              <w:t>(5)</w:t>
            </w:r>
          </w:p>
        </w:tc>
        <w:tc>
          <w:tcPr>
            <w:tcW w:w="20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203,949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10,284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36,172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45,046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112,447</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Gathering processing and disposal agreements with San Mateo</w:t>
            </w:r>
            <w:r>
              <w:rPr>
                <w:rFonts w:ascii="Arial" w:cs="Arial" w:eastAsia="Arial" w:hAnsi="Arial"/>
                <w:sz w:val="25"/>
                <w:szCs w:val="25"/>
                <w:color w:val="auto"/>
                <w:vertAlign w:val="superscript"/>
              </w:rPr>
              <w:t>(6)</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225,576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5,275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69,994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75,102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75,205</w:t>
            </w:r>
          </w:p>
        </w:tc>
        <w:tc>
          <w:tcPr>
            <w:tcW w:w="0" w:type="dxa"/>
            <w:vAlign w:val="bottom"/>
          </w:tcPr>
          <w:p>
            <w:pPr>
              <w:spacing w:after="0"/>
              <w:rPr>
                <w:sz w:val="1"/>
                <w:szCs w:val="1"/>
                <w:color w:val="auto"/>
              </w:rPr>
            </w:pPr>
          </w:p>
        </w:tc>
      </w:tr>
      <w:tr>
        <w:trPr>
          <w:trHeight w:val="270"/>
        </w:trPr>
        <w:tc>
          <w:tcPr>
            <w:tcW w:w="53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Natural gas construction contracts</w:t>
            </w:r>
            <w:r>
              <w:rPr>
                <w:rFonts w:ascii="Arial" w:cs="Arial" w:eastAsia="Arial" w:hAnsi="Arial"/>
                <w:sz w:val="25"/>
                <w:szCs w:val="25"/>
                <w:color w:val="auto"/>
                <w:vertAlign w:val="superscript"/>
              </w:rPr>
              <w:t>(7)</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16,124</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16,124</w:t>
            </w: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cash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1,134,566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92,082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118,420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794,311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line="273"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At March 31, 2018, we had no borrowings outstanding under our Credit Agreement and approximately $2.1 million in outstanding letters of credit issued pursuant to the Credit Agreement. The Credit Agreement matures in October 2020.</w:t>
      </w:r>
    </w:p>
    <w:p>
      <w:pPr>
        <w:spacing w:after="0" w:line="65"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our 6.875% senior notes due 2023 that are outstanding as of March 31, 2018 is expected to be approximately $39.5 million each year until maturity.</w:t>
      </w:r>
    </w:p>
    <w:p>
      <w:pPr>
        <w:spacing w:after="0" w:line="65" w:lineRule="exact"/>
        <w:rPr>
          <w:rFonts w:ascii="Arial" w:cs="Arial" w:eastAsia="Arial" w:hAnsi="Arial"/>
          <w:sz w:val="14"/>
          <w:szCs w:val="14"/>
          <w:color w:val="auto"/>
        </w:rPr>
      </w:pPr>
    </w:p>
    <w:p>
      <w:pPr>
        <w:ind w:left="340" w:right="160" w:hanging="332"/>
        <w:spacing w:after="0" w:line="257"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At March 31, 2018, we had outstanding commitments to participate in the drilling and completion of various non-operated wells. Our working interests in these wells are typically small, and certain of these wells were in progress at March 31, 2018. If all of these wells are drilled and completed, we will have minimum outstanding aggregate commitments for our participation in these wells of approximately $30.1 million at March 31, 2018, which we expect to incur within the next year.</w:t>
      </w:r>
    </w:p>
    <w:p>
      <w:pPr>
        <w:spacing w:after="0" w:line="77" w:lineRule="exact"/>
        <w:rPr>
          <w:rFonts w:ascii="Arial" w:cs="Arial" w:eastAsia="Arial" w:hAnsi="Arial"/>
          <w:sz w:val="14"/>
          <w:szCs w:val="14"/>
          <w:color w:val="auto"/>
        </w:rPr>
      </w:pPr>
    </w:p>
    <w:p>
      <w:pPr>
        <w:ind w:left="340" w:right="240" w:hanging="332"/>
        <w:spacing w:after="0" w:line="273"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enter into contracts with third parties for such drilling rigs. See Note 9 to the interim unaudited condensed consolidated financial statements in this Quarterly Report for more information regarding these contractual commitments.</w:t>
      </w:r>
    </w:p>
    <w:p>
      <w:pPr>
        <w:spacing w:after="0" w:line="65" w:lineRule="exact"/>
        <w:rPr>
          <w:rFonts w:ascii="Arial" w:cs="Arial" w:eastAsia="Arial" w:hAnsi="Arial"/>
          <w:sz w:val="14"/>
          <w:szCs w:val="14"/>
          <w:color w:val="auto"/>
        </w:rPr>
      </w:pPr>
    </w:p>
    <w:p>
      <w:pPr>
        <w:ind w:left="340" w:hanging="332"/>
        <w:spacing w:after="0" w:line="265" w:lineRule="auto"/>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late 2015, we entered into a 15-year fixed-fee natural gas gathering and processing agreement for a significant portion of our operated natural gas production in Loving County, Texas. In late 2017, we entered into an 18-year fixed-fee natural gas transportation agreement where we committed to deliver a portion of the residue natural gas production at the tailgate of the Black River Processing Plant to transport through the counterparty’s pipeline in Eddy County, New Mexico. In late 2017, we also entered into a fixed-fee NGL transportation and fractionation agreement whereby we committed to deliver our NGL production at the tailgate of the Black River Processing Plant. We have committed to deliver a minimum amount of NGLs to the counterparty upon construction and completion of a pipeline expansion and a fractionation facility by the counterparty, which is currently expected to be completed late in 2019. We have no rights to compel the counterparty to construct this pipeline extension or fractionation facility. If the counterparty does not construct the pipeline extension and fractionation facility, then we do not have any minimum volume commitments under the agreement. If the counterparty constructs the pipeline extension and fractionation facility on or prior to February 28, 2021, then we will have a commitment to deliver a minimum amount of NGLs for seven years following the completion of the pipeline extension and fractionation facility. If we do not meet our NGL volume commitment in any quarter during the seven-year commitment period, we will be required to pay a deficiency fee per gallon of NGL deficiency. The amounts in the table assume that the seven-year period containing minimum NGL volume commitments begins in late 2019. See Note 9 to the interim unaudited condensed consolidated financial statements in this Quarterly Report for more information regarding these contractual commitments.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340" w:hanging="332"/>
        <w:spacing w:after="0" w:line="252"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February 2017, we dedicated our current and future leasehold interests in the Rustler Breaks and Wolf asset areas pursuant to 15-year, fixed-fee natural gas, oil and salt water gathering agreements and salt water disposal agreements. In addition, effective February 1, 2017, we dedicated our current and future leasehold interests in the Rustler Breaks asset area pursuant to a 15-year, fixed-fee natural gas processing agreement. See Note 9 to the interim unaudited condensed consolidated financial statements in this Quarterly Report for more information regarding these contractual commitments.</w:t>
      </w:r>
    </w:p>
    <w:p>
      <w:pPr>
        <w:spacing w:after="0" w:line="80" w:lineRule="exact"/>
        <w:rPr>
          <w:rFonts w:ascii="Arial" w:cs="Arial" w:eastAsia="Arial" w:hAnsi="Arial"/>
          <w:sz w:val="14"/>
          <w:szCs w:val="14"/>
          <w:color w:val="auto"/>
        </w:rPr>
      </w:pPr>
    </w:p>
    <w:p>
      <w:pPr>
        <w:ind w:left="340" w:right="100" w:hanging="332"/>
        <w:spacing w:after="0" w:line="252"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Beginning in May 2017, a subsidiary of San Mateo entered into certain agreements with third parties for the engineering, procurement, construction and installation of an expansion of the Black River Processing Plant. In addition, during the first quarter of 2018, a subsidiary of San Mateo entered into agreements for additional field compression and an amine gas treatment unit to maximize the operation of the Black River Processing Plant. See Note 9 to the interim unaudited condensed consolidated financial statements in this Quarterly Report for more information regarding these contractual commitments.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and Trends</w:t>
      </w:r>
    </w:p>
    <w:p>
      <w:pPr>
        <w:spacing w:after="0" w:line="12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For the three months ended March 31, 2018, oil prices averaged $62.86 per Bbl, ranging from a high of $66.14 per Bbl in late January to a low of $59.19 per Bbl in mid-February, based upon the NYMEX West Texas Intermediate oil futures contract price for the earliest delivery date. We realized a weighted average oil price of $62.20 per Bbl ($60.40 per Bbl including realized losses from oil derivatives) for our oil production for the three months ended March 31, 2018, as compared to $50.72 per Bbl ($49.73 per Bbl including realized losses from oil derivatives) for the three months ended March 31, 2017. At May 2, 2018, the NYMEX West Texas Intermediate oil futures contract for the earliest delivery date had increased from the average price for the first quarter of 2018, settling at $67.93 per Bbl, which was a significant increase as compared to $47.66 per Bbl at May 2, 2017.</w:t>
      </w:r>
    </w:p>
    <w:p>
      <w:pPr>
        <w:spacing w:after="0" w:line="7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For the three months ended March 31, 2018, natural gas prices averaged $2.85 per MMBtu, ranging from a high of approximately $3.63 per MMBtu in late January to a low of approximately $2.55 per MMBtu in mid-February, based upon the NYMEX Henry Hub natural gas futures contract price for the earliest delivery date. We realized a weighted average natural gas price of $3.33 per Mcf (with essentially no realized gains or losses from natural gas derivatives) for our natural gas production (including revenues attributable to NGLs) for the three months ended March 31, 2018, as compared to $3.94 per Mcf ($3.86 per Mcf, including realized losses from natural gas derivatives) for the three months ended March 31, 2017. At May 2, 2018, the NYMEX Henry Hub natural gas futures contract for the earliest delivery date had decreased from the average price for the first quarter of 2018, settling at $2.76 per MMBtu, which was also a decrease as compared to $3.20 per MMBtu at May 2, 2017.</w:t>
      </w:r>
    </w:p>
    <w:p>
      <w:pPr>
        <w:spacing w:after="0" w:line="7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prices we receive for oil, natural gas and NGLs heavily influence our revenue, profitability, cash flow available for capital expenditures, access to capital and future rate of growth. Oil, natural gas and NGLs are commodities, and therefore, their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We are uncertain if oil and natural gas prices may rise from their current levels, and in fact, oil and natural gas prices may decrease in future periods.</w:t>
      </w:r>
    </w:p>
    <w:p>
      <w:pPr>
        <w:spacing w:after="0" w:line="85" w:lineRule="exact"/>
        <w:rPr>
          <w:sz w:val="20"/>
          <w:szCs w:val="20"/>
          <w:color w:val="auto"/>
        </w:rPr>
      </w:pPr>
    </w:p>
    <w:p>
      <w:pPr>
        <w:jc w:val="both"/>
        <w:ind w:right="140" w:firstLine="432"/>
        <w:spacing w:after="0" w:line="279" w:lineRule="auto"/>
        <w:rPr>
          <w:sz w:val="20"/>
          <w:szCs w:val="20"/>
          <w:color w:val="auto"/>
        </w:rPr>
      </w:pPr>
      <w:r>
        <w:rPr>
          <w:rFonts w:ascii="Arial" w:cs="Arial" w:eastAsia="Arial" w:hAnsi="Arial"/>
          <w:sz w:val="17"/>
          <w:szCs w:val="17"/>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our Credit Agreement and through the capital markets.</w:t>
      </w:r>
    </w:p>
    <w:p>
      <w:pPr>
        <w:spacing w:after="0" w:line="63"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addition, the prices we receive for our oil and natural gas production, in particular, often reflect a discount to the relevant benchmark prices, such as the NYMEX West Texas Intermediate oil price or the NYMEX Henry Hub natural gas price. The difference between these benchmark prices and the price we receive is called a differential. At March 31, 2018, most of our oil production from the Delaware Basin was sold based on prices established in Midland, Texas and most of our natural gas production from the Delaware Basin was sold based on prices established at the Waha Hub in far West Texas. During the first quarter of 2018, the price differentials for oil sold in Midland and natural gas sold at the Waha Hub compared to the benchmark prices for oil and natural gas, respectively, began to widen significantly. Although these widening differentials did not significantly impact our oil and natural gas revenues in the first quarter of 2018, these widening differentials are expected to negatively impact our oil and natural gas revenues beginning in the second quarter of 2018.</w:t>
      </w:r>
    </w:p>
    <w:p>
      <w:pPr>
        <w:spacing w:after="0" w:line="5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In early May 2018, these price differentials were approximately ($10.00) per barrel for oil and ($1.50) per MMBtu for natural gas. We anticipate that these widening price differentials could persist for 12 to 18 months or longer until additional oil and natural gas pipeline capacity from West Texas to the Texas Gulf Coast and other end markets is completed; however, we can provide no assurances as to how long these widening differentials may persist and, in fact, these price differentials could widen further in future periods. At May 2, 2018, we had approximately 55% of our anticipated Delaware Basin oil production for the remainder of 2018 hedged at a weighted average basis differential swap price of ($1.02) per barrel to help mitigate our exposure to these widening oil basis differentials. See Note 7 to the interim unaudited condensed consolidated financial statements in this Quarterly Report for a summary of these oil basis swaps. At May 2, 2018, we had no hedges in place to mitigate our exposure to basis differentials for our natural gas production.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Coinciding with the improvements in oil and natural gas prices since the latter part of 2016, we have experienced price increases from certain of our service providers for some of the products and services we use in our drilling, completion and production operations. If oil and natural gas prices remain at their current levels or increase further, we could experience additional price increases for drilling, completion and production products and services, although we can provide no estimates as to the eventual magnitude of these increases.</w:t>
      </w:r>
    </w:p>
    <w:p>
      <w:pPr>
        <w:spacing w:after="0" w:line="79"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Like other oil and natural gas producing companies, our properties are subject to natural production declines. By their nature, our oil and natural gas wells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certain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our availability under our Credit Agreement.</w:t>
      </w:r>
    </w:p>
    <w:p>
      <w:pPr>
        <w:spacing w:after="0" w:line="8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Except as set forth below, there have been no material changes to the sources and effects of our market risk since December 31, 2017, which are disclosed in Part II, Item 7A of the Annual Report and incorporated herein by reference.</w:t>
      </w:r>
    </w:p>
    <w:p>
      <w:pPr>
        <w:spacing w:after="0" w:line="62"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 xml:space="preserve">Commodity price exposure. </w:t>
      </w:r>
      <w:r>
        <w:rPr>
          <w:rFonts w:ascii="Arial" w:cs="Arial" w:eastAsia="Arial" w:hAnsi="Arial"/>
          <w:sz w:val="17"/>
          <w:szCs w:val="17"/>
          <w:color w:val="auto"/>
        </w:rPr>
        <w:t>We are exposed to market risk as the prices of oil, natural gas and NGLs fluctuate as a result of changes in supply and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57"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We typically use costless (or zero-cost) collars and/or swap contracts to manage risks related to changes in oil, natural gas and NGL prices. Traditional costless collars provide us with downside price protection through the purchase of a put option that is financed through the sale of a call option. Because the call option proceeds are used to offset the cost of the put option, these arrangements are initially “costless” to us. Participating three-way costless collars also provide the Company with downside price protection through the purchase of a put option, but they also allow the Company to participate in price upside through the purchase of a call option; the purchase of both the put option and the call option are financed through the sale of a call option. Because the proceeds from the call option sale are used to offset the cost of the purchased put and call options, these arrangements are also initially “costless” to the Company. In the case of a costless collar, the put option and the call option or options have different fixed price components. In a swap contract, a floating price is exchanged for a fixed price over a specified period, providing downside price protection.</w:t>
      </w:r>
    </w:p>
    <w:p>
      <w:pPr>
        <w:spacing w:after="0" w:line="5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record all derivative financial instruments at fair value. The fair value of our derivative financial instruments is determined using purchase and sale information available for similarly traded securities. At March 31, 2018, RBC, The Bank of Nova Scotia, BMO Harris Financing (Bank of Montreal) and SunTrust Bank (or affiliates thereof) were the counterparties for all of our derivative instruments. We have considered the credit standing of the counterparties in determining the fair value of our derivative financial instruments. See Note 7 to the interim unaudited condensed consolidated financial statements in this Quarterly Report for a summary of our open derivative financial instruments at March 31, 2018. Such information is incorporated herein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Evaluation of Disclosure Controls and Procedures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March 31, 2018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Internal Control over Financial Reporting</w:t>
      </w:r>
    </w:p>
    <w:p>
      <w:pPr>
        <w:spacing w:after="0" w:line="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were no changes in our internal controls during the three months ended March 31, 2018 that have materially affected or are reasonably likely to have a material effect on our internal control over financial reporting.</w:t>
      </w:r>
    </w:p>
    <w:p>
      <w:pPr>
        <w:spacing w:after="0" w:line="1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125" w:right="4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are party to several lawsuits encountered in the ordinary course of business. While the ultimate outcome and impact to us cannot be predicted with certainty, in the opinion of management, it is remote that these lawsuits will have a material adverse impact on our financial condition, results of operations or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subject to various risks and uncertainties in the course of our business. For a discussion of such risks and uncertainties, please see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the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During the quarter ended March 31, 2018, the Company re-acquired shares of common stock from certain employees in order to satisfy the employees’ tax liability in connection with the vesting of restricted stock.</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0" w:type="dxa"/>
            <w:vAlign w:val="bottom"/>
          </w:tcPr>
          <w:p>
            <w:pPr>
              <w:spacing w:after="0"/>
              <w:rPr>
                <w:sz w:val="1"/>
                <w:szCs w:val="1"/>
                <w:color w:val="auto"/>
              </w:rPr>
            </w:pPr>
          </w:p>
        </w:tc>
      </w:tr>
      <w:tr>
        <w:trPr>
          <w:trHeight w:val="216"/>
        </w:trPr>
        <w:tc>
          <w:tcPr>
            <w:tcW w:w="404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Period</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0" w:type="dxa"/>
            <w:vAlign w:val="bottom"/>
          </w:tcPr>
          <w:p>
            <w:pPr>
              <w:spacing w:after="0"/>
              <w:rPr>
                <w:sz w:val="1"/>
                <w:szCs w:val="1"/>
                <w:color w:val="auto"/>
              </w:rPr>
            </w:pPr>
          </w:p>
        </w:tc>
      </w:tr>
      <w:tr>
        <w:trPr>
          <w:trHeight w:val="167"/>
        </w:trPr>
        <w:tc>
          <w:tcPr>
            <w:tcW w:w="4040" w:type="dxa"/>
            <w:vAlign w:val="bottom"/>
            <w:gridSpan w:val="2"/>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7"/>
              </w:rPr>
              <w:t>(1)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January 1, 2018 to January 31, 2018</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25,529</w:t>
            </w:r>
          </w:p>
        </w:tc>
        <w:tc>
          <w:tcPr>
            <w:tcW w:w="0" w:type="dxa"/>
            <w:vAlign w:val="bottom"/>
          </w:tcPr>
          <w:p>
            <w:pPr>
              <w:spacing w:after="0"/>
              <w:rPr>
                <w:sz w:val="1"/>
                <w:szCs w:val="1"/>
                <w:color w:val="auto"/>
              </w:rPr>
            </w:pPr>
          </w:p>
        </w:tc>
      </w:tr>
      <w:tr>
        <w:trPr>
          <w:trHeight w:val="270"/>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February 1, 2018 to February 28, 2018</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45,503</w:t>
            </w:r>
          </w:p>
        </w:tc>
        <w:tc>
          <w:tcPr>
            <w:tcW w:w="0" w:type="dxa"/>
            <w:vAlign w:val="bottom"/>
          </w:tcPr>
          <w:p>
            <w:pPr>
              <w:spacing w:after="0"/>
              <w:rPr>
                <w:sz w:val="1"/>
                <w:szCs w:val="1"/>
                <w:color w:val="auto"/>
              </w:rPr>
            </w:pPr>
          </w:p>
        </w:tc>
      </w:tr>
      <w:tr>
        <w:trPr>
          <w:trHeight w:val="270"/>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March 1, 2018 to March 31, 2018</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79,207</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20" w:type="dxa"/>
            <w:vAlign w:val="bottom"/>
            <w:vMerge w:val="restart"/>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-865505</wp:posOffset>
            </wp:positionV>
            <wp:extent cx="690372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037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69037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 The shares were not re-acquired pursuant to any repurchase plan or program.</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9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 as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Average Price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Part of Publicly</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Shares that May Yet Be</w:t>
            </w:r>
          </w:p>
        </w:tc>
      </w:tr>
      <w:tr>
        <w:trPr>
          <w:trHeight w:val="216"/>
        </w:trPr>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Paid Per</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2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Programs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31.70</w:t>
            </w:r>
          </w:p>
        </w:tc>
        <w:tc>
          <w:tcPr>
            <w:tcW w:w="120" w:type="dxa"/>
            <w:vAlign w:val="bottom"/>
          </w:tcPr>
          <w:p>
            <w:pPr>
              <w:spacing w:after="0"/>
              <w:rPr>
                <w:sz w:val="20"/>
                <w:szCs w:val="20"/>
                <w:color w:val="auto"/>
              </w:rPr>
            </w:pP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r>
      <w:tr>
        <w:trPr>
          <w:trHeight w:val="270"/>
        </w:trPr>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29.52</w:t>
            </w:r>
          </w:p>
        </w:tc>
        <w:tc>
          <w:tcPr>
            <w:tcW w:w="120" w:type="dxa"/>
            <w:vAlign w:val="bottom"/>
          </w:tcPr>
          <w:p>
            <w:pPr>
              <w:spacing w:after="0"/>
              <w:rPr>
                <w:sz w:val="23"/>
                <w:szCs w:val="23"/>
                <w:color w:val="auto"/>
              </w:rPr>
            </w:pP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r>
      <w:tr>
        <w:trPr>
          <w:trHeight w:val="270"/>
        </w:trPr>
        <w:tc>
          <w:tcPr>
            <w:tcW w:w="2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28.78</w:t>
            </w:r>
          </w:p>
        </w:tc>
        <w:tc>
          <w:tcPr>
            <w:tcW w:w="120" w:type="dxa"/>
            <w:vAlign w:val="bottom"/>
          </w:tcPr>
          <w:p>
            <w:pPr>
              <w:spacing w:after="0"/>
              <w:rPr>
                <w:sz w:val="23"/>
                <w:szCs w:val="23"/>
                <w:color w:val="auto"/>
              </w:rPr>
            </w:pP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r>
      <w:tr>
        <w:trPr>
          <w:trHeight w:val="27"/>
        </w:trPr>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20"/>
                <w:szCs w:val="20"/>
                <w:color w:val="auto"/>
              </w:rPr>
            </w:pP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r>
      <w:tr>
        <w:trPr>
          <w:trHeight w:val="27"/>
        </w:trPr>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03" w:lineRule="exact"/>
        <w:rPr>
          <w:sz w:val="20"/>
          <w:szCs w:val="20"/>
          <w:color w:val="auto"/>
        </w:rPr>
      </w:pPr>
    </w:p>
    <w:p>
      <w:pPr>
        <w:sectPr>
          <w:pgSz w:w="11900" w:h="16838" w:orient="portrait"/>
          <w:cols w:equalWidth="0" w:num="2">
            <w:col w:w="5580" w:space="100"/>
            <w:col w:w="5720"/>
          </w:cols>
          <w:pgMar w:left="240" w:top="125" w:right="259" w:bottom="1440" w:gutter="0" w:footer="0" w:header="0"/>
          <w:type w:val="continuous"/>
        </w:sectPr>
      </w:pPr>
    </w:p>
    <w:p>
      <w:pPr>
        <w:jc w:val="center"/>
        <w:ind w:right="40"/>
        <w:spacing w:after="0"/>
        <w:rPr>
          <w:sz w:val="20"/>
          <w:szCs w:val="20"/>
          <w:color w:val="auto"/>
        </w:rPr>
      </w:pPr>
      <w:r>
        <w:rPr>
          <w:rFonts w:ascii="Arial" w:cs="Arial" w:eastAsia="Arial" w:hAnsi="Arial"/>
          <w:sz w:val="16"/>
          <w:szCs w:val="16"/>
          <w:color w:val="auto"/>
        </w:rPr>
        <w:t>A list of exhibits filed herewith is contained in the Exhibit Index that immediately precedes such exhibits and is incorporated by reference herein.</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MATADOR RESOURCES COMPANY</w:t>
            </w:r>
          </w:p>
        </w:tc>
      </w:tr>
      <w:tr>
        <w:trPr>
          <w:trHeight w:val="392"/>
        </w:trPr>
        <w:tc>
          <w:tcPr>
            <w:tcW w:w="3120" w:type="dxa"/>
            <w:vAlign w:val="bottom"/>
          </w:tcPr>
          <w:p>
            <w:pPr>
              <w:spacing w:after="0"/>
              <w:rPr>
                <w:sz w:val="20"/>
                <w:szCs w:val="20"/>
                <w:color w:val="auto"/>
              </w:rPr>
            </w:pPr>
            <w:r>
              <w:rPr>
                <w:rFonts w:ascii="Arial" w:cs="Arial" w:eastAsia="Arial" w:hAnsi="Arial"/>
                <w:sz w:val="18"/>
                <w:szCs w:val="18"/>
                <w:color w:val="auto"/>
              </w:rPr>
              <w:t>Date: May 3, 2018</w:t>
            </w:r>
          </w:p>
        </w:tc>
        <w:tc>
          <w:tcPr>
            <w:tcW w:w="2240" w:type="dxa"/>
            <w:vAlign w:val="bottom"/>
          </w:tcPr>
          <w:p>
            <w:pPr>
              <w:ind w:left="17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Joseph Wm. Foran</w:t>
            </w:r>
          </w:p>
        </w:tc>
      </w:tr>
      <w:tr>
        <w:trPr>
          <w:trHeight w:val="27"/>
        </w:trPr>
        <w:tc>
          <w:tcPr>
            <w:tcW w:w="3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270"/>
        </w:trPr>
        <w:tc>
          <w:tcPr>
            <w:tcW w:w="3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405"/>
        </w:trPr>
        <w:tc>
          <w:tcPr>
            <w:tcW w:w="3120" w:type="dxa"/>
            <w:vAlign w:val="bottom"/>
          </w:tcPr>
          <w:p>
            <w:pPr>
              <w:spacing w:after="0"/>
              <w:rPr>
                <w:sz w:val="20"/>
                <w:szCs w:val="20"/>
                <w:color w:val="auto"/>
              </w:rPr>
            </w:pPr>
            <w:r>
              <w:rPr>
                <w:rFonts w:ascii="Arial" w:cs="Arial" w:eastAsia="Arial" w:hAnsi="Arial"/>
                <w:sz w:val="18"/>
                <w:szCs w:val="18"/>
                <w:color w:val="auto"/>
              </w:rPr>
              <w:t>Date: May 3, 2018</w:t>
            </w:r>
          </w:p>
        </w:tc>
        <w:tc>
          <w:tcPr>
            <w:tcW w:w="2240" w:type="dxa"/>
            <w:vAlign w:val="bottom"/>
          </w:tcPr>
          <w:p>
            <w:pPr>
              <w:ind w:left="17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David E. Lancaster</w:t>
            </w:r>
          </w:p>
        </w:tc>
      </w:tr>
      <w:tr>
        <w:trPr>
          <w:trHeight w:val="27"/>
        </w:trPr>
        <w:tc>
          <w:tcPr>
            <w:tcW w:w="3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David E. Lancaster</w:t>
            </w:r>
          </w:p>
        </w:tc>
      </w:tr>
      <w:tr>
        <w:trPr>
          <w:trHeight w:val="270"/>
        </w:trPr>
        <w:tc>
          <w:tcPr>
            <w:tcW w:w="3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702"/>
        </w:trPr>
        <w:tc>
          <w:tcPr>
            <w:tcW w:w="3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00" w:type="dxa"/>
            <w:vAlign w:val="bottom"/>
            <w:gridSpan w:val="2"/>
          </w:tcPr>
          <w:p>
            <w:pPr>
              <w:jc w:val="right"/>
              <w:ind w:right="553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10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080" w:right="180" w:hanging="652"/>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74">
        <w:r>
          <w:rPr>
            <w:rFonts w:ascii="Arial" w:cs="Arial" w:eastAsia="Arial" w:hAnsi="Arial"/>
            <w:sz w:val="18"/>
            <w:szCs w:val="18"/>
            <w:u w:val="single" w:color="auto"/>
            <w:color w:val="0000FF"/>
          </w:rPr>
          <w:t>Certificate of Merger between Matador Resources Company (now known as MRC Energy Company) and Matador Merger Co. (incorporated</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by reference to Exhibit 3.4 to the Registration Statement on Form S-1 filed on August 12, 2011).</w:t>
        </w:r>
      </w:hyperlink>
    </w:p>
    <w:p>
      <w:pPr>
        <w:spacing w:after="0" w:line="130" w:lineRule="exact"/>
        <w:rPr>
          <w:sz w:val="20"/>
          <w:szCs w:val="20"/>
          <w:color w:val="auto"/>
        </w:rPr>
      </w:pPr>
    </w:p>
    <w:p>
      <w:pPr>
        <w:ind w:left="1080" w:right="340" w:hanging="652"/>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75">
        <w:r>
          <w:rPr>
            <w:rFonts w:ascii="Arial" w:cs="Arial" w:eastAsia="Arial" w:hAnsi="Arial"/>
            <w:sz w:val="18"/>
            <w:szCs w:val="18"/>
            <w:u w:val="single" w:color="auto"/>
            <w:color w:val="0000FF"/>
          </w:rPr>
          <w:t>Amended and Restated Certificate of Formation of Matador Resources Company (incorporated by reference to Exhibit 3.2 to the Quarterly</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Report on Form 10-Q for the quarter ended June 30, 2017).</w:t>
        </w:r>
      </w:hyperlink>
    </w:p>
    <w:p>
      <w:pPr>
        <w:spacing w:after="0" w:line="130" w:lineRule="exact"/>
        <w:rPr>
          <w:sz w:val="20"/>
          <w:szCs w:val="20"/>
          <w:color w:val="auto"/>
        </w:rPr>
      </w:pPr>
    </w:p>
    <w:p>
      <w:pPr>
        <w:ind w:left="1080" w:right="680" w:hanging="652"/>
        <w:spacing w:after="0" w:line="308"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3.3</w:t>
      </w:r>
      <w:r>
        <w:rPr>
          <w:sz w:val="20"/>
          <w:szCs w:val="20"/>
          <w:color w:val="auto"/>
        </w:rPr>
        <w:tab/>
      </w:r>
      <w:hyperlink r:id="rId76">
        <w:r>
          <w:rPr>
            <w:rFonts w:ascii="Arial" w:cs="Arial" w:eastAsia="Arial" w:hAnsi="Arial"/>
            <w:sz w:val="17"/>
            <w:szCs w:val="17"/>
            <w:u w:val="single" w:color="auto"/>
            <w:color w:val="0000FF"/>
          </w:rPr>
          <w:t>Certificate of Amendment to the Amended and Restated Certificate of Formation of Matador Resources Company dated April 2, 2015</w:t>
        </w:r>
      </w:hyperlink>
      <w:r>
        <w:rPr>
          <w:rFonts w:ascii="Arial" w:cs="Arial" w:eastAsia="Arial" w:hAnsi="Arial"/>
          <w:sz w:val="17"/>
          <w:szCs w:val="17"/>
          <w:u w:val="single" w:color="auto"/>
          <w:color w:val="0000FF"/>
        </w:rPr>
        <w:t xml:space="preserve"> </w:t>
      </w:r>
      <w:hyperlink r:id="rId76">
        <w:r>
          <w:rPr>
            <w:rFonts w:ascii="Arial" w:cs="Arial" w:eastAsia="Arial" w:hAnsi="Arial"/>
            <w:sz w:val="17"/>
            <w:szCs w:val="17"/>
            <w:u w:val="single" w:color="auto"/>
            <w:color w:val="0000FF"/>
          </w:rPr>
          <w:t>(incorporated by reference to Exhibit 3.3 to the Quarterly Report on Form 10-Q for the quarter ended June 30, 2017).</w:t>
        </w:r>
      </w:hyperlink>
    </w:p>
    <w:p>
      <w:pPr>
        <w:spacing w:after="0" w:line="106" w:lineRule="exact"/>
        <w:rPr>
          <w:sz w:val="20"/>
          <w:szCs w:val="20"/>
          <w:color w:val="auto"/>
        </w:rPr>
      </w:pPr>
    </w:p>
    <w:p>
      <w:pPr>
        <w:ind w:left="1080" w:right="480" w:hanging="652"/>
        <w:spacing w:after="0" w:line="308"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3.4</w:t>
      </w:r>
      <w:r>
        <w:rPr>
          <w:sz w:val="20"/>
          <w:szCs w:val="20"/>
          <w:color w:val="auto"/>
        </w:rPr>
        <w:tab/>
      </w:r>
      <w:hyperlink r:id="rId77">
        <w:r>
          <w:rPr>
            <w:rFonts w:ascii="Arial" w:cs="Arial" w:eastAsia="Arial" w:hAnsi="Arial"/>
            <w:sz w:val="17"/>
            <w:szCs w:val="17"/>
            <w:u w:val="single" w:color="auto"/>
            <w:color w:val="0000FF"/>
          </w:rPr>
          <w:t>Certificate of Amendment to the Amended and Restated Certificate of Formation of Matador Resources Company effective June 2, 2017</w:t>
        </w:r>
      </w:hyperlink>
      <w:r>
        <w:rPr>
          <w:rFonts w:ascii="Arial" w:cs="Arial" w:eastAsia="Arial" w:hAnsi="Arial"/>
          <w:sz w:val="17"/>
          <w:szCs w:val="17"/>
          <w:u w:val="single" w:color="auto"/>
          <w:color w:val="0000FF"/>
        </w:rPr>
        <w:t xml:space="preserve"> </w:t>
      </w:r>
      <w:hyperlink r:id="rId77">
        <w:r>
          <w:rPr>
            <w:rFonts w:ascii="Arial" w:cs="Arial" w:eastAsia="Arial" w:hAnsi="Arial"/>
            <w:sz w:val="17"/>
            <w:szCs w:val="17"/>
            <w:u w:val="single" w:color="auto"/>
            <w:color w:val="0000FF"/>
          </w:rPr>
          <w:t>(incorporated by reference to Exhibit 3.4 to the Quarterly Report on Form 10-Q for the quarter ended June 30, 2017).</w:t>
        </w:r>
      </w:hyperlink>
    </w:p>
    <w:p>
      <w:pPr>
        <w:spacing w:after="0" w:line="106" w:lineRule="exact"/>
        <w:rPr>
          <w:sz w:val="20"/>
          <w:szCs w:val="20"/>
          <w:color w:val="auto"/>
        </w:rPr>
      </w:pPr>
    </w:p>
    <w:p>
      <w:pPr>
        <w:ind w:left="1080" w:right="220" w:hanging="652"/>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hyperlink r:id="rId78">
        <w:r>
          <w:rPr>
            <w:rFonts w:ascii="Arial" w:cs="Arial" w:eastAsia="Arial" w:hAnsi="Arial"/>
            <w:sz w:val="18"/>
            <w:szCs w:val="18"/>
            <w:u w:val="single" w:color="auto"/>
            <w:color w:val="0000FF"/>
          </w:rPr>
          <w:t>Amended and Restated Bylaws of Matador Resources Company, as amended (incorporated by reference to Exhibit 3.1 to the Current Report</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on Form 8-K filed on February 22, 2018).</w:t>
        </w:r>
      </w:hyperlink>
    </w:p>
    <w:p>
      <w:pPr>
        <w:spacing w:after="0" w:line="130" w:lineRule="exact"/>
        <w:rPr>
          <w:sz w:val="20"/>
          <w:szCs w:val="20"/>
          <w:color w:val="auto"/>
        </w:rPr>
      </w:pPr>
    </w:p>
    <w:p>
      <w:pPr>
        <w:ind w:left="3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1">
        <w:r>
          <w:rPr>
            <w:rFonts w:ascii="Arial" w:cs="Arial" w:eastAsia="Arial" w:hAnsi="Arial"/>
            <w:sz w:val="16"/>
            <w:szCs w:val="16"/>
            <w:u w:val="single" w:color="auto"/>
            <w:color w:val="0000FF"/>
          </w:rPr>
          <w:t>Certification of Principal Executive Officer pursuant to Section 302 of the Sarbanes-Oxley Act of 2002 (filed herewith).</w:t>
        </w:r>
      </w:hyperlink>
    </w:p>
    <w:p>
      <w:pPr>
        <w:spacing w:after="0" w:line="185" w:lineRule="exact"/>
        <w:rPr>
          <w:sz w:val="20"/>
          <w:szCs w:val="20"/>
          <w:color w:val="auto"/>
        </w:rPr>
      </w:pPr>
    </w:p>
    <w:p>
      <w:pPr>
        <w:ind w:left="3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2">
        <w:r>
          <w:rPr>
            <w:rFonts w:ascii="Arial" w:cs="Arial" w:eastAsia="Arial" w:hAnsi="Arial"/>
            <w:sz w:val="16"/>
            <w:szCs w:val="16"/>
            <w:u w:val="single" w:color="auto"/>
            <w:color w:val="0000FF"/>
          </w:rPr>
          <w:t>Certification of Principal Financial Officer pursuant to Section 302 of the Sarbanes-Oxley Act of 2002 (filed herewith).</w:t>
        </w:r>
      </w:hyperlink>
    </w:p>
    <w:p>
      <w:pPr>
        <w:spacing w:after="0" w:line="185" w:lineRule="exact"/>
        <w:rPr>
          <w:sz w:val="20"/>
          <w:szCs w:val="20"/>
          <w:color w:val="auto"/>
        </w:rPr>
      </w:pPr>
    </w:p>
    <w:p>
      <w:pPr>
        <w:ind w:left="1080" w:right="60" w:hanging="697"/>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3">
        <w:r>
          <w:rPr>
            <w:rFonts w:ascii="Arial" w:cs="Arial" w:eastAsia="Arial" w:hAnsi="Arial"/>
            <w:sz w:val="18"/>
            <w:szCs w:val="18"/>
            <w:u w:val="single" w:color="auto"/>
            <w:color w:val="0000FF"/>
          </w:rPr>
          <w:t>Certification of Principal Executive Officer pursuant to 18 U.S.C. Section 1350, as adopted pursuant to Section 906 of the Sarbanes-Oxley Act</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of 2002 (furnished herewith).</w:t>
        </w:r>
      </w:hyperlink>
    </w:p>
    <w:p>
      <w:pPr>
        <w:spacing w:after="0" w:line="130" w:lineRule="exact"/>
        <w:rPr>
          <w:sz w:val="20"/>
          <w:szCs w:val="20"/>
          <w:color w:val="auto"/>
        </w:rPr>
      </w:pPr>
    </w:p>
    <w:p>
      <w:pPr>
        <w:ind w:left="1080" w:right="120" w:hanging="697"/>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44">
        <w:r>
          <w:rPr>
            <w:rFonts w:ascii="Arial" w:cs="Arial" w:eastAsia="Arial" w:hAnsi="Arial"/>
            <w:sz w:val="18"/>
            <w:szCs w:val="18"/>
            <w:u w:val="single" w:color="auto"/>
            <w:color w:val="0000FF"/>
          </w:rPr>
          <w:t>Certification of Principal Financial Officer pursuant to 18 U.S.C. Section 1350, as adopted pursuant to Section 906 of the Sarbanes-Oxley Act</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of 2002 (furnished herewith).</w:t>
        </w:r>
      </w:hyperlink>
    </w:p>
    <w:p>
      <w:pPr>
        <w:spacing w:after="0" w:line="130" w:lineRule="exact"/>
        <w:rPr>
          <w:sz w:val="20"/>
          <w:szCs w:val="20"/>
          <w:color w:val="auto"/>
        </w:rPr>
      </w:pPr>
    </w:p>
    <w:p>
      <w:pPr>
        <w:ind w:left="1080" w:right="380" w:hanging="680"/>
        <w:spacing w:after="0" w:line="276"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following financial information from Matador Resources Company’s Quarterly Report on Form 10-Q for the quarter ended March 31, 2018 formatted in XBRL (eXtensible Business Reporting Language): (i) the Condensed Consolidated Balance Sheets - Unaudited, (ii) the Condensed Consolidated Statements of Operations - Unaudited, (iii) the Condensed Consolidated Statement of Changes in Shareholders’ Equity - Unaudited, (iv) the Condensed Consolidated Statements of Cash Flows - Unaudited and (v) the Notes to Condensed Consolidated Financial Statements - Unaudited (submitted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171" w:lineRule="exact"/>
        <w:rPr>
          <w:sz w:val="20"/>
          <w:szCs w:val="20"/>
          <w:color w:val="auto"/>
        </w:rPr>
      </w:pPr>
    </w:p>
    <w:p>
      <w:pPr>
        <w:ind w:left="620" w:hanging="180"/>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160" w:firstLine="886"/>
        <w:spacing w:after="0" w:line="264" w:lineRule="auto"/>
        <w:tabs>
          <w:tab w:leader="none" w:pos="10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886"/>
        <w:spacing w:after="0" w:line="264" w:lineRule="auto"/>
        <w:tabs>
          <w:tab w:leader="none" w:pos="10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660" w:firstLine="886"/>
        <w:spacing w:after="0" w:line="334" w:lineRule="auto"/>
        <w:tabs>
          <w:tab w:leader="none" w:pos="1048"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right="140" w:firstLine="886"/>
        <w:spacing w:after="0" w:line="264" w:lineRule="auto"/>
        <w:tabs>
          <w:tab w:leader="none" w:pos="10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0" w:firstLine="886"/>
        <w:spacing w:after="0" w:line="277" w:lineRule="auto"/>
        <w:tabs>
          <w:tab w:leader="none" w:pos="10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firstLine="886"/>
        <w:spacing w:after="0" w:line="277" w:lineRule="auto"/>
        <w:tabs>
          <w:tab w:leader="none" w:pos="10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4900" w:val="left"/>
        </w:tabs>
        <w:rPr>
          <w:sz w:val="20"/>
          <w:szCs w:val="20"/>
          <w:color w:val="auto"/>
        </w:rPr>
      </w:pPr>
      <w:r>
        <w:rPr>
          <w:rFonts w:ascii="Arial" w:cs="Arial" w:eastAsia="Arial" w:hAnsi="Arial"/>
          <w:sz w:val="18"/>
          <w:szCs w:val="18"/>
          <w:color w:val="auto"/>
        </w:rPr>
        <w:t>May 3, 2018</w:t>
      </w:r>
      <w:r>
        <w:rPr>
          <w:sz w:val="20"/>
          <w:szCs w:val="20"/>
          <w:color w:val="auto"/>
        </w:rPr>
        <w:tab/>
      </w:r>
      <w:r>
        <w:rPr>
          <w:rFonts w:ascii="Arial" w:cs="Arial" w:eastAsia="Arial" w:hAnsi="Arial"/>
          <w:sz w:val="15"/>
          <w:szCs w:val="15"/>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31750</wp:posOffset>
            </wp:positionV>
            <wp:extent cx="24009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E. Lancaster, certify that:</w:t>
      </w:r>
    </w:p>
    <w:p>
      <w:pPr>
        <w:spacing w:after="0" w:line="171" w:lineRule="exact"/>
        <w:rPr>
          <w:sz w:val="20"/>
          <w:szCs w:val="20"/>
          <w:color w:val="auto"/>
        </w:rPr>
      </w:pPr>
    </w:p>
    <w:p>
      <w:pPr>
        <w:ind w:left="620" w:hanging="180"/>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160" w:firstLine="886"/>
        <w:spacing w:after="0" w:line="264" w:lineRule="auto"/>
        <w:tabs>
          <w:tab w:leader="none" w:pos="10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886"/>
        <w:spacing w:after="0" w:line="264" w:lineRule="auto"/>
        <w:tabs>
          <w:tab w:leader="none" w:pos="10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660" w:firstLine="886"/>
        <w:spacing w:after="0" w:line="334" w:lineRule="auto"/>
        <w:tabs>
          <w:tab w:leader="none" w:pos="1048"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right="140" w:firstLine="886"/>
        <w:spacing w:after="0" w:line="264" w:lineRule="auto"/>
        <w:tabs>
          <w:tab w:leader="none" w:pos="10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0" w:firstLine="886"/>
        <w:spacing w:after="0" w:line="277" w:lineRule="auto"/>
        <w:tabs>
          <w:tab w:leader="none" w:pos="10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firstLine="886"/>
        <w:spacing w:after="0" w:line="277" w:lineRule="auto"/>
        <w:tabs>
          <w:tab w:leader="none" w:pos="10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May 3, 2018</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5730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David E. Lancaster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March 31, 2018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Form 10-Q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4660" w:val="left"/>
        </w:tabs>
        <w:rPr>
          <w:sz w:val="20"/>
          <w:szCs w:val="20"/>
          <w:color w:val="auto"/>
        </w:rPr>
      </w:pPr>
      <w:r>
        <w:rPr>
          <w:rFonts w:ascii="Arial" w:cs="Arial" w:eastAsia="Arial" w:hAnsi="Arial"/>
          <w:sz w:val="18"/>
          <w:szCs w:val="18"/>
          <w:color w:val="auto"/>
        </w:rPr>
        <w:t>May 3, 2018</w:t>
      </w:r>
      <w:r>
        <w:rPr>
          <w:sz w:val="20"/>
          <w:szCs w:val="20"/>
          <w:color w:val="auto"/>
        </w:rPr>
        <w:tab/>
      </w:r>
      <w:r>
        <w:rPr>
          <w:rFonts w:ascii="Arial" w:cs="Arial" w:eastAsia="Arial" w:hAnsi="Arial"/>
          <w:sz w:val="16"/>
          <w:szCs w:val="16"/>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31750</wp:posOffset>
            </wp:positionV>
            <wp:extent cx="23837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March 31, 2018 as filed with the Securities and Exchange Commission on the date hereof (the “Form 10-Q”), I, David E. Lancaster, hereby certify in my capacity as Executive Vice President and Chief Financial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Form 10-Q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18"/>
          <w:szCs w:val="18"/>
          <w:color w:val="auto"/>
        </w:rPr>
        <w:t>May 3, 2018</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4701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David E. Lancaster</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806"/>
    </w:lvl>
  </w:abstractNum>
  <w:abstractNum w:abstractNumId="3">
    <w:nsid w:val="DED7263"/>
    <w:multiLevelType w:val="hybridMultilevel"/>
    <w:lvl w:ilvl="0">
      <w:lvlJc w:val="left"/>
      <w:lvlText w:val="(%1)"/>
      <w:numFmt w:val="decimal"/>
      <w:start w:val="49"/>
    </w:lvl>
  </w:abstractNum>
  <w:abstractNum w:abstractNumId="4">
    <w:nsid w:val="7FDCC233"/>
    <w:multiLevelType w:val="hybridMultilevel"/>
    <w:lvl w:ilvl="0">
      <w:lvlJc w:val="left"/>
      <w:lvlText w:val="\emdash "/>
      <w:numFmt w:val="bullet"/>
      <w:start w:val="1"/>
    </w:lvl>
  </w:abstractNum>
  <w:abstractNum w:abstractNumId="5">
    <w:nsid w:val="1BEFD79F"/>
    <w:multiLevelType w:val="hybridMultilevel"/>
    <w:lvl w:ilvl="0">
      <w:lvlJc w:val="left"/>
      <w:lvlText w:val="%1"/>
      <w:numFmt w:val="decimal"/>
      <w:start w:val="164"/>
    </w:lvl>
  </w:abstractNum>
  <w:abstractNum w:abstractNumId="6">
    <w:nsid w:val="41A7C4C9"/>
    <w:multiLevelType w:val="hybridMultilevel"/>
    <w:lvl w:ilvl="0">
      <w:lvlJc w:val="left"/>
      <w:lvlText w:val="\emdash "/>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Roman"/>
      <w:start w:val="2"/>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6"/>
    </w:lvl>
  </w:abstractNum>
  <w:abstractNum w:abstractNumId="19">
    <w:nsid w:val="721DA317"/>
    <w:multiLevelType w:val="hybridMultilevel"/>
    <w:lvl w:ilvl="0">
      <w:lvlJc w:val="left"/>
      <w:lvlText w:val="%1"/>
      <w:numFmt w:val="decimal"/>
      <w:start w:val="10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74" Type="http://schemas.openxmlformats.org/officeDocument/2006/relationships/hyperlink" Target="http://www.sec.gov/Archives/edgar/data/1520006/000119312511221108/dex34.htm" TargetMode="External"/><Relationship Id="rId75" Type="http://schemas.openxmlformats.org/officeDocument/2006/relationships/hyperlink" Target="http://www.sec.gov/Archives/edgar/data/1520006/000152000617000188/a20170630mtdr10q-exhibit32.htm" TargetMode="External"/><Relationship Id="rId76" Type="http://schemas.openxmlformats.org/officeDocument/2006/relationships/hyperlink" Target="http://www.sec.gov/Archives/edgar/data/1520006/000152000617000188/a20170630mtdr10q-exhibit33.htm" TargetMode="External"/><Relationship Id="rId77" Type="http://schemas.openxmlformats.org/officeDocument/2006/relationships/hyperlink" Target="http://www.sec.gov/Archives/edgar/data/1520006/000152000617000188/a20170630mtdr10q-exhibit34.htm" TargetMode="External"/><Relationship Id="rId78" Type="http://schemas.openxmlformats.org/officeDocument/2006/relationships/hyperlink" Target="http://www.sec.gov/Archives/edgar/data/1520006/000152000618000051/a20171231mtdr8k-amend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2019-12-28T22:39:53Z</dcterms:created>
  <dcterms:modified xsi:type="dcterms:W3CDTF">2019-12-28T22:39:53Z</dcterms:modified>
</cp:coreProperties>
</file>