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 </w:t>
      </w:r>
    </w:p>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_________________________________________________________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2025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001-35410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  </w:t>
      </w:r>
    </w:p>
    <w:p>
      <w:pPr>
        <w:pStyle w:val="TextBody"/>
        <w:bidi w:val="0"/>
        <w:spacing w:lineRule="auto" w:line="216"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Matador Resources Company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w:t>
      </w:r>
      <w:r>
        <w:rPr>
          <w:color w:val="000000"/>
        </w:rPr>
        <w:t> </w:t>
      </w:r>
    </w:p>
    <w:tbl>
      <w:tblPr>
        <w:tblW w:w="4409" w:type="dxa"/>
        <w:jc w:val="center"/>
        <w:tblInd w:w="0" w:type="dxa"/>
        <w:tblLayout w:type="fixed"/>
        <w:tblCellMar>
          <w:top w:w="28" w:type="dxa"/>
          <w:left w:w="28" w:type="dxa"/>
          <w:bottom w:w="28" w:type="dxa"/>
          <w:right w:w="28" w:type="dxa"/>
        </w:tblCellMar>
      </w:tblPr>
      <w:tblGrid>
        <w:gridCol w:w="1055"/>
        <w:gridCol w:w="930"/>
        <w:gridCol w:w="940"/>
        <w:gridCol w:w="433"/>
        <w:gridCol w:w="433"/>
        <w:gridCol w:w="618"/>
      </w:tblGrid>
      <w:tr>
        <w:trPr/>
        <w:tc>
          <w:tcPr>
            <w:tcW w:w="105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27-4662601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LBJ Freeway, Suite 1500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Dallas,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75240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(972) 371-5200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_________________________________________________________</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pPr>
      <w:r>
        <w:rPr>
          <w:rFonts w:ascii="Times New Roman;sans-serif" w:hAnsi="Times New Roman;sans-serif"/>
          <w:b w:val="false"/>
          <w:color w:val="000000"/>
          <w:sz w:val="18"/>
        </w:rPr>
        <w:t xml:space="preserve">As of April 23, 2025, there were 125,202,746 shares of the registrant’s common </w:t>
      </w:r>
      <w:r>
        <w:rPr>
          <w:rFonts w:ascii="Times New Roman;sans-serif" w:hAnsi="Times New Roman;sans-serif"/>
          <w:b w:val="false"/>
          <w:color w:val="000000"/>
          <w:sz w:val="18"/>
          <w:shd w:fill="FFFFFF" w:val="clear"/>
        </w:rPr>
        <w:t>s</w:t>
      </w:r>
      <w:r>
        <w:rPr>
          <w:rFonts w:ascii="Times New Roman;sans-serif" w:hAnsi="Times New Roman;sans-serif"/>
          <w:b w:val="false"/>
          <w:color w:val="000000"/>
          <w:sz w:val="18"/>
        </w:rPr>
        <w:t>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2025</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99"/>
        <w:gridCol w:w="3079"/>
        <w:gridCol w:w="3085"/>
        <w:gridCol w:w="158"/>
        <w:gridCol w:w="158"/>
        <w:gridCol w:w="226"/>
      </w:tblGrid>
      <w:tr>
        <w:trPr/>
        <w:tc>
          <w:tcPr>
            <w:tcW w:w="349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0">
              <w:r>
                <w:rPr>
                  <w:rStyle w:val="InternetLink"/>
                  <w:rFonts w:ascii="Times New Roman;sans-serif" w:hAnsi="Times New Roman;sans-serif"/>
                  <w:b w:val="false"/>
                  <w:color w:val="0000FF"/>
                  <w:sz w:val="20"/>
                  <w:u w:val="single"/>
                </w:rPr>
                <w:t>PART I — FINANCIAL INFORMATION</w:t>
              </w:r>
            </w:hyperlink>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fb11ca3476124004a5fb19ff47b90b0c_10">
              <w:r>
                <w:rPr>
                  <w:rStyle w:val="InternetLink"/>
                  <w:rFonts w:ascii="Times New Roman;sans-serif" w:hAnsi="Times New Roman;sans-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3">
              <w:r>
                <w:rPr>
                  <w:rStyle w:val="InternetLink"/>
                  <w:rFonts w:ascii="Times New Roman;sans-serif" w:hAnsi="Times New Roman;sans-serif"/>
                  <w:b w:val="false"/>
                  <w:color w:val="0000FF"/>
                  <w:sz w:val="20"/>
                  <w:u w:val="single"/>
                </w:rPr>
                <w:t>Item 1. Financial Statements —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3">
              <w:r>
                <w:rPr>
                  <w:rStyle w:val="InternetLink"/>
                  <w:rFonts w:ascii="Times New Roman;sans-serif" w:hAnsi="Times New Roman;sans-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6">
              <w:r>
                <w:rPr>
                  <w:rStyle w:val="InternetLink"/>
                  <w:rFonts w:ascii="Times New Roman;sans-serif" w:hAnsi="Times New Roman;sans-serif"/>
                  <w:b w:val="false"/>
                  <w:color w:val="0000FF"/>
                  <w:sz w:val="20"/>
                  <w:u w:val="single"/>
                </w:rPr>
                <w:t>Condensed Consolidated Balance Sheets at March 31, 2025 and December 31,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6">
              <w:r>
                <w:rPr>
                  <w:rStyle w:val="InternetLink"/>
                  <w:rFonts w:ascii="Times New Roman;sans-serif" w:hAnsi="Times New Roman;sans-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22">
              <w:r>
                <w:rPr>
                  <w:rStyle w:val="InternetLink"/>
                  <w:rFonts w:ascii="Times New Roman;sans-serif" w:hAnsi="Times New Roman;sans-serif"/>
                  <w:b w:val="false"/>
                  <w:color w:val="0000FF"/>
                  <w:sz w:val="20"/>
                  <w:u w:val="single"/>
                </w:rPr>
                <w:t>Condensed Consolidated Statements of Income for the Three Months Ended March 31, 2025 and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22">
              <w:r>
                <w:rPr>
                  <w:rStyle w:val="InternetLink"/>
                  <w:rFonts w:ascii="Times New Roman;sans-serif" w:hAnsi="Times New Roman;sans-serif"/>
                  <w:b w:val="false"/>
                  <w:color w:val="0000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25">
              <w:r>
                <w:rPr>
                  <w:rStyle w:val="InternetLink"/>
                  <w:rFonts w:ascii="Times New Roman;sans-serif" w:hAnsi="Times New Roman;sans-serif"/>
                  <w:b w:val="false"/>
                  <w:color w:val="0000FF"/>
                  <w:sz w:val="20"/>
                  <w:u w:val="single"/>
                </w:rPr>
                <w:t>Condensed Consolidated Statements of Changes in Shareholders’ Equity for the Three Months Ended March 31, 2025 and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25">
              <w:r>
                <w:rPr>
                  <w:rStyle w:val="InternetLink"/>
                  <w:rFonts w:ascii="Times New Roman;sans-serif" w:hAnsi="Times New Roman;sans-serif"/>
                  <w:b w:val="false"/>
                  <w:color w:val="0000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31">
              <w:r>
                <w:rPr>
                  <w:rStyle w:val="InternetLink"/>
                  <w:rFonts w:ascii="Times New Roman;sans-serif" w:hAnsi="Times New Roman;sans-serif"/>
                  <w:b w:val="false"/>
                  <w:color w:val="0000FF"/>
                  <w:sz w:val="20"/>
                  <w:u w:val="single"/>
                </w:rPr>
                <w:t>Condensed Consolidated Statements of Cash Flows for the Three Months Ended March 31, 2025 and 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31">
              <w:r>
                <w:rPr>
                  <w:rStyle w:val="InternetLink"/>
                  <w:rFonts w:ascii="Times New Roman;sans-serif" w:hAnsi="Times New Roman;sans-serif"/>
                  <w:b w:val="false"/>
                  <w:color w:val="0000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34">
              <w:r>
                <w:rPr>
                  <w:rStyle w:val="InternetLink"/>
                  <w:rFonts w:ascii="Times New Roman;sans-serif" w:hAnsi="Times New Roman;sans-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37">
              <w:r>
                <w:rPr>
                  <w:rStyle w:val="InternetLink"/>
                  <w:rFonts w:ascii="Times New Roman;sans-serif" w:hAnsi="Times New Roman;sans-serif"/>
                  <w:b w:val="false"/>
                  <w:color w:val="0000FF"/>
                  <w:sz w:val="20"/>
                  <w:u w:val="single"/>
                </w:rPr>
                <w:t>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0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03">
              <w:r>
                <w:rPr>
                  <w:rStyle w:val="InternetLink"/>
                  <w:rFonts w:ascii="Times New Roman;sans-serif" w:hAnsi="Times New Roman;sans-serif"/>
                  <w:b w:val="false"/>
                  <w:color w:val="0000FF"/>
                  <w:sz w:val="20"/>
                  <w:u w:val="single"/>
                </w:rPr>
                <w:t>21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48">
              <w:r>
                <w:rPr>
                  <w:rStyle w:val="InternetLink"/>
                  <w:rFonts w:ascii="Times New Roman;sans-serif" w:hAnsi="Times New Roman;sans-serif"/>
                  <w:b w:val="false"/>
                  <w:color w:val="0000FF"/>
                  <w:sz w:val="20"/>
                  <w:u w:val="single"/>
                </w:rPr>
                <w:t>Item 3. 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48">
              <w:r>
                <w:rPr>
                  <w:rStyle w:val="InternetLink"/>
                  <w:rFonts w:ascii="Times New Roman;sans-serif" w:hAnsi="Times New Roman;sans-serif"/>
                  <w:b w:val="false"/>
                  <w:color w:val="0000FF"/>
                  <w:sz w:val="20"/>
                  <w:u w:val="single"/>
                </w:rPr>
                <w:t>35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51">
              <w:r>
                <w:rPr>
                  <w:rStyle w:val="InternetLink"/>
                  <w:rFonts w:ascii="Times New Roman;sans-serif" w:hAnsi="Times New Roman;sans-serif"/>
                  <w:b w:val="false"/>
                  <w:color w:val="0000FF"/>
                  <w:sz w:val="20"/>
                  <w:u w:val="single"/>
                </w:rPr>
                <w:t>Item 4. 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51">
              <w:r>
                <w:rPr>
                  <w:rStyle w:val="InternetLink"/>
                  <w:rFonts w:ascii="Times New Roman;sans-serif" w:hAnsi="Times New Roman;sans-serif"/>
                  <w:b w:val="false"/>
                  <w:color w:val="0000FF"/>
                  <w:sz w:val="20"/>
                  <w:u w:val="single"/>
                </w:rPr>
                <w:t>36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54">
              <w:r>
                <w:rPr>
                  <w:rStyle w:val="InternetLink"/>
                  <w:rFonts w:ascii="Times New Roman;sans-serif" w:hAnsi="Times New Roman;sans-serif"/>
                  <w:b w:val="false"/>
                  <w:color w:val="0000FF"/>
                  <w:sz w:val="20"/>
                  <w:u w:val="single"/>
                </w:rPr>
                <w:t>PART II —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54">
              <w:r>
                <w:rPr>
                  <w:rStyle w:val="InternetLink"/>
                  <w:rFonts w:ascii="Times New Roman;sans-serif" w:hAnsi="Times New Roman;sans-serif"/>
                  <w:b w:val="false"/>
                  <w:color w:val="0000FF"/>
                  <w:sz w:val="20"/>
                  <w:u w:val="single"/>
                </w:rPr>
                <w:t>37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57">
              <w:r>
                <w:rPr>
                  <w:rStyle w:val="InternetLink"/>
                  <w:rFonts w:ascii="Times New Roman;sans-serif" w:hAnsi="Times New Roman;sans-serif"/>
                  <w:b w:val="false"/>
                  <w:color w:val="0000FF"/>
                  <w:sz w:val="20"/>
                  <w:u w:val="single"/>
                </w:rPr>
                <w:t>Item 1. 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57">
              <w:r>
                <w:rPr>
                  <w:rStyle w:val="InternetLink"/>
                  <w:rFonts w:ascii="Times New Roman;sans-serif" w:hAnsi="Times New Roman;sans-serif"/>
                  <w:b w:val="false"/>
                  <w:color w:val="0000FF"/>
                  <w:sz w:val="20"/>
                  <w:u w:val="single"/>
                </w:rPr>
                <w:t>37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60">
              <w:r>
                <w:rPr>
                  <w:rStyle w:val="InternetLink"/>
                  <w:rFonts w:ascii="Times New Roman;sans-serif" w:hAnsi="Times New Roman;sans-serif"/>
                  <w:b w:val="false"/>
                  <w:color w:val="0000FF"/>
                  <w:sz w:val="20"/>
                  <w:u w:val="single"/>
                </w:rPr>
                <w:t>Item 1A. 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60">
              <w:r>
                <w:rPr>
                  <w:rStyle w:val="InternetLink"/>
                  <w:rFonts w:ascii="Times New Roman;sans-serif" w:hAnsi="Times New Roman;sans-serif"/>
                  <w:b w:val="false"/>
                  <w:color w:val="0000FF"/>
                  <w:sz w:val="20"/>
                  <w:u w:val="single"/>
                </w:rPr>
                <w:t>37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63">
              <w:r>
                <w:rPr>
                  <w:rStyle w:val="InternetLink"/>
                  <w:rFonts w:ascii="Times New Roman;sans-serif" w:hAnsi="Times New Roman;sans-serif"/>
                  <w:b w:val="false"/>
                  <w:color w:val="0000FF"/>
                  <w:sz w:val="20"/>
                  <w:u w:val="single"/>
                </w:rPr>
                <w:t>Item 2. Repurchase of Equity by the Company or Affiliates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63">
              <w:r>
                <w:rPr>
                  <w:rStyle w:val="InternetLink"/>
                  <w:rFonts w:ascii="Times New Roman;sans-serif" w:hAnsi="Times New Roman;sans-serif"/>
                  <w:b w:val="false"/>
                  <w:color w:val="0000FF"/>
                  <w:sz w:val="20"/>
                  <w:u w:val="single"/>
                </w:rPr>
                <w:t>37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66">
              <w:r>
                <w:rPr>
                  <w:rStyle w:val="InternetLink"/>
                  <w:rFonts w:ascii="Times New Roman;sans-serif" w:hAnsi="Times New Roman;sans-serif"/>
                  <w:b w:val="false"/>
                  <w:color w:val="0000FF"/>
                  <w:sz w:val="20"/>
                  <w:u w:val="single"/>
                </w:rPr>
                <w:t>Item 5.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66">
              <w:r>
                <w:rPr>
                  <w:rStyle w:val="InternetLink"/>
                  <w:rFonts w:ascii="Times New Roman;sans-serif" w:hAnsi="Times New Roman;sans-serif"/>
                  <w:b w:val="false"/>
                  <w:color w:val="0000FF"/>
                  <w:sz w:val="20"/>
                  <w:u w:val="single"/>
                </w:rPr>
                <w:t>37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69">
              <w:r>
                <w:rPr>
                  <w:rStyle w:val="InternetLink"/>
                  <w:rFonts w:ascii="Times New Roman;sans-serif" w:hAnsi="Times New Roman;sans-serif"/>
                  <w:b w:val="false"/>
                  <w:color w:val="0000FF"/>
                  <w:sz w:val="20"/>
                  <w:u w:val="single"/>
                </w:rPr>
                <w:t>Item 6. 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69">
              <w:r>
                <w:rPr>
                  <w:rStyle w:val="InternetLink"/>
                  <w:rFonts w:ascii="Times New Roman;sans-serif" w:hAnsi="Times New Roman;sans-serif"/>
                  <w:b w:val="false"/>
                  <w:color w:val="0000FF"/>
                  <w:sz w:val="20"/>
                  <w:u w:val="single"/>
                </w:rPr>
                <w:t>38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1ca3476124004a5fb19ff47b90b0c_172">
              <w:r>
                <w:rPr>
                  <w:rStyle w:val="InternetLink"/>
                  <w:rFonts w:ascii="Times New Roman;sans-serif" w:hAnsi="Times New Roman;sans-serif"/>
                  <w:b w:val="false"/>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11ca3476124004a5fb19ff47b90b0c_172">
              <w:r>
                <w:rPr>
                  <w:rStyle w:val="InternetLink"/>
                  <w:rFonts w:ascii="Times New Roman;sans-serif" w:hAnsi="Times New Roman;sans-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723"/>
        <w:gridCol w:w="2278"/>
        <w:gridCol w:w="2299"/>
        <w:gridCol w:w="196"/>
        <w:gridCol w:w="961"/>
        <w:gridCol w:w="109"/>
        <w:gridCol w:w="109"/>
        <w:gridCol w:w="109"/>
        <w:gridCol w:w="109"/>
        <w:gridCol w:w="196"/>
        <w:gridCol w:w="961"/>
        <w:gridCol w:w="155"/>
      </w:tblGrid>
      <w:tr>
        <w:trPr/>
        <w:tc>
          <w:tcPr>
            <w:tcW w:w="272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Joint interest billings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927,345 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properties, full-cost method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Evaluated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12,534,290 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Unproved and unevaluated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properties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property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depletion, 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(6,203,263)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property and equipment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10,011,888 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9,764,096 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assets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10,850,109 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 AND SHAREHOLDERS’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441,484 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due to affiliates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995,357 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unsecured notes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2,114,908 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847,666 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4,308,298 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4,397,320 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10)</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 xml:space="preserve">Common stock - $0.01 par value, 160,000,000 shares authorized; 125,328,884 and 125,101,268 shares issued;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and 125,200,729 and 125,048,396 shares outstanding,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2,533,247 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2,556,987 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128,155 and 52,872 shares,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Matador Resources Company shareholders’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5,287,492 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5,089,149 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subsidiaries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5,457,432 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11,082,041 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10,850,109 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408805"/>
                <wp:effectExtent l="0" t="0" r="0" b="0"/>
                <wp:wrapNone/>
                <wp:docPr id="3" name="Frame3"/>
                <a:graphic xmlns:a="http://schemas.openxmlformats.org/drawingml/2006/main">
                  <a:graphicData uri="http://schemas.microsoft.com/office/word/2010/wordprocessingShape">
                    <wps:wsp>
                      <wps:cNvSpPr txBox="1"/>
                      <wps:spPr>
                        <a:xfrm>
                          <a:off x="0" y="0"/>
                          <a:ext cx="6480175" cy="4408805"/>
                        </a:xfrm>
                        <a:prstGeom prst="rect"/>
                        <a:solidFill>
                          <a:srgbClr val="FFFFFF"/>
                        </a:solidFill>
                      </wps:spPr>
                      <wps:txb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8860" w:type="dxa"/>
        <w:jc w:val="left"/>
        <w:tblInd w:w="0" w:type="dxa"/>
        <w:tblLayout w:type="fixed"/>
        <w:tblCellMar>
          <w:top w:w="28" w:type="dxa"/>
          <w:left w:w="28" w:type="dxa"/>
          <w:bottom w:w="28" w:type="dxa"/>
          <w:right w:w="28" w:type="dxa"/>
        </w:tblCellMar>
      </w:tblPr>
      <w:tblGrid>
        <w:gridCol w:w="2088"/>
        <w:gridCol w:w="1830"/>
        <w:gridCol w:w="1842"/>
        <w:gridCol w:w="211"/>
        <w:gridCol w:w="826"/>
        <w:gridCol w:w="109"/>
        <w:gridCol w:w="109"/>
        <w:gridCol w:w="109"/>
        <w:gridCol w:w="109"/>
        <w:gridCol w:w="211"/>
        <w:gridCol w:w="826"/>
        <w:gridCol w:w="109"/>
        <w:gridCol w:w="109"/>
        <w:gridCol w:w="109"/>
        <w:gridCol w:w="109"/>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transportation and 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180" w:after="283"/>
        <w:jc w:val="center"/>
        <w:rPr/>
      </w:pPr>
      <w:r>
        <w:rPr>
          <w:rFonts w:ascii="Times New Roman;sans-serif" w:hAnsi="Times New Roman;sans-serif"/>
          <w:b/>
          <w:color w:val="000000"/>
          <w:sz w:val="20"/>
        </w:rPr>
        <w:t>For the Three Months Ended March 31, 2025</w:t>
      </w:r>
      <w:r>
        <w:rPr>
          <w:color w:val="000000"/>
        </w:rPr>
        <w:t xml:space="preserve"> </w:t>
      </w:r>
    </w:p>
    <w:tbl>
      <w:tblPr>
        <w:tblW w:w="14896" w:type="dxa"/>
        <w:jc w:val="left"/>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10"/>
        <w:gridCol w:w="211"/>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368,283 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($0.3125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$0.6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125,329 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2,534,016 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5,287,492 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356,635 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w:t>
      </w:r>
    </w:p>
    <w:tbl>
      <w:tblPr>
        <w:tblW w:w="14881" w:type="dxa"/>
        <w:jc w:val="center"/>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03"/>
        <w:gridCol w:w="203"/>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($0.20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public offering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issue equity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$0.3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124,835 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4,418,250 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217,912 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091" w:type="dxa"/>
        <w:jc w:val="left"/>
        <w:tblInd w:w="0" w:type="dxa"/>
        <w:tblLayout w:type="fixed"/>
        <w:tblCellMar>
          <w:top w:w="28" w:type="dxa"/>
          <w:left w:w="28" w:type="dxa"/>
          <w:bottom w:w="28" w:type="dxa"/>
          <w:right w:w="28" w:type="dxa"/>
        </w:tblCellMar>
      </w:tblPr>
      <w:tblGrid>
        <w:gridCol w:w="2327"/>
        <w:gridCol w:w="2044"/>
        <w:gridCol w:w="2048"/>
        <w:gridCol w:w="196"/>
        <w:gridCol w:w="736"/>
        <w:gridCol w:w="109"/>
        <w:gridCol w:w="109"/>
        <w:gridCol w:w="109"/>
        <w:gridCol w:w="109"/>
        <w:gridCol w:w="196"/>
        <w:gridCol w:w="736"/>
        <w:gridCol w:w="109"/>
        <w:gridCol w:w="109"/>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 and other debt-related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changes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Drilling, completion and equipping 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Expenditures for other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Credit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San Mateo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amend credit facilities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related to formation of San Mateo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(see Note 11)</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 — NATURE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has operations in the Haynesville shale and Cotton Valley plays in Northwest Louisiana. Additionally, the Company conducts midstream operations primarily through its midstream joint venture, San Mateo Midstream, LLC and its subsidiaries (“San Mateo”), in support of, and to provide flow assurance for, the Company’s exploration, development and production operations and provides natural gas processing, oil transportation services, oil, natural gas and produced water gathering services and produced water disposal services to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Interim Financial Statements, Basis of Presentation, Consolidation and Significant Estimates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2024 filed with the SEC on February 25, 2025 (the “Annual Report”).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Times New Roman;sans-serif" w:hAnsi="Times New Roman;sans-serif"/>
          <w:b w:val="false"/>
          <w:i/>
          <w:color w:val="000000"/>
          <w:sz w:val="20"/>
        </w:rPr>
        <w:t>Consolidation (Topic 810)</w:t>
      </w:r>
      <w:r>
        <w:rPr>
          <w:rFonts w:ascii="Times New Roman;sans-serif" w:hAnsi="Times New Roman;sans-serif"/>
          <w:b w:val="false"/>
          <w:color w:val="000000"/>
          <w:sz w:val="20"/>
        </w:rPr>
        <w:t xml:space="preserve">. The Company proportionately consolidates certain joint ventures that are less-than-wholly-owned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March 31, 2025. Amounts as of December 31, 2024 are derived from the Company’s audited consolidated financial statements included in the Annual Report.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in the purchase price allocations and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revenues and revenues from contracts with customers on a disaggregated basis for the three months ended March 31, 2025 and 2024 (in thousands).</w:t>
      </w:r>
    </w:p>
    <w:tbl>
      <w:tblPr>
        <w:tblW w:w="6625" w:type="dxa"/>
        <w:jc w:val="left"/>
        <w:tblInd w:w="0" w:type="dxa"/>
        <w:tblLayout w:type="fixed"/>
        <w:tblCellMar>
          <w:top w:w="28" w:type="dxa"/>
          <w:left w:w="28" w:type="dxa"/>
          <w:bottom w:w="28" w:type="dxa"/>
          <w:right w:w="28" w:type="dxa"/>
        </w:tblCellMar>
      </w:tblPr>
      <w:tblGrid>
        <w:gridCol w:w="1222"/>
        <w:gridCol w:w="1073"/>
        <w:gridCol w:w="1080"/>
        <w:gridCol w:w="211"/>
        <w:gridCol w:w="976"/>
        <w:gridCol w:w="109"/>
        <w:gridCol w:w="109"/>
        <w:gridCol w:w="109"/>
        <w:gridCol w:w="109"/>
        <w:gridCol w:w="211"/>
        <w:gridCol w:w="826"/>
        <w:gridCol w:w="109"/>
        <w:gridCol w:w="109"/>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029" w:type="dxa"/>
        <w:jc w:val="left"/>
        <w:tblInd w:w="0" w:type="dxa"/>
        <w:tblLayout w:type="fixed"/>
        <w:tblCellMar>
          <w:top w:w="28" w:type="dxa"/>
          <w:left w:w="28" w:type="dxa"/>
          <w:bottom w:w="28" w:type="dxa"/>
          <w:right w:w="28" w:type="dxa"/>
        </w:tblCellMar>
      </w:tblPr>
      <w:tblGrid>
        <w:gridCol w:w="1368"/>
        <w:gridCol w:w="1204"/>
        <w:gridCol w:w="1207"/>
        <w:gridCol w:w="211"/>
        <w:gridCol w:w="976"/>
        <w:gridCol w:w="109"/>
        <w:gridCol w:w="109"/>
        <w:gridCol w:w="109"/>
        <w:gridCol w:w="109"/>
        <w:gridCol w:w="211"/>
        <w:gridCol w:w="826"/>
        <w:gridCol w:w="109"/>
        <w:gridCol w:w="109"/>
        <w:gridCol w:w="109"/>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Property and Equipment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months ended March 31, 2025 and 2024, the cost center ceiling was higher than the capitalized costs of oil and natural gas properties, and, as a result, no impairment charge was necessary.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approximately $17.5 million and $17.1 million of its general and administrative costs for the three months ended March 31, 2025 and 2024, respectively. The Company capitalized approximately $8.7 million and $5.9 million of its interest expense for the three months ended March 31, 2025 and 2024, respectively.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Earnings Per Common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diluted weighted average common shares outstanding for the three months ended March 31, 2025 and 2024 (in thousands).</w:t>
      </w:r>
    </w:p>
    <w:tbl>
      <w:tblPr>
        <w:tblW w:w="7757" w:type="dxa"/>
        <w:jc w:val="left"/>
        <w:tblInd w:w="0" w:type="dxa"/>
        <w:tblLayout w:type="fixed"/>
        <w:tblCellMar>
          <w:top w:w="28" w:type="dxa"/>
          <w:left w:w="28" w:type="dxa"/>
          <w:bottom w:w="28" w:type="dxa"/>
          <w:right w:w="28" w:type="dxa"/>
        </w:tblCellMar>
      </w:tblPr>
      <w:tblGrid>
        <w:gridCol w:w="1652"/>
        <w:gridCol w:w="1452"/>
        <w:gridCol w:w="1455"/>
        <w:gridCol w:w="421"/>
        <w:gridCol w:w="405"/>
        <w:gridCol w:w="213"/>
        <w:gridCol w:w="213"/>
        <w:gridCol w:w="213"/>
        <w:gridCol w:w="213"/>
        <w:gridCol w:w="421"/>
        <w:gridCol w:w="405"/>
        <w:gridCol w:w="213"/>
        <w:gridCol w:w="109"/>
        <w:gridCol w:w="109"/>
        <w:gridCol w:w="109"/>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59" w:type="dxa"/>
            <w:gridSpan w:val="3"/>
            <w:vMerge w:val="continue"/>
            <w:tcBorders/>
            <w:tcMar>
              <w:top w:w="0" w:type="dxa"/>
              <w:left w:w="0" w:type="dxa"/>
              <w:bottom w:w="0" w:type="dxa"/>
              <w:right w:w="0" w:type="dxa"/>
            </w:tcMar>
            <w:vAlign w:val="center"/>
          </w:tcPr>
          <w:p>
            <w:pPr>
              <w:pStyle w:val="Normal"/>
              <w:bidi w:val="0"/>
              <w:jc w:val="left"/>
              <w:rPr/>
            </w:pPr>
            <w:r>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and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weighted average common shares outstanding </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120,253 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Recent Accounting Pronouncements</w:t>
      </w:r>
    </w:p>
    <w:p>
      <w:pPr>
        <w:pStyle w:val="TextBody"/>
        <w:bidi w:val="0"/>
        <w:spacing w:lineRule="auto" w:line="276" w:before="0" w:after="0"/>
        <w:ind w:left="0" w:right="0" w:firstLine="495"/>
        <w:jc w:val="left"/>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In December 2023, the Financial Accounting Standards Board (“FASB”) issued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and interim reporting periods beginning after December 15, 2025. While the adoption of this ASU will modify the Company’s disclosures, it will not have an impact on the Company’s consolidated balance sheets or statements of income or cash flows in its consolidated financial statements.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Disaggregation of Income Statement Expenses. </w:t>
      </w: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The amendments in this update require disclosure in the Company’s annual and interim consolidated financial statements of specified information about certain costs and expenses, including depreciation, depletion and amortization recognized as part of oil and natural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consolidated balance sheets or statements of income or cash flows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AND DIVESTITURES</w:t>
      </w:r>
    </w:p>
    <w:p>
      <w:pPr>
        <w:pStyle w:val="TextBody"/>
        <w:bidi w:val="0"/>
        <w:spacing w:lineRule="auto" w:line="276"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Ameredev Acquisition</w:t>
      </w:r>
    </w:p>
    <w:p>
      <w:pPr>
        <w:pStyle w:val="TextBody"/>
        <w:bidi w:val="0"/>
        <w:spacing w:lineRule="auto" w:line="276" w:before="120" w:after="283"/>
        <w:ind w:left="0" w:right="0" w:firstLine="540"/>
        <w:jc w:val="left"/>
        <w:rPr/>
      </w:pPr>
      <w:r>
        <w:rPr>
          <w:rFonts w:ascii="Times New Roman;sans-serif" w:hAnsi="Times New Roman;sans-serif"/>
          <w:b w:val="false"/>
          <w:color w:val="000000"/>
          <w:sz w:val="20"/>
        </w:rPr>
        <w:t xml:space="preserve">On September 18, 2024, a wholly-owned subsidiary of the Company completed the acquisition (the “Ameredev Acquisition”) of Ameredev Stateline II, LLC (“Ameredev”) from affiliates of EnCap Investments L.P., including (i) certain oil and natural gas producing properties and undeveloped acreage located in Lea County, New Mexico and Loving and Winkler Counties, Texas, and (ii) an approximate 19% stake (the “Piñon Investment”) in the parent company of Piñon Midstream, LLC (“Piñon”). Refer to </w:t>
      </w:r>
      <w:r>
        <w:rPr>
          <w:rFonts w:ascii="Times New Roman;sans-serif" w:hAnsi="Times New Roman;sans-serif"/>
          <w:b w:val="false"/>
          <w:i/>
          <w:color w:val="000000"/>
          <w:sz w:val="20"/>
        </w:rPr>
        <w:t>Note 6—Business Combinations and Divestitures</w:t>
      </w:r>
      <w:r>
        <w:rPr>
          <w:color w:val="000000"/>
        </w:rPr>
        <w:t xml:space="preserve"> </w:t>
      </w:r>
      <w:r>
        <w:rPr>
          <w:rFonts w:ascii="Times New Roman;sans-serif" w:hAnsi="Times New Roman;sans-serif"/>
          <w:b w:val="false"/>
          <w:color w:val="000000"/>
          <w:sz w:val="20"/>
        </w:rPr>
        <w:t>in the notes to the consolidated financial statements in the Annual Report for additional details regarding the Ameredev Acquisition, including information regarding the Company’s accounting treatment of the Ameredev Acquisition.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preliminary allocation of the total purchase price for the Ameredev Acquisition is set forth below (in thousands). As of the date of this filing, the valuation of the Piñon Investment and certain working capital adjustments in connection with the final settlement remain ongoing and adjustments may be made. The Company expects to complete the final purchase price allocation during the 12-month period subsequent to the Ameredev Acquisition closing date.</w:t>
      </w:r>
    </w:p>
    <w:tbl>
      <w:tblPr>
        <w:tblW w:w="4173" w:type="dxa"/>
        <w:jc w:val="left"/>
        <w:tblInd w:w="0" w:type="dxa"/>
        <w:tblLayout w:type="fixed"/>
        <w:tblCellMar>
          <w:top w:w="28" w:type="dxa"/>
          <w:left w:w="28" w:type="dxa"/>
          <w:bottom w:w="28" w:type="dxa"/>
          <w:right w:w="28" w:type="dxa"/>
        </w:tblCellMar>
      </w:tblPr>
      <w:tblGrid>
        <w:gridCol w:w="906"/>
        <w:gridCol w:w="799"/>
        <w:gridCol w:w="800"/>
        <w:gridCol w:w="109"/>
        <w:gridCol w:w="109"/>
        <w:gridCol w:w="109"/>
        <w:gridCol w:w="211"/>
        <w:gridCol w:w="97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AND DIVESTITURES — Continued</w:t>
      </w:r>
    </w:p>
    <w:p>
      <w:pPr>
        <w:pStyle w:val="TextBody"/>
        <w:bidi w:val="0"/>
        <w:spacing w:lineRule="auto" w:line="276"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 Forma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Ameredev’s operations have been included in the Company’s consolidated financial statements since September 18, 2024. The following unaudited pro forma financial information represents a summary of the condensed consolidated results of operations for the three months ended March 31, 2024, assuming the Ameredev Acquisition had been completed as of January 1, 2023. The pro forma financial information is provided for illustrative purposes only and does not purport to represent what the actual consolidated results of operations or the consolidated financial position of the Company would have been had the Ameredev Acquisition occurred on the dates noted above, nor is it necessarily indicative of the future results of operations or consolidated financial position of the Company. Future results may vary significantly from the results reflected because of various factors.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below reflects certain nonrecurring pro forma adjustments that were directly related to the business combination based on currently available information and certain estimates and assumptions that the Company believes provide a reasonable basis for presenting the significant effects of the Ameredev Acquisition, including (i) the increase in depletion reflecting the relative fair values and production volumes attributable to Ameredev’s properties and the revision to the depletion rate reflecting the reserve volumes acquired, (ii) adjustments to interest expense as a result of the incremental borrowings necessary to finance the Ameredev Acquisition and (iii) the estimated tax impacts of the pro-forma adjustments. The pro forma financial information does not reflect the benefits of projected synergies, potential cost savings or the costs that may be necessary to achieve such savings, opportunities to increase revenue generation or other factors that may result from the Ameredev Acquisition and, accordingly, does not attempt to predict or suggest future results. Management cannot identify the timing, nature and amount of such savings, costs or other factors, any of which could affect the future consolidated results of operations or consolidated financial position of the Company.</w:t>
      </w:r>
    </w:p>
    <w:tbl>
      <w:tblPr>
        <w:tblW w:w="9720" w:type="dxa"/>
        <w:jc w:val="left"/>
        <w:tblInd w:w="0" w:type="dxa"/>
        <w:tblLayout w:type="fixed"/>
        <w:tblCellMar>
          <w:top w:w="28" w:type="dxa"/>
          <w:left w:w="28" w:type="dxa"/>
          <w:bottom w:w="28" w:type="dxa"/>
          <w:right w:w="28" w:type="dxa"/>
        </w:tblCellMar>
      </w:tblPr>
      <w:tblGrid>
        <w:gridCol w:w="2083"/>
        <w:gridCol w:w="1833"/>
        <w:gridCol w:w="1843"/>
        <w:gridCol w:w="109"/>
        <w:gridCol w:w="109"/>
        <w:gridCol w:w="109"/>
        <w:gridCol w:w="109"/>
        <w:gridCol w:w="225"/>
        <w:gridCol w:w="225"/>
        <w:gridCol w:w="225"/>
        <w:gridCol w:w="436"/>
        <w:gridCol w:w="1708"/>
        <w:gridCol w:w="225"/>
        <w:gridCol w:w="109"/>
        <w:gridCol w:w="109"/>
        <w:gridCol w:w="109"/>
        <w:gridCol w:w="154"/>
      </w:tblGrid>
      <w:tr>
        <w:trPr/>
        <w:tc>
          <w:tcPr>
            <w:tcW w:w="208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839,044 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pPr>
      <w:r>
        <w:rPr>
          <w:rFonts w:ascii="Times New Roman;sans-serif" w:hAnsi="Times New Roman;sans-serif"/>
          <w:b w:val="false"/>
          <w:i/>
          <w:color w:val="000000"/>
          <w:sz w:val="20"/>
          <w:u w:val="single"/>
        </w:rPr>
        <w:t>Divestitures</w:t>
      </w:r>
      <w:r>
        <w:rPr>
          <w:color w:val="000000"/>
        </w:rPr>
        <w:t>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the Company sold its remaining South Texas assets in the Eagle Ford shale for $22.2 million, which amount is subject to customary post-closing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 ASSET RETIREMENT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Company’s asset retirement obligations for the three months ended March 31, 2025 (in thousands).</w:t>
      </w:r>
    </w:p>
    <w:tbl>
      <w:tblPr>
        <w:tblW w:w="4791" w:type="dxa"/>
        <w:jc w:val="left"/>
        <w:tblInd w:w="0" w:type="dxa"/>
        <w:tblLayout w:type="fixed"/>
        <w:tblCellMar>
          <w:top w:w="28" w:type="dxa"/>
          <w:left w:w="28" w:type="dxa"/>
          <w:bottom w:w="28" w:type="dxa"/>
          <w:right w:w="28" w:type="dxa"/>
        </w:tblCellMar>
      </w:tblPr>
      <w:tblGrid>
        <w:gridCol w:w="1305"/>
        <w:gridCol w:w="1144"/>
        <w:gridCol w:w="1151"/>
        <w:gridCol w:w="211"/>
        <w:gridCol w:w="826"/>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asset retirement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 during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asset retirement obligations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current asset retirement obligations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 retirement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color w:val="000000"/>
        </w:rPr>
      </w:pPr>
      <w:r>
        <w:rPr>
          <w:color w:val="000000"/>
        </w:rPr>
        <w:t> </w:t>
      </w:r>
      <w:r>
        <w:rPr>
          <w:rFonts w:ascii="Times New Roman;sans-serif" w:hAnsi="Times New Roman;sans-serif"/>
          <w:b/>
          <w:color w:val="000000"/>
          <w:sz w:val="18"/>
        </w:rPr>
        <w:t>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(1)Included in accrued liabilities in the Company’s interim unaudited condensed consolidated balance sheet at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5 — DEBT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debt, including the effects of issuance costs and discounts, net as of March 31, 2025 and December 31, 2024, are set forth below (in thousands).</w:t>
      </w:r>
    </w:p>
    <w:tbl>
      <w:tblPr>
        <w:tblW w:w="6099" w:type="dxa"/>
        <w:jc w:val="left"/>
        <w:tblInd w:w="0" w:type="dxa"/>
        <w:tblLayout w:type="fixed"/>
        <w:tblCellMar>
          <w:top w:w="28" w:type="dxa"/>
          <w:left w:w="28" w:type="dxa"/>
          <w:bottom w:w="28" w:type="dxa"/>
          <w:right w:w="28" w:type="dxa"/>
        </w:tblCellMar>
      </w:tblPr>
      <w:tblGrid>
        <w:gridCol w:w="1134"/>
        <w:gridCol w:w="999"/>
        <w:gridCol w:w="1002"/>
        <w:gridCol w:w="211"/>
        <w:gridCol w:w="976"/>
        <w:gridCol w:w="109"/>
        <w:gridCol w:w="109"/>
        <w:gridCol w:w="109"/>
        <w:gridCol w:w="109"/>
        <w:gridCol w:w="211"/>
        <w:gridCol w:w="97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agreements: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due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Credit Facility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 and discounts,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unsecured notes payable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3,325,408 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had (i) $500.0 million of outstanding senior notes due 2028 (the “2028 Notes”), (ii) $900.0 million of outstanding senior notes due 2032 (the “2032 Notes”), (iii) $750.0 million of outstanding senior notes due 2033 (the “2033 Notes”), (iv) $405.0 million in borrowings outstanding under the Company’s reserves-based revolving credit facility (the “Credit Agreement”) and (v) approximately $52.9 million in outstanding letters of credit issued pursuant to the Credit Agreement. Between March 31, 2025 and April 23, 2025, the Company repaid $15.0 million of borrowings under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San Mateo had $655.0 million in borrowings outstanding under its secured revolving credit facility (the “San Mateo Credit Facility”) and approximately $24.4 million in outstanding letters of credit issued pursuant to the San Mateo Credit Facility. Between March 31, 2025 and April 23, 2025, San Mateo repaid $40.0 million of borrowings under the San Mateo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DEBT — Continued</w:t>
      </w:r>
    </w:p>
    <w:p>
      <w:pPr>
        <w:pStyle w:val="TextBody"/>
        <w:bidi w:val="0"/>
        <w:spacing w:lineRule="auto" w:line="288" w:before="120" w:after="10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Agreements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MRC Energy Company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outstanding borrowings under the Credit Agreement mature on March 22, 2029, and lender commitments under the facility were $2.25 billion at March 31, 2025. 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the Company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$150.0 million or 10% of the elected borrowing commitments of unrestricted cash and cash equivalents), divided by a rolling four quarter EBITDA calculation, of 3.5 or less at the end of each fiscal quarter. The Company believes that it was in compliance with the terms of the Credit Agreement at March 31, 2025.</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Midstream, LLC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is non-recourse with respect to Matador and its other subsidiaries but is guaranteed by San Mateo’s subsidiaries and secured by substantially all of San Mateo’s assets, including real property. The outstanding borrowings under the San Mateo Credit Facility mature on November 26, 2029, and lender commitments under the facility were $800.0 million at March 31, 2025. The San Mateo Credit Facility includes an accordion feature, which provides for potential increases in lender commitments of up to $1.05 billion.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debt to EBITDA ratio is greater than 4.5 or San Mateo’s liquidity is less than 10% of the lender commitments under the San Mateo Credit Facility. The Company believes that San Mateo was in compliance with the terms of the San Mateo Credit Facility at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 INCOME TAXES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current income tax provision of $23.0 million and a deferred income tax provision of $59.9 million for the three months ended March 31, 2025. The Company recorded a current income tax provision of $17.3 million and a deferred income tax provision of $49.5 million for the three months ended March 31,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of 26% for each of the three months ended March 31, 2025 and 2024 differed from the U.S. federal statutory rate due primarily to state taxes in New Mexico.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7 — EQUITY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granted awards to certain of its employees of 238,000 service-based restricted stock units to be settled in cash, which are liability instruments, and 268,000 performance-based stock units and 39,550 service-based shares of restricted stock, which are equity instruments. The performance-based stock units vest in an amount between zero and 200% of the target units granted based on the Company’s relative total shareholder return over the three-year period ending December 31, 2027, as compared to a designated peer group. The service-based restricted stock and restricted stock units vest over a three-year period. The fair value of these awards was approximately $31.2 million on their respective grant dates.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Dividend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Matador’s Board of Directors (the “Board”) declared a quarterly cash dividend of $0.3125 per share of common stock in February 2025. The dividend, which totaled $39.2 million, was paid on March 14, 2025 to shareholders of record as of February 28, 2025. On April 16, 2025, the Board declared a quarterly cash dividend of $0.3125 per share of common stock payable on June 6, 2025 to shareholders of record as of May 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EQUITY—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San Mateo Distributions and Contributions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San Mateo distributed $35.2 million to the Company and $33.8 million to a subsidiary of Five Point Energy LLC (“Five Point”), the Company’s joint venture partner in San Mateo. During the three months ended March 31, 2024, San Mateo distributed $26.8 million to the Company and $25.7 million to a subsidiary of Five Point. During the three months ended March 31, 2025, there were no contributions to San Mateo by either the Company or Five Point. During the three months ended March 31, 2024, the Company contributed $7.7 million and Five Point contributed $7.4 million of cash to San Mateo.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Incentives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Five Point paid the Company $2.8 million and $1.5 million of performance incentives during the three months ended March 31, 2025 and 2024, respectively. These performance incentives are recorded when received, net of the $0.6 million and $0.3 million deferred tax impact to the Company for the three months ended March 31, 2025 and 2024, respectively, in “Additional paid-in capital” in the Company’s interim unaudited condensed consolidated balance sheets. These performance incentives for the three months ended March 31, 2025 and 2024 are also denoted as “Contributions related to formation of San Mateo” under “Financing activities” in the Company’s interim unaudited condensed consolidated statements of cash flows and changes in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8 — 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had various costless collar contracts open and in place to mitigate its exposure to oil and natural gas price volatility, each with an established price floor and ceiling. At March 31, 2025, the Company had natural gas basis differential swap contracts open and in place to mitigate its exposure to natural gas price volatility, with a specific term (calculation period), notional quantity (volume hedged) and fixed price. The Company had no open contracts associated with natural gas liquids prices at March 31, 2025.</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costless collar contracts at March 31, 2025.</w:t>
      </w:r>
    </w:p>
    <w:tbl>
      <w:tblPr>
        <w:tblW w:w="10205" w:type="dxa"/>
        <w:jc w:val="left"/>
        <w:tblInd w:w="0" w:type="dxa"/>
        <w:tblLayout w:type="fixed"/>
        <w:tblCellMar>
          <w:top w:w="28" w:type="dxa"/>
          <w:left w:w="28" w:type="dxa"/>
          <w:bottom w:w="28" w:type="dxa"/>
          <w:right w:w="28" w:type="dxa"/>
        </w:tblCellMar>
      </w:tblPr>
      <w:tblGrid>
        <w:gridCol w:w="408"/>
        <w:gridCol w:w="358"/>
        <w:gridCol w:w="360"/>
        <w:gridCol w:w="109"/>
        <w:gridCol w:w="109"/>
        <w:gridCol w:w="109"/>
        <w:gridCol w:w="480"/>
        <w:gridCol w:w="480"/>
        <w:gridCol w:w="481"/>
        <w:gridCol w:w="109"/>
        <w:gridCol w:w="109"/>
        <w:gridCol w:w="109"/>
        <w:gridCol w:w="559"/>
        <w:gridCol w:w="533"/>
        <w:gridCol w:w="374"/>
        <w:gridCol w:w="109"/>
        <w:gridCol w:w="109"/>
        <w:gridCol w:w="109"/>
        <w:gridCol w:w="342"/>
        <w:gridCol w:w="998"/>
        <w:gridCol w:w="176"/>
        <w:gridCol w:w="109"/>
        <w:gridCol w:w="109"/>
        <w:gridCol w:w="109"/>
        <w:gridCol w:w="351"/>
        <w:gridCol w:w="1027"/>
        <w:gridCol w:w="181"/>
        <w:gridCol w:w="109"/>
        <w:gridCol w:w="109"/>
        <w:gridCol w:w="109"/>
        <w:gridCol w:w="211"/>
        <w:gridCol w:w="755"/>
        <w:gridCol w:w="49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Notional Quantity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Price Floor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Price Ceiling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w:t>
              <w:br/>
              <w:t xml:space="preserve">Asset </w:t>
              <w:br/>
              <w:t xml:space="preserve">(Liability) </w:t>
              <w:br/>
              <w:t>(thousands)</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04/01/2025 - 6/30/2025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4,095,000 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07/01/2025 - 12/31/2025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12,880,000 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01/01/2026 - 12/31/2026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54,750,000 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8416"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costless collar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basis differential swap contracts at March 31, 2025.</w:t>
      </w:r>
    </w:p>
    <w:tbl>
      <w:tblPr>
        <w:tblW w:w="10205" w:type="dxa"/>
        <w:jc w:val="left"/>
        <w:tblInd w:w="0" w:type="dxa"/>
        <w:tblLayout w:type="fixed"/>
        <w:tblCellMar>
          <w:top w:w="28" w:type="dxa"/>
          <w:left w:w="28" w:type="dxa"/>
          <w:bottom w:w="28" w:type="dxa"/>
          <w:right w:w="28" w:type="dxa"/>
        </w:tblCellMar>
      </w:tblPr>
      <w:tblGrid>
        <w:gridCol w:w="803"/>
        <w:gridCol w:w="704"/>
        <w:gridCol w:w="708"/>
        <w:gridCol w:w="109"/>
        <w:gridCol w:w="109"/>
        <w:gridCol w:w="109"/>
        <w:gridCol w:w="645"/>
        <w:gridCol w:w="645"/>
        <w:gridCol w:w="648"/>
        <w:gridCol w:w="109"/>
        <w:gridCol w:w="109"/>
        <w:gridCol w:w="109"/>
        <w:gridCol w:w="813"/>
        <w:gridCol w:w="702"/>
        <w:gridCol w:w="705"/>
        <w:gridCol w:w="109"/>
        <w:gridCol w:w="109"/>
        <w:gridCol w:w="109"/>
        <w:gridCol w:w="272"/>
        <w:gridCol w:w="680"/>
        <w:gridCol w:w="141"/>
        <w:gridCol w:w="109"/>
        <w:gridCol w:w="109"/>
        <w:gridCol w:w="109"/>
        <w:gridCol w:w="211"/>
        <w:gridCol w:w="721"/>
        <w:gridCol w:w="499"/>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Quantity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Fixed Price </w:t>
              <w:br/>
              <w:t>($/MMBtu)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w:t>
              <w:br/>
              <w:t xml:space="preserve">Asset </w:t>
              <w:br/>
              <w:t xml:space="preserve">(Liability) </w:t>
              <w:br/>
              <w:t>(thousands)</w:t>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8,250,000 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22,764 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01/01/2026 - 12/31/2026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54,750,000 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basis differential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33,695 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758" w:type="dxa"/>
            <w:gridSpan w:val="6"/>
            <w:tcBorders/>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DERIVATIVE FINANCIAL INSTRUMENTS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asset and liability fair values of the Company’s commodity price derivative financial instruments and the location of these balances in the interim unaudited condensed consolidated balance sheets as of March 31, 2025 and December 31, 2024 (in thousands).</w:t>
      </w:r>
    </w:p>
    <w:tbl>
      <w:tblPr>
        <w:tblW w:w="9830" w:type="dxa"/>
        <w:jc w:val="left"/>
        <w:tblInd w:w="0" w:type="dxa"/>
        <w:tblLayout w:type="fixed"/>
        <w:tblCellMar>
          <w:top w:w="28" w:type="dxa"/>
          <w:left w:w="28" w:type="dxa"/>
          <w:bottom w:w="28" w:type="dxa"/>
          <w:right w:w="28" w:type="dxa"/>
        </w:tblCellMar>
      </w:tblPr>
      <w:tblGrid>
        <w:gridCol w:w="750"/>
        <w:gridCol w:w="658"/>
        <w:gridCol w:w="662"/>
        <w:gridCol w:w="109"/>
        <w:gridCol w:w="109"/>
        <w:gridCol w:w="109"/>
        <w:gridCol w:w="211"/>
        <w:gridCol w:w="721"/>
        <w:gridCol w:w="109"/>
        <w:gridCol w:w="109"/>
        <w:gridCol w:w="109"/>
        <w:gridCol w:w="109"/>
        <w:gridCol w:w="406"/>
        <w:gridCol w:w="1422"/>
        <w:gridCol w:w="212"/>
        <w:gridCol w:w="109"/>
        <w:gridCol w:w="109"/>
        <w:gridCol w:w="109"/>
        <w:gridCol w:w="696"/>
        <w:gridCol w:w="2378"/>
        <w:gridCol w:w="361"/>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w:t>
              <w:br/>
              <w:t>netted in the condensed</w:t>
              <w:br/>
              <w:t>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amounts presented in the condensed</w:t>
              <w:br/>
              <w:t>consolidated</w:t>
              <w:br/>
              <w:t>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and aggregate gain (loss) of all derivative financial instruments recorded in the interim unaudited condensed consolidated statements of income for the periods presented (in thousands). </w:t>
      </w:r>
    </w:p>
    <w:tbl>
      <w:tblPr>
        <w:tblW w:w="8897" w:type="dxa"/>
        <w:jc w:val="left"/>
        <w:tblInd w:w="0" w:type="dxa"/>
        <w:tblLayout w:type="fixed"/>
        <w:tblCellMar>
          <w:top w:w="28" w:type="dxa"/>
          <w:left w:w="28" w:type="dxa"/>
          <w:bottom w:w="28" w:type="dxa"/>
          <w:right w:w="28" w:type="dxa"/>
        </w:tblCellMar>
      </w:tblPr>
      <w:tblGrid>
        <w:gridCol w:w="685"/>
        <w:gridCol w:w="600"/>
        <w:gridCol w:w="604"/>
        <w:gridCol w:w="109"/>
        <w:gridCol w:w="109"/>
        <w:gridCol w:w="109"/>
        <w:gridCol w:w="1164"/>
        <w:gridCol w:w="1164"/>
        <w:gridCol w:w="1166"/>
        <w:gridCol w:w="109"/>
        <w:gridCol w:w="109"/>
        <w:gridCol w:w="109"/>
        <w:gridCol w:w="211"/>
        <w:gridCol w:w="796"/>
        <w:gridCol w:w="109"/>
        <w:gridCol w:w="109"/>
        <w:gridCol w:w="109"/>
        <w:gridCol w:w="109"/>
        <w:gridCol w:w="211"/>
        <w:gridCol w:w="616"/>
        <w:gridCol w:w="109"/>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Type of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Condensed Consolidated </w:t>
              <w:br/>
              <w:t>Statement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gain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 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for identical, unrestricted assets or liabilities in active markets.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FAIR VALUE MEASUREMENTS — Continued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that are not corroborated by market data that reflect a company’s own market assumptions.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valuation of the Company’s financial assets and liabilities that were accounted for at fair value on a recurring basis in accordance with the classifications provided above as of March 31, 2025 and December 31, 2024 (in thousands).</w:t>
      </w:r>
    </w:p>
    <w:tbl>
      <w:tblPr>
        <w:tblW w:w="8011"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2"/>
        <w:gridCol w:w="109"/>
        <w:gridCol w:w="109"/>
        <w:gridCol w:w="109"/>
        <w:gridCol w:w="211"/>
        <w:gridCol w:w="796"/>
        <w:gridCol w:w="109"/>
        <w:gridCol w:w="109"/>
        <w:gridCol w:w="109"/>
        <w:gridCol w:w="109"/>
        <w:gridCol w:w="213"/>
        <w:gridCol w:w="411"/>
        <w:gridCol w:w="112"/>
        <w:gridCol w:w="109"/>
        <w:gridCol w:w="109"/>
        <w:gridCol w:w="109"/>
        <w:gridCol w:w="211"/>
        <w:gridCol w:w="79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March 31, 2025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costless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57"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0"/>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disclosures related to derivative financial instruments are provided in Note 8.</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and December 31, 2024,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and December 31, 2024,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fair value of the 2028 Notes was $507.1 million and $505.4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fair value of the 2032 Notes was $895.1 million and $890.7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fair value of the 2033 Notes was $731.7 million and $730.6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Processing, Transportation and Produced Water Disposal Commitments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Firm Commitments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$21.5 million and $15.3 million for deliveries under these agreements during the three months ended March 31, 2025 and 2024,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March 31, 2025, the total deficiencies required to be paid by the Company under these agreements would be approximately $693.3 million.</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Commitments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dedicated to San Mateo its current and certain future leasehold interests in the Rustler Breaks asset area and the Wolf portion of the West Texas asset area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In 2024, the Company also dedicated to San Mateo certain of its current and future leasehold interests in the Ranger and Antelope Ridge asset areas pursuant to 15-year, fixed-fee natural gas gathering, compression, treating and processing agreements whereby San Mateo will gather, compress, treat and process natural gas produced from the Company’s operated wells primarily in northern Lea County, New Mexico (collectively with the transportation, gathering, produced water disposal and natural gas processing agreements, the “Operational Agreements”). San Mateo provides the Company with firm service under each of the Operational Agreements in exchange for certain minimum volume commitments. The remaining minimum contractual obligation under the Operational Agreements at March 31, 2025 was approximately $789.0 million.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11 — SUPPLEMENTAL DISCLOSURES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Accrued Liabilities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current accrued liabilities at March 31, 2025 and December 31, 2024 (in thousands).</w:t>
      </w:r>
    </w:p>
    <w:tbl>
      <w:tblPr>
        <w:tblW w:w="8161" w:type="dxa"/>
        <w:jc w:val="left"/>
        <w:tblInd w:w="0" w:type="dxa"/>
        <w:tblLayout w:type="fixed"/>
        <w:tblCellMar>
          <w:top w:w="28" w:type="dxa"/>
          <w:left w:w="28" w:type="dxa"/>
          <w:bottom w:w="28" w:type="dxa"/>
          <w:right w:w="28" w:type="dxa"/>
        </w:tblCellMar>
      </w:tblPr>
      <w:tblGrid>
        <w:gridCol w:w="1951"/>
        <w:gridCol w:w="1712"/>
        <w:gridCol w:w="1721"/>
        <w:gridCol w:w="211"/>
        <w:gridCol w:w="826"/>
        <w:gridCol w:w="109"/>
        <w:gridCol w:w="109"/>
        <w:gridCol w:w="109"/>
        <w:gridCol w:w="109"/>
        <w:gridCol w:w="231"/>
        <w:gridCol w:w="905"/>
        <w:gridCol w:w="168"/>
      </w:tblGrid>
      <w:tr>
        <w:trPr/>
        <w:tc>
          <w:tcPr>
            <w:tcW w:w="195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evaluated and unproved and unevaluated property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midstream properties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lease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asset retirement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partners’ share of joint interest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payable related to purchased natural gas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441,484 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SUPPLEMENTAL DISCLOSURES — Continued</w:t>
      </w:r>
    </w:p>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Supplemental Cash Flow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disclosures of cash flow information for the three months ended March 31, 2025 and 2024 (in thousands).</w:t>
      </w:r>
    </w:p>
    <w:tbl>
      <w:tblPr>
        <w:tblW w:w="10134" w:type="dxa"/>
        <w:jc w:val="left"/>
        <w:tblInd w:w="0" w:type="dxa"/>
        <w:tblLayout w:type="fixed"/>
        <w:tblCellMar>
          <w:top w:w="28" w:type="dxa"/>
          <w:left w:w="28" w:type="dxa"/>
          <w:bottom w:w="28" w:type="dxa"/>
          <w:right w:w="28" w:type="dxa"/>
        </w:tblCellMar>
      </w:tblPr>
      <w:tblGrid>
        <w:gridCol w:w="2745"/>
        <w:gridCol w:w="2411"/>
        <w:gridCol w:w="2419"/>
        <w:gridCol w:w="211"/>
        <w:gridCol w:w="721"/>
        <w:gridCol w:w="109"/>
        <w:gridCol w:w="109"/>
        <w:gridCol w:w="109"/>
        <w:gridCol w:w="109"/>
        <w:gridCol w:w="211"/>
        <w:gridCol w:w="826"/>
        <w:gridCol w:w="154"/>
      </w:tblGrid>
      <w:tr>
        <w:trPr/>
        <w:tc>
          <w:tcPr>
            <w:tcW w:w="2745"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7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expense,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asset retirement obligations related to mineral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midstream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liabilities for drilling, completion and equipping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liabilities for acquisition of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liabilities for midstream properties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as a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inventory to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tbl>
      <w:tblPr>
        <w:tblW w:w="4959" w:type="dxa"/>
        <w:jc w:val="left"/>
        <w:tblInd w:w="0" w:type="dxa"/>
        <w:tblLayout w:type="fixed"/>
        <w:tblCellMar>
          <w:top w:w="28" w:type="dxa"/>
          <w:left w:w="28" w:type="dxa"/>
          <w:bottom w:w="28" w:type="dxa"/>
          <w:right w:w="28" w:type="dxa"/>
        </w:tblCellMar>
      </w:tblPr>
      <w:tblGrid>
        <w:gridCol w:w="902"/>
        <w:gridCol w:w="795"/>
        <w:gridCol w:w="808"/>
        <w:gridCol w:w="211"/>
        <w:gridCol w:w="721"/>
        <w:gridCol w:w="109"/>
        <w:gridCol w:w="109"/>
        <w:gridCol w:w="109"/>
        <w:gridCol w:w="109"/>
        <w:gridCol w:w="211"/>
        <w:gridCol w:w="7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has operations in the Haynesville shale and Cotton Valley plays in Northwest Louisiana. The midstream segment conducts midstream operations in support of, and provides flow assurance for,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Delaware Basin are conducted through San Mateo.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the Chairman and Chief Executive Officer. The CODM uses operating income to assess income generated from each segment to allocate resources by either reinvesting profits as midstream or drilling and completion capital expenditures, or for determining the appropriate amounts for acquisition spend, the repayment of debt and the payment of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tbl>
      <w:tblPr>
        <w:tblW w:w="10205" w:type="dxa"/>
        <w:jc w:val="center"/>
        <w:tblInd w:w="0" w:type="dxa"/>
        <w:tblLayout w:type="fixed"/>
        <w:tblCellMar>
          <w:top w:w="28" w:type="dxa"/>
          <w:left w:w="28" w:type="dxa"/>
          <w:bottom w:w="28" w:type="dxa"/>
          <w:right w:w="28" w:type="dxa"/>
        </w:tblCellMar>
      </w:tblPr>
      <w:tblGrid>
        <w:gridCol w:w="830"/>
        <w:gridCol w:w="405"/>
        <w:gridCol w:w="407"/>
        <w:gridCol w:w="251"/>
        <w:gridCol w:w="1163"/>
        <w:gridCol w:w="129"/>
        <w:gridCol w:w="109"/>
        <w:gridCol w:w="109"/>
        <w:gridCol w:w="109"/>
        <w:gridCol w:w="211"/>
        <w:gridCol w:w="976"/>
        <w:gridCol w:w="109"/>
        <w:gridCol w:w="109"/>
        <w:gridCol w:w="109"/>
        <w:gridCol w:w="109"/>
        <w:gridCol w:w="211"/>
        <w:gridCol w:w="826"/>
        <w:gridCol w:w="109"/>
        <w:gridCol w:w="109"/>
        <w:gridCol w:w="109"/>
        <w:gridCol w:w="109"/>
        <w:gridCol w:w="487"/>
        <w:gridCol w:w="937"/>
        <w:gridCol w:w="253"/>
        <w:gridCol w:w="109"/>
        <w:gridCol w:w="109"/>
        <w:gridCol w:w="109"/>
        <w:gridCol w:w="231"/>
        <w:gridCol w:w="1187"/>
        <w:gridCol w:w="175"/>
      </w:tblGrid>
      <w:tr>
        <w:trPr/>
        <w:tc>
          <w:tcPr>
            <w:tcW w:w="83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905,931 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w:t>
            </w:r>
            <w:r>
              <w:rPr>
                <w:rFonts w:ascii="Times New Roman;sans-serif" w:hAnsi="Times New Roman;sans-serif"/>
                <w:b w:val="false"/>
                <w:color w:val="000000"/>
                <w:sz w:val="13"/>
              </w:rPr>
              <w:t>(1)</w:t>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(2)</w:t>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(3)</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w:t>
            </w:r>
            <w:r>
              <w:rPr>
                <w:rFonts w:ascii="Times New Roman;sans-serif" w:hAnsi="Times New Roman;sans-serif"/>
                <w:b w:val="false"/>
                <w:color w:val="000000"/>
                <w:sz w:val="13"/>
              </w:rPr>
              <w:t>(4)</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9,310,313 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1,665,288 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11,082,041 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(5)</w:t>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476,152 </w:t>
            </w:r>
          </w:p>
        </w:tc>
        <w:tc>
          <w:tcPr>
            <w:tcW w:w="1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554,278 </w:t>
            </w:r>
          </w:p>
        </w:tc>
        <w:tc>
          <w:tcPr>
            <w:tcW w:w="1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(1)Operating expense includes lease operating expense for the exploration and production segment and plant and other midstream operating expense for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depletion, depreciation and amortization expenses of $269.5 million and $12.1 million for the exploration and production and midstream segments, respectively. Also includes corporate depletion, depreciation and amortization expenses of $0.4 million. Other expenses for each reportable segment also include (i) production taxes, transportation and processing, (ii) general and administrative expenses, (iii) accretion of asset retirement obligations and (iv) purchased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$22.2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(5)Includes $81.8 million attributable to land and seismic acquisition expenditures related to the exploration and production segment and $30.8 million in capital expenditures attributable to non-controlling interest in subsidiaries related to the midstream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 — Continued</w:t>
      </w:r>
    </w:p>
    <w:tbl>
      <w:tblPr>
        <w:tblW w:w="10205" w:type="dxa"/>
        <w:jc w:val="left"/>
        <w:tblInd w:w="0" w:type="dxa"/>
        <w:tblLayout w:type="fixed"/>
        <w:tblCellMar>
          <w:top w:w="28" w:type="dxa"/>
          <w:left w:w="28" w:type="dxa"/>
          <w:bottom w:w="28" w:type="dxa"/>
          <w:right w:w="28" w:type="dxa"/>
        </w:tblCellMar>
      </w:tblPr>
      <w:tblGrid>
        <w:gridCol w:w="842"/>
        <w:gridCol w:w="428"/>
        <w:gridCol w:w="430"/>
        <w:gridCol w:w="256"/>
        <w:gridCol w:w="1189"/>
        <w:gridCol w:w="132"/>
        <w:gridCol w:w="109"/>
        <w:gridCol w:w="109"/>
        <w:gridCol w:w="109"/>
        <w:gridCol w:w="211"/>
        <w:gridCol w:w="976"/>
        <w:gridCol w:w="109"/>
        <w:gridCol w:w="109"/>
        <w:gridCol w:w="109"/>
        <w:gridCol w:w="109"/>
        <w:gridCol w:w="211"/>
        <w:gridCol w:w="750"/>
        <w:gridCol w:w="109"/>
        <w:gridCol w:w="109"/>
        <w:gridCol w:w="109"/>
        <w:gridCol w:w="109"/>
        <w:gridCol w:w="452"/>
        <w:gridCol w:w="1033"/>
        <w:gridCol w:w="235"/>
        <w:gridCol w:w="109"/>
        <w:gridCol w:w="109"/>
        <w:gridCol w:w="109"/>
        <w:gridCol w:w="240"/>
        <w:gridCol w:w="1112"/>
        <w:gridCol w:w="182"/>
      </w:tblGrid>
      <w:tr>
        <w:trPr/>
        <w:tc>
          <w:tcPr>
            <w:tcW w:w="84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(67,489)</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w:t>
            </w:r>
            <w:r>
              <w:rPr>
                <w:rFonts w:ascii="Times New Roman;sans-serif" w:hAnsi="Times New Roman;sans-serif"/>
                <w:b w:val="false"/>
                <w:color w:val="000000"/>
                <w:sz w:val="13"/>
              </w:rPr>
              <w:t>(1)</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(2)</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352,822 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292,355 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318,953 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w:t>
            </w:r>
            <w:r>
              <w:rPr>
                <w:rFonts w:ascii="Times New Roman;sans-serif" w:hAnsi="Times New Roman;sans-serif"/>
                <w:b w:val="false"/>
                <w:color w:val="000000"/>
                <w:sz w:val="13"/>
              </w:rPr>
              <w:t>(4)</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6,836,353 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8,227,329 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(5)</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551,920 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638,558 </w:t>
            </w:r>
          </w:p>
        </w:tc>
        <w:tc>
          <w:tcPr>
            <w:tcW w:w="1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(1)Operating expense includes lease operating expense for the exploration and production segment and plant and other midstream operating expense for the midstream segment.</w:t>
      </w:r>
    </w:p>
    <w:p>
      <w:pPr>
        <w:pStyle w:val="TextBody"/>
        <w:bidi w:val="0"/>
        <w:spacing w:lineRule="auto" w:line="288" w:before="120" w:after="283"/>
        <w:ind w:left="0" w:right="0" w:hanging="360"/>
        <w:jc w:val="left"/>
        <w:rPr/>
      </w:pPr>
      <w:r>
        <w:rPr>
          <w:rFonts w:ascii="Times New Roman;sans-serif" w:hAnsi="Times New Roman;sans-serif"/>
          <w:b w:val="false"/>
          <w:color w:val="000000"/>
          <w:sz w:val="16"/>
        </w:rPr>
        <w:t>(2)Includes depletion, depreciation and amortization expenses of $201.2 million</w:t>
      </w:r>
      <w:r>
        <w:rPr>
          <w:color w:val="000000"/>
        </w:rPr>
        <w:t xml:space="preserve"> </w:t>
      </w:r>
      <w:r>
        <w:rPr>
          <w:rFonts w:ascii="Times New Roman;sans-serif" w:hAnsi="Times New Roman;sans-serif"/>
          <w:b w:val="false"/>
          <w:color w:val="000000"/>
          <w:sz w:val="16"/>
        </w:rPr>
        <w:t>and $10.8 million for the exploration and production and midstream segments, respectively. Also includes corporate depletion, depreciation and amortization expenses of $0.3 million. Other expenses for each reportable segment also include (i) production taxes, transportation and processing, (ii) general and administrative expenses, (iii) accretion of asset retirement obligations and (iv) purchased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(3)Includes $19.5 million in net income attributable to non-controlling interest in subsidiaries related to the midstream segment.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(5)Includes $201.3 million attributable to land and seismic acquisition expenditures related to the exploration and production segment and $7.1 million in capital expenditures attributable to non-controlling interest in subsidiaries related to the midstream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13 — SUBSEQUENT EVENTS</w:t>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28, 2025, the Company repurchased 250,000 shares of its common stock at an average price of $41.45 per share, totaling $10.4 million. This repurchase was executed under the share repurchase program authorized by the Board on April 16,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2024 (the “Annual Report”) filed with the Securities and Exchange Commission (the “SEC”) on February 25, 2025, along with Management’s Discussion and Analysis of Financial Condition and Results of Operations contained in the Annual Report. The Annual Report is accessible on the SEC’s website at </w:t>
      </w:r>
      <w:r>
        <w:rPr>
          <w:rFonts w:ascii="Times New Roman;sans-serif" w:hAnsi="Times New Roman;sans-serif"/>
          <w:b w:val="false"/>
          <w:i/>
          <w:color w:val="000000"/>
          <w:sz w:val="20"/>
          <w:u w:val="single"/>
        </w:rPr>
        <w:t>www.sec.gov</w:t>
      </w:r>
      <w:r>
        <w:rPr>
          <w:color w:val="000000"/>
        </w:rPr>
        <w:t xml:space="preserve"> </w:t>
      </w:r>
      <w:r>
        <w:rPr>
          <w:rFonts w:ascii="Times New Roman;sans-serif" w:hAnsi="Times New Roman;sans-serif"/>
          <w:b w:val="false"/>
          <w:i/>
          <w:color w:val="000000"/>
          <w:sz w:val="20"/>
        </w:rPr>
        <w:t xml:space="preserve">and on our website at </w:t>
      </w:r>
      <w:r>
        <w:rPr>
          <w:rFonts w:ascii="Times New Roman;sans-serif" w:hAnsi="Times New Roman;sans-serif"/>
          <w:b w:val="false"/>
          <w:i/>
          <w:color w:val="000000"/>
          <w:sz w:val="20"/>
          <w:u w:val="single"/>
        </w:rPr>
        <w:t>www.matadorresources.com</w:t>
      </w:r>
      <w:r>
        <w:rPr>
          <w:rFonts w:ascii="Times New Roman;sans-serif" w:hAnsi="Times New Roman;sans-serif"/>
          <w:b w:val="false"/>
          <w:i/>
          <w:color w:val="000000"/>
          <w:sz w:val="20"/>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(iv) references to “Ameredev” refer to Ameredev Stateline II, LLC, (v) references to “Piñon” refer to Piñon Midstream, LLC and (vi) references to the “Ameredev Acquisition” refer to the acquisition of Ameredev from affiliates of EnCap Investments L.P., including (a) certain oil and natural gas producing properties and undeveloped acreage located in Lea County, New Mexico and Loving and Winkler Counties, Texas, and (b) an approximate 19% stake in the parent company of Piñon, which was completed by a subsidiary of the Company on September 18, 2024. For certain oil and natural gas terms used in this Quarterly Report, please see the “Glossary of Oil and Natural Gas Terms” included with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capital markets,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and environmental conditions; disruption from our acquisitions making it more difficult to maintain business and operational relationships; significant transaction costs associated with our acquisitions; the risk of litigation and/or regulatory actions related to our acquisitions; and the other factors discussed below and elsewhere in this Quarterly Report and in other documents that we file with or furnish to the SEC, all of which are difficult to predict. Forward-looking statements may include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strategy;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estimated future reserves and the present value thereof, including whether or not a full-cost ceiling impairment could be realized;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cash flows and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timing and payment of dividends, if 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strategy, budget, projections and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supply and demand of oil, natural gas and NGLs;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oil, natural gas and NGL prices, including our realized prices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and amount of future production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drilling and production equipment;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storage capacity;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field labor;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nature and timing of capital expenditures, including future exploration and development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and terms of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drilling of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negotiate and consummate acquisition and divestiture opportunities;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integration of acquisitions with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 regulation and taxation of the oil and natural gas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tariffs and trade restrictions;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marketing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exploitation projects or property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midstream business to construct, maintain and operate midstream pipelines and facilities, including the operation of cryogenic natural gas processing plants and the drilling of additional salt water disposal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midstream business to attract third-party volumes;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costs of exploiting and developing our properties and conducting other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in the oil and natural gas industry, including in both the exploration and production and midstream segments;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effectiveness of our risk management and hedging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environmental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initiatives and efforts relating to environmental, social and governance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counterparty credit risk;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geopolitical instability and developments in oil-producing and natural gas-producing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the Inflation Reduction Act of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plans, objectives, expectations and intentions contained in this Quarterly Report or in our other filings with the SEC that are not historical.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Quarter Highlights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our total oil equivalent production was 17.9 million BOE, and our average daily oil equivalent production was 198,631 BOE per day, of which 115,030 Bbl per day, or 58%, was oil and 501.6 MMcf per day, or 42%, was natural gas. Our average daily oil production of 115,030 Bbl per day for the three months ended March 31, 2025 increased 36% year-over-year from 84,777 Bbl per day for the three months ended March 31, 2024. Our average daily natural gas production of 501.6 MMcf per day for the three months ended March 31, 2025 increased 29% year-over-year from 389.9 MMcf per day for the three months ended March 31,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Basin contributed approximately 100% of our daily oil production and approximately 96% of our daily natural gas production in the first quarter of 2025, as compared to approximately 99% of our daily oil production and approximately 94% of our daily natural gas production in the first quarter of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2025, we reported net income attributable to Matador shareholders of $240.1 million, or $1.92 per diluted common share, on a GAAP basis, as compared to net income attributable to Matador shareholders of $193.7 million, or $1.61 per diluted common share, for the first quarter of 2024. For the first quarter of 2025, our Adjusted EBITDA, a non-GAAP financial measure, was $644.2 million, as compared to Adjusted EBITDA of $505.4 million during the first quarter of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 definition of Adjusted EBITDA and a reconciliation of Adjusted EBITDA to our net income and net cash provided by operating activities, see “—Liquidity and Capital Resources—Non-GAAP Financial Measures.” For more information regarding our financial results for the three months ended March 31, 2025, see “—Results of Operations” below.</w:t>
      </w:r>
    </w:p>
    <w:p>
      <w:pPr>
        <w:pStyle w:val="TextBody"/>
        <w:bidi w:val="0"/>
        <w:spacing w:lineRule="auto" w:line="288" w:before="120" w:after="283"/>
        <w:jc w:val="left"/>
        <w:rPr/>
      </w:pPr>
      <w:r>
        <w:rPr>
          <w:rFonts w:ascii="Times New Roman;sans-serif" w:hAnsi="Times New Roman;sans-serif"/>
          <w:b w:val="false"/>
          <w:color w:val="000000"/>
          <w:sz w:val="20"/>
        </w:rPr>
        <w:t>O</w:t>
      </w:r>
      <w:r>
        <w:rPr>
          <w:rFonts w:ascii="Times New Roman;sans-serif" w:hAnsi="Times New Roman;sans-serif"/>
          <w:b w:val="false"/>
          <w:i/>
          <w:color w:val="000000"/>
          <w:sz w:val="20"/>
        </w:rPr>
        <w:t>perations Update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began 2025 operating nine drilling rigs in the Delaware Basin and, as of April 23, 2025, we decided to drop to eight drilling rigs by the middle of 2025. We have built significant optionality into our drilling program, which should generally allow us to decrease or increase the number of rigs we operate as necessary based on changing commodity prices and other factors.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2025 Capital Expenditure Budget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April 23, 2025, we decreased our estimated drilling, completing and equipping (“D/C/E”) capital expenditures for 2025 to a range of $1.18 to $1.37 billion from a range of $1.28 to $1.47 billion, as we plan to reduce to eight drilling rigs in the middle of the year as well as adjust our completions schedule. At April 23, 2025, our estimated midstream capital expenditures for 2025 remained $120.0 to $180.0 million, which includes our proportionate share of San Mateo’s estimated 2025 capital expenditures as well as the estimated 2025 capital expenditures for other wholly-owned midstream projects. The midstream capital expenditure budget includes 51% of the costs associated with San Mateo’s construction of an additional natural gas processing plant with a designed inlet processing capacity of 200 MMcf per day, including a nitrogen rejection unit and additional related facilities, to expand its Marlan cryogenic natural gas processing plant (the “Marlan Processing Plant Expansion”), which is expected to be online in the second quarter of 2025.</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Resources Update</w:t>
      </w:r>
    </w:p>
    <w:p>
      <w:pPr>
        <w:pStyle w:val="TextBody"/>
        <w:bidi w:val="0"/>
        <w:spacing w:lineRule="auto" w:line="285"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Matador’s Board of Directors (the “Board”) declared a quarterly cash dividend of $0.3125 per share of common stock in February 2025. On April 16, 2025, the Board declared a quarterly cash dividend of $0.3125 per share of common stock payable on June 6, 2025 to shareholders of record as of May 9, 2025.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had (i) $405.0 million in borrowings outstanding under our existing secured revolving credit facility (the “Credit Agreement”), (ii) approximately $52.9 million in outstanding letters of credit issued pursuant to the Credit Agreement, (iii) $500.0 million of outstanding 6.875% senior notes due 2028 (the “2028 Notes”), (iv) $900.0 million of outstanding 6.50% senior notes due 2032 (the “2032 Notes”) and (v) $750.0 million of outstanding 6.25% senior notes due 2033 (the “2033 Notes”). Between March 31, 2025 and April 23, 2025, we repaid $15.0 million of borrowings under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San Mateo had $655.0 million in borrowings outstanding under San Mateo’s secured revolving credit facility (the “San Mateo Credit Facility”) and approximately $24.4 million in outstanding letters of credit issued pursuant to the San Mateo Credit Facility. Between March 31, 2025 and April 23, 2025, San Mateo repaid $40.0 million of borrowings under the San Mateo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and estimates from those set forth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interim unaudited condensed consolidated financial statements for a description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revenues and production data for the periods indicated:</w:t>
      </w:r>
    </w:p>
    <w:tbl>
      <w:tblPr>
        <w:tblW w:w="7435" w:type="dxa"/>
        <w:jc w:val="left"/>
        <w:tblInd w:w="0" w:type="dxa"/>
        <w:tblLayout w:type="fixed"/>
        <w:tblCellMar>
          <w:top w:w="28" w:type="dxa"/>
          <w:left w:w="28" w:type="dxa"/>
          <w:bottom w:w="28" w:type="dxa"/>
          <w:right w:w="28" w:type="dxa"/>
        </w:tblCellMar>
      </w:tblPr>
      <w:tblGrid>
        <w:gridCol w:w="1518"/>
        <w:gridCol w:w="1331"/>
        <w:gridCol w:w="1336"/>
        <w:gridCol w:w="211"/>
        <w:gridCol w:w="976"/>
        <w:gridCol w:w="109"/>
        <w:gridCol w:w="109"/>
        <w:gridCol w:w="109"/>
        <w:gridCol w:w="109"/>
        <w:gridCol w:w="211"/>
        <w:gridCol w:w="826"/>
        <w:gridCol w:w="109"/>
        <w:gridCol w:w="109"/>
        <w:gridCol w:w="109"/>
        <w:gridCol w:w="109"/>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Data</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Revenues (in thousands)</w:t>
            </w:r>
            <w:r>
              <w:rPr>
                <w:rFonts w:ascii="Times New Roman;sans-serif" w:hAnsi="Times New Roman;sans-serif"/>
                <w:b/>
                <w:color w:val="000000"/>
                <w:sz w:val="13"/>
              </w:rPr>
              <w:t>(1)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Net Production Volumes</w:t>
            </w:r>
            <w:r>
              <w:rPr>
                <w:rFonts w:ascii="Times New Roman;sans-serif" w:hAnsi="Times New Roman;sans-serif"/>
                <w:b/>
                <w:color w:val="000000"/>
                <w:sz w:val="13"/>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(MBbl)</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(Bcf)</w:t>
            </w:r>
            <w:r>
              <w:rPr>
                <w:rFonts w:ascii="Times New Roman;sans-serif" w:hAnsi="Times New Roman;sans-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ans-serif" w:hAnsi="Times New Roman;sans-serif"/>
                <w:b w:val="false"/>
                <w:color w:val="000000"/>
                <w:sz w:val="20"/>
              </w:rPr>
              <w:t>Total oil equivalent (MBOE)</w:t>
            </w:r>
            <w:r>
              <w:rPr>
                <w:rFonts w:ascii="Times New Roman;sans-serif" w:hAnsi="Times New Roman;sans-serif"/>
                <w:b w:val="false"/>
                <w:color w:val="000000"/>
                <w:sz w:val="13"/>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ans-serif" w:hAnsi="Times New Roman;sans-serif"/>
                <w:b w:val="false"/>
                <w:color w:val="000000"/>
                <w:sz w:val="20"/>
              </w:rPr>
              <w:t>Average daily production (BOE/d)</w:t>
            </w:r>
            <w:r>
              <w:rPr>
                <w:rFonts w:ascii="Times New Roman;sans-serif" w:hAnsi="Times New Roman;sans-serif"/>
                <w:b w:val="false"/>
                <w:color w:val="000000"/>
                <w:sz w:val="13"/>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Sales Prices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(2)One thousand Bbl of oil.</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(3)One billion cubic feet of natural gas.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(4)One thousand Bbl of oil equivalent, estimated using a conversion ratio of one Bbl of oil per six Mcf of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(5)Barrels of oil equivalent per day, estimated using a conversion ratio of one Bbl of oil per six Mcf of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March 31, 2025 as Compared to Three Months Ended March 31, 2024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Oil and natural gas revenues. </w:t>
      </w:r>
      <w:r>
        <w:rPr>
          <w:rFonts w:ascii="Times New Roman;sans-serif" w:hAnsi="Times New Roman;sans-serif"/>
          <w:b w:val="false"/>
          <w:color w:val="000000"/>
          <w:sz w:val="20"/>
        </w:rPr>
        <w:t>Our oil and natural gas revenues increased $206.4 million, or 29%, to $909.9 million for the three months ended March 31, 2025, as compared to $703.5 million for the three months ended March 31, 2024. Our oil revenues increased $150.8 million, or 25%, to $749.3 million for the three months ended March 31, 2025, as compared to $598.5 million for the three months ended March 31, 2024. The increase in oil revenues resulted from a 34% increase in our oil production to 10.4 million Bbl for the three months ended March 31, 2025, as compared to 7.7 million Bbl for the three months ended March 31, 2024, which was partially offset by a 7% decrease in the weighted average oil price realized for the three months ended March 31, 2025 to $72.38 per Bbl, as compared to $77.58 per Bbl for the three months ended March 31, 2024. Our natural gas revenues increased $55.6 million, or 53%, to $160.6 million for the three months ended March 31, 2025, as compared to $105.0 million for the three months ended March 31, 2024. The increase in natural gas revenues resulted from a 27% increase in our natural gas production to 45.1 Bcf for the three months ended March 31, 2025, as compared to 35.5 Bcf for the three months ended March 31, 2024 and a 20% increase in the weighted average natural gas price realized for the three months ended March 31, 2025 to $3.56 per Mcf, as compared to a weighted average natural gas price of $2.96 per Mcf realized for the three months ended March 31, 2024.</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Third-party midstream services revenues. </w:t>
      </w:r>
      <w:r>
        <w:rPr>
          <w:rFonts w:ascii="Times New Roman;sans-serif" w:hAnsi="Times New Roman;sans-serif"/>
          <w:b w:val="false"/>
          <w:color w:val="000000"/>
          <w:sz w:val="20"/>
        </w:rPr>
        <w:t>Our third-party midstream services revenues increased $1.1 million, or 4%, to $33.5 million for the three months ended March 31, 2025, as compared to $32.4 million for the three months ended March 31, 2024. Third-party midstream services revenues are those revenues from midstream operations related to third parties, including working interest owners in our operated wells.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Sales of purchased natural gas.</w:t>
      </w:r>
      <w:r>
        <w:rPr>
          <w:color w:val="000000"/>
        </w:rPr>
        <w:t xml:space="preserve"> </w:t>
      </w:r>
      <w:r>
        <w:rPr>
          <w:rFonts w:ascii="Times New Roman;sans-serif" w:hAnsi="Times New Roman;sans-serif"/>
          <w:b w:val="false"/>
          <w:color w:val="000000"/>
          <w:sz w:val="20"/>
        </w:rPr>
        <w:t>Our sales of purchased natural gas increased $13.3 million, or 27%, to $62.8 million for the three months ended March 31, 2025, as compared to $49.4 million for the three months ended March 31, 2024. This increase was primarily the result of a 44% increase in natural gas price realized, which was partially offset by a 12% decrease in natural gas volumes sold.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interim unaudited condensed consolidated statements of income.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Realized gain on derivatives.</w:t>
      </w:r>
      <w:r>
        <w:rPr>
          <w:color w:val="000000"/>
        </w:rPr>
        <w:t xml:space="preserve"> </w:t>
      </w:r>
      <w:r>
        <w:rPr>
          <w:rFonts w:ascii="Times New Roman;sans-serif" w:hAnsi="Times New Roman;sans-serif"/>
          <w:b w:val="false"/>
          <w:color w:val="000000"/>
          <w:sz w:val="20"/>
        </w:rPr>
        <w:t>Our realized gain on derivatives was $2.7 million for the three months ended March 31, 2025, as compared to a realized gain of $0.3 million for the three months ended March 31, 2024. We realized a net gain of $2.7 million related to our natural gas basis differential swap contracts for the three months ended March 31, 2025, resulting primarily from natural gas basis differentials that were below the fixed prices of certain of our natural gas basis differential swap contracts. For the three months ended March 31, 2024, we realized a net gain of $0.3 million related to our natural gas basis differential swap contracts, resulting primarily from natural gas basis differentials that were below the fixed prices of certain of our natural gas basis differential swap contracts. We realized an average gain on our natural gas derivatives of approximately $0.06 per Mcf produced during the three months ended March 31, 2025, as compared to an average gain of approximately $0.01 per Mcf produced during the three months ended March 31, 2024.</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Unrealized gain on derivatives.</w:t>
      </w:r>
      <w:r>
        <w:rPr>
          <w:color w:val="000000"/>
        </w:rPr>
        <w:t xml:space="preserve"> </w:t>
      </w:r>
      <w:r>
        <w:rPr>
          <w:rFonts w:ascii="Times New Roman;sans-serif" w:hAnsi="Times New Roman;sans-serif"/>
          <w:b w:val="false"/>
          <w:color w:val="000000"/>
          <w:sz w:val="20"/>
        </w:rPr>
        <w:t>During the three months ended March 31, 2025, the aggregate net fair value of our open oil and natural gas costless collars and natural gas basis differential swap contracts changed to a net asset of $21.0 million from a net asset of $16.0 million at December 31, 2024, resulting in an unrealized gain on derivatives of $5.1 million for the three months ended March 31, 2025. During the three months ended March 31, 2024, the aggregate net fair value of our open natural gas basis differential swap contracts changed to a net asset of $4.7 million from a net asset of $2.7 million at December 31, 2023, resulting in an unrealized gain on derivatives of $2.1 million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operating expenses and other income (expense) for the periods indicated:</w:t>
      </w:r>
    </w:p>
    <w:tbl>
      <w:tblPr>
        <w:tblW w:w="8859" w:type="dxa"/>
        <w:jc w:val="left"/>
        <w:tblInd w:w="0" w:type="dxa"/>
        <w:tblLayout w:type="fixed"/>
        <w:tblCellMar>
          <w:top w:w="28" w:type="dxa"/>
          <w:left w:w="28" w:type="dxa"/>
          <w:bottom w:w="28" w:type="dxa"/>
          <w:right w:w="28" w:type="dxa"/>
        </w:tblCellMar>
      </w:tblPr>
      <w:tblGrid>
        <w:gridCol w:w="2087"/>
        <w:gridCol w:w="1834"/>
        <w:gridCol w:w="1838"/>
        <w:gridCol w:w="211"/>
        <w:gridCol w:w="826"/>
        <w:gridCol w:w="109"/>
        <w:gridCol w:w="109"/>
        <w:gridCol w:w="109"/>
        <w:gridCol w:w="109"/>
        <w:gridCol w:w="211"/>
        <w:gridCol w:w="826"/>
        <w:gridCol w:w="109"/>
        <w:gridCol w:w="109"/>
        <w:gridCol w:w="109"/>
        <w:gridCol w:w="109"/>
        <w:gridCol w:w="154"/>
      </w:tblGrid>
      <w:tr>
        <w:trPr/>
        <w:tc>
          <w:tcPr>
            <w:tcW w:w="208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expenses per BOE)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operating</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 per BOE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March 31, 2025 as Compared to Three Months Ended March 31, 2024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Production taxes, transportation and processing.</w:t>
      </w:r>
      <w:r>
        <w:rPr>
          <w:color w:val="000000"/>
        </w:rPr>
        <w:t xml:space="preserve"> </w:t>
      </w:r>
      <w:r>
        <w:rPr>
          <w:rFonts w:ascii="Times New Roman;sans-serif" w:hAnsi="Times New Roman;sans-serif"/>
          <w:b w:val="false"/>
          <w:color w:val="000000"/>
          <w:sz w:val="20"/>
        </w:rPr>
        <w:t>Our production taxes and transportation and processing expenses increased $23.7 million, or 34%, to $93.8 million for the three months ended March 31, 2025, as compared to $70.2 million for the three months ended March 31, 2024. The increase was primarily attributable to an $18.2 million increase in production taxes to $72.2 million for the three months ended March 31, 2025, as compared to $54.0 million for the three months ended March 31, 2024, and a $5.5 million increase in transportation and processing expenses to $21.7 million for the three months ended March 31, 2025, as compared to $16.2 million for the three months ended March 31, 2024. This increase in production taxes and transportation and processing expenses is primarily due to the increase in oil and natural gas revenues between the two periods. On a unit-of-production basis, our production taxes and transportation and processing expenses increased 2% to $5.25 per BOE for the three months ended March 31, 2025, as compared to $5.15 per BOE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Lease operating.</w:t>
      </w:r>
      <w:r>
        <w:rPr>
          <w:color w:val="000000"/>
        </w:rPr>
        <w:t xml:space="preserve"> </w:t>
      </w:r>
      <w:r>
        <w:rPr>
          <w:rFonts w:ascii="Times New Roman;sans-serif" w:hAnsi="Times New Roman;sans-serif"/>
          <w:b w:val="false"/>
          <w:color w:val="000000"/>
          <w:sz w:val="20"/>
        </w:rPr>
        <w:t>Our lease operating expenses increased $30.3 million, or 40%, to $106.6 million for the three months ended March 31, 2025, as compared to $76.3 million for the three months ended March 31, 2024. Our lease operating expenses on a unit-of-production basis increased 6% to $5.96 per BOE for the three months ended March 31, 2025, as compared to $5.60 per BOE for the three months ended March 31, 2024. These increases were primarily attributable to the increased number of wells being operated by us, including 204 wells from the Ameredev Acquisition, and other operators (where we own a working interest) for the three months ended March 31, 2025, as compared to the three months ended March 31, 2024.</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Plant and other midstream services operating. </w:t>
      </w:r>
      <w:r>
        <w:rPr>
          <w:rFonts w:ascii="Times New Roman;sans-serif" w:hAnsi="Times New Roman;sans-serif"/>
          <w:b w:val="false"/>
          <w:color w:val="000000"/>
          <w:sz w:val="20"/>
        </w:rPr>
        <w:t>Our plant and other midstream services operating expenses increased $13.3 million, or 34%, to $52.9 million for the three months ended March 31, 2025, as compared to $39.6 million for the three months ended March 31, 2024. This increase was primarily attributable to increased throughput volumes from Matador and other San Mateo customers, which resulted in (i) increased expenses associated with our expanded pipeline operations of $26.1 million for the three months ended March 31, 2025, as compared to $16.2 million for the three months ended March 31, 2024, and (ii) increased expenses associated with our commercial produced water disposal operations of $16.8 million for the three months ended March 31, 2025, as compared to $14.4 million for the three months ended March 31, 2024.</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Depletion, depreciation and amortization. </w:t>
      </w:r>
      <w:r>
        <w:rPr>
          <w:rFonts w:ascii="Times New Roman;sans-serif" w:hAnsi="Times New Roman;sans-serif"/>
          <w:b w:val="false"/>
          <w:color w:val="000000"/>
          <w:sz w:val="20"/>
        </w:rPr>
        <w:t xml:space="preserve">Our depletion, depreciation and amortization expenses increased $69.6 million, or 33%, to $281.9 million for the three months ended March 31, 2025, as compared to $212.3 million for the three months ended March 31, 2024, primarily as a result of a 31% increase in our total oil equivalent production for the three months ended March 31, 2025, as compared to the three months ended March 31, 2024. On a unit-of-production basis, our depletion, depreciation and amortization expenses increased 1% to $15.77 per BOE for the three months ended March 31, 2025, as compared to $15.58 per BOE for the three months ended March 31, 2024.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Our general and administrative expenses increased $4.1 million, or 14%, to $33.7 million for the three months ended March 31, 2025, as compared to $29.7 million for the three months ended March 31, 2024, primarily due to increased compensation expenses for our existing employees as well as the addition of new employees to support the continued growth in our land, geoscience, drilling, completion, production, midstream and administration functions. Our general and administrative expenses decreased by 13% on a unit-of-production basis to $1.89 per BOE for the three months ended March 31, 2025, as compared to $2.18 per BOE for the three months ended March 31, 2024, primarily as a result of a 31% increase in our total oil equivalent production between the two periods.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For the three months ended March 31, 2025, we incurred total interest expense of $58.2 million. We capitalized $8.7 million of our interest expense on certain qualifying projects for the three months ended March 31, 2025 and expensed the remaining $49.5 million to operations. For the three months ended March 31, 2024, we incurred total interest expense of $45.4 million. We capitalized $5.9 million of our interest expense on certain qualifying projects for the three months ended March 31, 2024 and expensed the remaining $39.6 million to operations. The increase in interest expense for the three months ended March 31, 2025 was primarily attributable to an increase in our total senior notes outstanding to $2.15 billion at March 31, 2025, as compared to $1.20 billion at March 31, 2024.</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Income tax provision. </w:t>
      </w:r>
      <w:r>
        <w:rPr>
          <w:rFonts w:ascii="Times New Roman;sans-serif" w:hAnsi="Times New Roman;sans-serif"/>
          <w:b w:val="false"/>
          <w:color w:val="000000"/>
          <w:sz w:val="20"/>
        </w:rPr>
        <w:t xml:space="preserve">We recorded a current income tax provision of $23.0 million and a deferred income tax provision of $59.9 million for the three months ended March 31, 2025. We recorded a current income tax provision of $17.3 million and a deferred income tax provision of $49.5 million for the three months ended March 31, 2024. Our effective income tax rate of 26% for each of the three months ended March 31, 2025 and 2024 differed from the U.S. federal statutory rate due primarily to state taxes in New Mexico.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capital has been, and we expect will continue to be during the remainder of 2025 and for the foreseeable future, for the acquisition, exploration and development of oil and natural gas properties and for midstream investments. We expect to fund our 2025 capital expenditures through a combination of cash on hand, operating cash flows and performance incentives paid to us by Five Point Energy, LLC or its affiliates. If capital expenditures were to exceed our operating cash flows during the remainder of 2025, we expect to fund any such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declared a quarterly cash dividend of $0.3125 per share of common stock in February 2025. On April 16, 2025, the Board declared a quarterly cash dividend of $0.3125 per share of common stock payable on June 6, 2025 to shareholders of record as of May 9,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16, 2025, the Board authorized a share repurchase program (the “Share Repurchase Program”) of up to $400.0 million of common stock. These repurchases may be conducted through a variety of methods, including open market purchases, 10b5-1 trading plans, privately negotiated transactions or other means. The timing and number of shares that we may purchase is subject to a variety of factors, including our stock price, market conditions, trading volume and other uses for our free cash flow. There can be no assurance regarding the exact number of shares to be repurchased by the Company, if any. Depending on market conditions and other factors, these repurchases may be commenced or suspended at any time or periodically without prior notice, and the Share Repurchase Program does not obligate the Company to acquire any amount of common stock. On April 28, 2025, we repurchased 250,000 shares of our common stock at an average price of $41.45 per share, totaling $10.4 million under the Share Repurchase Program.</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us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$150.0 million or 10% of the elected borrowing commitments of unrestricted cash and cash equivalents), divided by a rolling four quarter EBITDA calculation, of 3.5 or less at the end of each fiscal quarter. We believe that we were in compliance with the terms of the Credit Agreement at March 31, 2025.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had cash totaling $14.5 million and restricted cash totaling $63.0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had (i) $500.0 million of outstanding 2028 Notes, (ii) $900.0 million of outstanding 2032 Notes, (iii) $750.0 million of outstanding 2033 Notes, (iv) $405.0 million in borrowings outstanding under the Credit Agreement and (v) approximately $52.9 million in outstanding letters of credit issued pursuant to the Credit Agreement. Between March 31, 2025 and April 23, 2025, we repaid $15.0 million of borrowings under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San Mateo had $655.0 million in borrowings outstanding under the San Mateo Credit Facility and approximately $24.4 million in outstanding letters of credit issued pursuant to the San Mateo Credit Facility. Between March 31, 2025 and April 23, 2025, San Mateo repaid $40.0 million of borrowings under the San Mateo Credit Facility. The outstanding borrowings under the San Mateo Credit Facility mature on November 26, 2029, and lender commitments under the facility were $800.0 million at March 31, 2025. The San Mateo Credit Facility includes an accordion feature, which provides for potential increases in lender commitments to up to $1.05 billion. The San Mateo Credit Facility is non-recourse with respect to Matador and its other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 We believe that San Mateo was in compliance with the terms of the San Mateo Credit Facility at March 31, 2025.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development of our Delaware Basin assets will be the primary focus of our operations and capital expenditures for the remainder of 2025. We began 2025 operating nine drilling rigs in the Delaware Basin and, as of April 23, 2025, we decided to drop to eight drilling rigs by the middle of 2025. We have built significant optionality into our drilling program, which should generally allow us to decrease or increase the number of rigs we operate as necessary based on changing commodity prices and other factors. At April 23, 2025, we decreased our estimated D/C/E capital expenditures for 2025 to a range of $1.18 to $1.37 billion from a range of $1.28 to $1.47 billion, as we plan to reduce to eight drilling rigs in the middle of the year as well as adjust our completions schedule. At April 23, 2025, our estimated midstream capital expenditures for 2025 remained $120.0 to $180.0 million, which includes our proportionate share of San Mateo’s estimated 2025 capital expenditures as well as the estimated 2025 capital expenditures for other wholly-owned midstream projects. The midstream capital expenditure budget includes 51% of the costs associated with the Marlan Processing Plant Expansion that is expected to be online in the second quarter of 2025. Substantially all of these 2025 estimated capital expenditures are expected to be allocated to (i) the further delineation and development of our leasehold position, (ii) the construction, installation and maintenance of midstream assets and (iii) our participation in certain non-operated well opportunities. Our 2025 Delaware Basin operated drilling program is expected to focus on the continued development of our various asset areas throughout the Delaware Basin, with a continued emphasis on drilling and completing a high percentage of longer horizontal wells.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have done in recent years, we may divest portions of our non-core assets as well as consider monetizing other assets, such as certain midstream assets and mineral and royalty interests, as value-creating opportunities arise. During the first quarter of 2025, we divested our remaining assets in the Eagle Ford shale for $22.2 million. In addition, during 2025,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2025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2025.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2025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and development activities are subject to a number of risks and uncertainties, which could cause these activities to be less successful than we anticipate. A significant portion of our anticipated cash flows from operations for the remainder of 2025 is expected to come from producing wells and development activities on currently proved properties in the Delaware Basin and the Haynesville shale in Northwest Louisiana.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2025 and the hedges we currently have in place. For further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unaudited cash flows for the three months ended March 31, 2025 and 2024 are presented below:</w:t>
      </w:r>
    </w:p>
    <w:tbl>
      <w:tblPr>
        <w:tblW w:w="9189" w:type="dxa"/>
        <w:jc w:val="left"/>
        <w:tblInd w:w="0" w:type="dxa"/>
        <w:tblLayout w:type="fixed"/>
        <w:tblCellMar>
          <w:top w:w="28" w:type="dxa"/>
          <w:left w:w="28" w:type="dxa"/>
          <w:bottom w:w="28" w:type="dxa"/>
          <w:right w:w="28" w:type="dxa"/>
        </w:tblCellMar>
      </w:tblPr>
      <w:tblGrid>
        <w:gridCol w:w="2358"/>
        <w:gridCol w:w="2080"/>
        <w:gridCol w:w="2087"/>
        <w:gridCol w:w="211"/>
        <w:gridCol w:w="826"/>
        <w:gridCol w:w="109"/>
        <w:gridCol w:w="109"/>
        <w:gridCol w:w="109"/>
        <w:gridCol w:w="109"/>
        <w:gridCol w:w="211"/>
        <w:gridCol w:w="82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restricted cash</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color w:val="000000"/>
              </w:rPr>
              <w:t xml:space="preserve"> </w:t>
            </w:r>
            <w:r>
              <w:rPr>
                <w:rFonts w:ascii="Times New Roman;sans-serif" w:hAnsi="Times New Roman;sans-serif"/>
                <w:b w:val="false"/>
                <w:color w:val="000000"/>
                <w:sz w:val="20"/>
              </w:rPr>
              <w:t>attributable to Matador Resources Company shareholders</w:t>
            </w:r>
            <w:r>
              <w:rPr>
                <w:rFonts w:ascii="Times New Roman;sans-serif" w:hAnsi="Times New Roman;sans-serif"/>
                <w:b w:val="false"/>
                <w:color w:val="000000"/>
                <w:sz w:val="13"/>
              </w:rPr>
              <w:t xml:space="preserve">(1)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(1)Adjusted EBITDA is a non-GAAP financial measure. For a definition of Adjusted EBITDA and a reconciliation of Adjusted EBITDA to our net income and net cash provided by operating activities, see “—Non-GAAP Financial Measures” below.</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$259.3 million to $727.9 million for the three months ended March 31, 2025 from $468.6 million for the three months ended March 31, 2024. Excluding changes in operating assets and liabilities, net cash provided by operating activities increased $127.1 million to $608.5 million for the three months ended March 31, 2025 from $481.4 million for the three months ended March 31, 2024. This increase was primarily attributable to higher oil and natural gas production and higher realized natural gas prices for the three months ended March 31, 2025, as compared to the three months ended March 31, 2024, partially offset by lower realized oil prices. Changes in our operating assets and liabilities between the two periods resulted in a net increase of approximately $132.2 million in net cash provided by operating activities for the three months ended March 31, 2025, as compared to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$31.7 million to $511.7 million for the three months ended March 31, 2025 from $543.3 million for the three months ended March 31, 2024. This decrease in net cash used in investing activities was primarily due to (i) a decrease between the periods of $120.6 million in expenditures related to the acquisition of oil and natural gas properties, (ii) a decrease between the periods of $32.2 million in midstream capital expenditures and (iii) an increase between the periods of $21.3 million related to proceeds from the sale of assets. These decreases were partially offset by an increase between the periods of $141.7 million in D/C/E capital expenditures primarily attributable to our operated and non-operated drilling, completion and equipping activities in the Delaware Basin.</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Provided by Financing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$276.2 million to $233.4 million for the three months ended March 31, 2025 from net cash provided by financing activities of $42.8 million for the three months ended March 31, 2024. During the three months ended March 31, 2025, our primary uses of cash from financing activities included (i) net repayments under the Credit Agreement of $190.5 million, (ii) dividends paid of $39.2 million, (iii) net distributions related to San Mateo of $35.6 million and (iv) payment of taxes related to stock-based compensation of $10.5 million. These decreases were partially offset by net borrowings under the San Mateo Credit Facility of $40.0 million. During the three months ended March 31, 2024, our primary sources of cash from financing activities included proceeds of $344.7 million from our March 2024 underwritten public offering of shares of our common stock, partially offset by (w) net repayments under the Credit Agreement of $240.0 million, (x) dividends paid of $23.9 million, (y) net distributions related to San Mateo of $18.4 million and (z) payment of taxes related to stock-based compensation of $13.5 million.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5 to the interim unaudited condensed consolidated financial statements in this Quarterly Report for a summary of our debt, including the Credit Agreement, the San Mateo Credit Facility, the 2028 Notes, the 2032 Notes and the 2033 Notes.</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should not be considered an alternative to, or more meaningful than, net income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calculation of Adjusted EBITDA and the reconciliation of Adjusted EBITDA to the GAAP financial measures of net income and net cash provided by operating activities, respectively. </w:t>
      </w:r>
    </w:p>
    <w:tbl>
      <w:tblPr>
        <w:tblW w:w="9415" w:type="dxa"/>
        <w:jc w:val="left"/>
        <w:tblInd w:w="0" w:type="dxa"/>
        <w:tblLayout w:type="fixed"/>
        <w:tblCellMar>
          <w:top w:w="28" w:type="dxa"/>
          <w:left w:w="28" w:type="dxa"/>
          <w:bottom w:w="28" w:type="dxa"/>
          <w:right w:w="28" w:type="dxa"/>
        </w:tblCellMar>
      </w:tblPr>
      <w:tblGrid>
        <w:gridCol w:w="2282"/>
        <w:gridCol w:w="2009"/>
        <w:gridCol w:w="2024"/>
        <w:gridCol w:w="211"/>
        <w:gridCol w:w="826"/>
        <w:gridCol w:w="109"/>
        <w:gridCol w:w="109"/>
        <w:gridCol w:w="109"/>
        <w:gridCol w:w="109"/>
        <w:gridCol w:w="211"/>
        <w:gridCol w:w="826"/>
        <w:gridCol w:w="109"/>
        <w:gridCol w:w="109"/>
        <w:gridCol w:w="109"/>
        <w:gridCol w:w="109"/>
        <w:gridCol w:w="154"/>
      </w:tblGrid>
      <w:tr>
        <w:trPr/>
        <w:tc>
          <w:tcPr>
            <w:tcW w:w="2282"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Non-recurring income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70"/>
        <w:gridCol w:w="2259"/>
        <w:gridCol w:w="2275"/>
        <w:gridCol w:w="211"/>
        <w:gridCol w:w="826"/>
        <w:gridCol w:w="109"/>
        <w:gridCol w:w="109"/>
        <w:gridCol w:w="109"/>
        <w:gridCol w:w="109"/>
        <w:gridCol w:w="211"/>
        <w:gridCol w:w="826"/>
        <w:gridCol w:w="109"/>
        <w:gridCol w:w="109"/>
        <w:gridCol w:w="109"/>
        <w:gridCol w:w="109"/>
        <w:gridCol w:w="155"/>
      </w:tblGrid>
      <w:tr>
        <w:trPr/>
        <w:tc>
          <w:tcPr>
            <w:tcW w:w="257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Cash Provided by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non-cash portion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and non-recurring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net income attributable to Matador shareholders increased $46.4 million to $240.1 million, as compared to $193.7 million for the three months ended March 31, 2024. The increase in net income attributable to Matador shareholders primarily resulted from higher oil and natural gas production and higher realized natural gas prices for the three months ended March 31, 2025, as compared to the three months ended March 31, 2024. These increases to net income were partially offset by lower realized oil prices, increased depletion, depreciation and amortization expenses of $281.9 million for the three months ended March 31, 2025, as compared to $212.3 million for the three months ended March 31, 2024, and an income tax provision of $82.9 million for the three months ended March 31, 2025, as compared to an income tax provision of $66.8 million for the three months ended March 31,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increased $138.9 million to $644.2 million for the three months ended March 31, 2025, as compared to $505.4 million for the three months ended March 31, 2024. This increase was primarily attributable to higher oil and natural gas production and higher realized natural gas prices, partially offset by lower realized oil prices, for the three months ended March 31, 2025, as compared to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off-balance sheet arrangements and transactions that can give rise to material off-balance sheet obligations. As of March 31, 2025,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10 to the interim unaudited condensed consolidated financial statements in this Quarterly Report for more information regarding our off-balance sheet arrangements.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Obligations and Commitments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the following material contractual obligations and commitments at March 31, 2025: </w:t>
      </w:r>
    </w:p>
    <w:tbl>
      <w:tblPr>
        <w:tblW w:w="10205" w:type="dxa"/>
        <w:jc w:val="left"/>
        <w:tblInd w:w="0" w:type="dxa"/>
        <w:tblLayout w:type="fixed"/>
        <w:tblCellMar>
          <w:top w:w="28" w:type="dxa"/>
          <w:left w:w="28" w:type="dxa"/>
          <w:bottom w:w="28" w:type="dxa"/>
          <w:right w:w="28" w:type="dxa"/>
        </w:tblCellMar>
      </w:tblPr>
      <w:tblGrid>
        <w:gridCol w:w="1078"/>
        <w:gridCol w:w="800"/>
        <w:gridCol w:w="79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07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w:t>
              <w:br/>
              <w:t>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w:t>
              <w:br/>
              <w:t>Than</w:t>
              <w:br/>
              <w:t>5 Years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Borrowings, including letters of credit</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unsecured notes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Non-operated drilling commitments</w:t>
            </w:r>
            <w:r>
              <w:rPr>
                <w:rFonts w:ascii="Times New Roman;sans-serif" w:hAnsi="Times New Roman;sans-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Drilling rig contracts</w:t>
            </w:r>
            <w:r>
              <w:rPr>
                <w:rFonts w:ascii="Times New Roman;sans-serif" w:hAnsi="Times New Roman;sans-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retirement obligations</w:t>
            </w:r>
            <w:r>
              <w:rPr>
                <w:rFonts w:ascii="Times New Roman;sans-serif" w:hAnsi="Times New Roman;sans-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Transportation, gathering, processing and disposal agreements with non-affiliates</w:t>
            </w:r>
            <w:r>
              <w:rPr>
                <w:rFonts w:ascii="Times New Roman;sans-serif" w:hAnsi="Times New Roman;sans-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Transportation, gathering, processing and disposal agreements with San Mateo</w:t>
            </w:r>
            <w:r>
              <w:rPr>
                <w:rFonts w:ascii="Times New Roman;sans-serif" w:hAnsi="Times New Roman;sans-serif"/>
                <w:b w:val="false"/>
                <w:color w:val="000000"/>
                <w:sz w:val="13"/>
              </w:rPr>
              <w:t xml:space="preserve">(7)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Midstream contracts</w:t>
            </w:r>
            <w:r>
              <w:rPr>
                <w:rFonts w:ascii="Times New Roman;sans-serif" w:hAnsi="Times New Roman;sans-serif"/>
                <w:b w:val="false"/>
                <w:color w:val="000000"/>
                <w:sz w:val="13"/>
              </w:rPr>
              <w:t xml:space="preserve">(8)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2,445,721 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amounts included in the table above represent principal maturities only. At March 31, 2025, we had $405.0 million in borrowings outstanding under the Credit Agreement and approximately $52.9 million in outstanding letters of credit issued pursuant to the Credit Agreement. The outstanding borrowings under the Credit Agreement mature on March 22, 2029. At March 31, 2025, San Mateo had $655.0 million of borrowings outstanding under the San Mateo Credit Facility and approximately $24.4 million in outstanding letters of credit issued pursuant to the San Mateo Credit Facility. The outstanding borrowings under the San Mateo Credit Facility mature on November 26, 2029. Assuming the amounts outstanding and interest rates of 6.18% and 6.43% respectively, for the Credit Agreement and the San Mateo Credit Facility at March 31, 2025, the interest expense for such facilities is expected to be approximately $25.4 million and $42.7 million, respectively, each year until maturity.</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(2)The amounts included in the table above represent principal maturities only. Interest expense on the $500.0 million of outstanding 2028 Notes as of March 31, 2025 is expected to be approximately $34.4 million each year until maturity. Interest expense on the $900.0 million of outstanding 2032 Notes as of March 31, 2025 is expected to be approximately $58.5 million. Interest expense on the $750.0 million of outstanding 2033 Notes as of March 31, 2025 is expected to be approximately $46.9 million.</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(3)At March 31, 2025, we had outstanding commitments to participate in the drilling and completion of various non-operated wells.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(4)We do not own or operate our own drilling rigs, but instead we enter into contracts with third parties for such drilling rigs.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(5)The amounts included in the table above represent discounted cash flow estimates for future asset retirement obligations at March 31, 2025.</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10 to the interim unaudited condensed consolidated financial statements in this Quarterly Report for more information about these contractual commitments.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(7)We dedicated to San Mateo our current and certain future leasehold interests in the Rustler Breaks asset area and the Wolf portion of the West Texas asset area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 we also dedicated to San Mateo certain of our current and future leasehold interests in the Ranger and Antelope Ridge asset areas pursuant to 15-year, fixed-fee natural gas gathering, compression, treating and processing agreements with San Mateo whereby San Mateo will gather, compress, treat and process natural gas produced from our operated wells primarily in northern Lea County, New Mexico. See Note 10 to the interim unaudited condensed consolidated financial statements in this Quarterly Report for more information about these contractual commitments.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(8)At March 31, 2025, we had outstanding commitments related to San Mateo’s Marlan Processing Plant Expansion, in addition to commitments to purchase compressors to be utilized in San Mateo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Outlook and Trends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success and financial results are dependent on many factors beyond our control, such as economic, political and regulatory developments, as well as competition from other sources of energy. For example, the recent election of President Trump and a Republican-controlled Congress has altered, and may continue to alter, our current regulatory framework and may impact our business and the oil and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including ongoing military conflicts between Russia and Ukraine and in the Middle East, political instability, particularly in China and in the Middle East, the actions of Organization of Petroleum Exporting Countries, Russia and certain other oil-exporting countries (“OPEC+”), weather, pipeline capacity constraints, inventory storage levels, domestic or global health concerns, oil and natural gas price differentials and other factors.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oil, natural gas and NGLs heavily influence our revenues, profitability, cash flow available for capital expenditures, the repayment of debt, the payment of cash dividends, if any, and the repurchase of common stock,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prices were lower in the first quarter of 2025, as compared to the first quarter of 2024. For the three months ended March 31, 2025, oil prices averaged $71.42 per Bbl, ranging from a high of $80.04 per Bbl in mid-January to a low of $66.03 per Bbl in mid-March, based upon the West Texas Intermediate (“WTI”) oil futures contract price for the earliest delivery date. Oil prices averaged $76.91 per Bbl for the three months ended March 31, 2024. We realized a weighted average oil price of $72.38 per Bbl (with no realized gains or losses from oil derivatives) for our oil production for the three months ended March 31, 2025, as compared to $77.58 per Bbl (with no realized gains or losses from oil derivatives) for our oil production for the three months ended March 31, 2024. Oil prices have experienced increased volatility since March 31, 2025. At April 23, 2025, the WTI oil futures contract for the earliest delivery date had decreased from the average price for the first quarter of 2025 of $71.42 per Bbl, settling at $62.27 per Bbl, which was a decrease as compared to $83.36 per Bbl at April 23,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prices were higher in the first quarter of 2025, as compared to the first quarter of 2024. For the three months ended March 31, 2025, natural gas prices averaged $3.87 per MMBtu, ranging from a low of $3.04 per MMBtu in late January to a high of $4.49 per MMBtu in mid-March, based upon the NYMEX Henry Hub natural gas futures contract price for the earliest delivery date. Natural gas prices averaged $2.10 per MMBtu for the three months ended March 31, 2024. We report production volumes in two streams, oil and natural gas (which includes both dry gas and NGLs). Waha prices were also higher for the first quarter of 2025, as compared to the first quarter of 2024, which contributed to higher realized weighted average natural gas prices for the first quarter of 2025. We realized a weighted average natural gas price of $3.56 per Mcf ($3.62 per Mcf including realized gains from natural gas derivatives) for our natural gas production (including revenues attributable to NGLs) for the three months ended March 31, 2025, as compared to $2.96 per Mcf ($2.97 per Mcf including realized gains from natural gas derivatives) for our natural gas production (including revenues attributable to NGLs) for the three months ended March 31, 2024. Certain volumes of our natural gas production are sold at prices established at the beginning of each month by the various markets where we sell our natural gas production, and certain volumes of our natural gas production are sold at daily market prices. At April 23, 2025, the NYMEX Henry Hub natural gas futures contract price for the earliest delivery date had decreased from the average price for the first quarter of 2025 of $3.87 per MMBtu, to $3.02 per MMBtu, which was an increase as compared to $1.81 per MMBtu at April 23,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oil and natural gas production often reflect a discount to the relevant benchmark prices, such as the WTI oil price or the NYMEX Henry Hub natural gas price. The difference between the benchmark price and the price we receive is called a differential. At March 31, 2025,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Midland-Cushing (Oklahoma) oil price differential has been highly volatile in recent years. At April 23, 2025, this oil price differential was positive at approximately +$0.93 per Bbl. At April 23, 2025, we had no derivative contracts in place to mitigate our exposure to this Midland-Cushing (Oklahoma) oil price differential for 2025.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volumes of our Delaware Basin natural gas production are exposed to the Waha-Henry Hub basis differential, which has also been highly volatile in recent years. In recent years, concerns about natural gas pipeline takeaway capacity out of the Delaware Basin began to increase and as a result, the Waha-Henry Hub basis differential began to widen. The Waha-Henry Hub basis differential averaged ($2.46) per MMBtu for the three months ended March 31, 2025. Between March 31, 2025 and April 23, 2025, this natural gas price differential remained wide at approximately ($2.36) per MMBtu. A significant portion of our Delaware Basin natural gas production, however, is sold at Houston Ship Channel pricing and is not exposed to Waha pricing. During 2023 and 2024, we typically realized a narrower 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4% of our reported natural gas production for the three months ended March 31, 2025 was attributable to the Haynesville shale play, which is not exposed to Waha pricing. In addition, as a two-stream reporter, most of our natural gas volumes in the Delaware Basin are processed for NGLs, resulting in a further reduction in the reported natural gas volumes exposed to Waha pricing.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three months of 2025, we realized a net gain on our natural gas basis differential derivative contracts of approximately $2.7 million, resulting primarily from natural gas basis differentials that were below the fixed prices of certain of our natural gas basis differential swap contracts. At April 23, 2025, we had derivative natural gas basis differential swap contracts in place to mitigate our exposure to the Waha-Henry Hub basis differential for approximately 8.3 Bcf of our anticipated natural gas production for the remainder of 2025 and 54.8 Bcf for 2026.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including in 2024, we may temporarily shut in certain high gas-oil ratio wells and take other actions to mitigate the impact on our realized natural gas prices and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at times experienced inflation in the costs of certain oilfield services, including diesel, steel, labor, trucking, sand, personnel and completion costs, among others. Should oil prices increase, we may be subject to additional service cost inflation in future periods, which may increase our costs to drill, complete, equip and operate wells. In addition, supply chain disruptions, tariffs and trade restrictions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Tariffs and Trading Relationships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2025, the U.S. government announced a baseline tariff of 10% on products imported from all countries and an additional individualized reciprocal tariff on the countries with which the United States has the largest trade deficits, including China. Increased tariffs by the United States have led and may continue to lead to the imposition of retaliatory tariffs by foreign jurisdictions. Additionally, the U.S. government has announced and rescinded multiple tariffs on several foreign jurisdictions, which has increased uncertainty regarding the ultimate effect of the tariffs on economic conditions. Current uncertainties about tariffs and their effects on trading relationships may affect costs for and availability of raw materials or contribute to inflation in the markets in which we operate. Although we are continuing to monitor the economic effects of such announcements, as well as opportunities to mitigate their related impacts, costs and other effects associated with the tariffs remain uncertain.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 in the Annual Report. The following disclosures about our regulatory matters provide an update to, and should be read in conjunction with, the above referenced sections of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6,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18, 2024, the Environmental Protection Agency published final rules under authority of the Inflation Reduction Act of 2022 that would impose a waste emissions charge on large emitters of waste methane from the oil and gas sector. On March 14, 2025, President Trump signed a Joint Resolution of Disapproval under the Congressional Review Act to prohibit the waste emissions charge rules from taking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to the sources and effects of our market risk since December 31, 2024, which are disclosed in Part II, Item 7A of the Annual Report and incorporated herein by reference.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Commodity price exposure.</w:t>
      </w:r>
      <w:r>
        <w:rPr>
          <w:color w:val="000000"/>
        </w:rPr>
        <w:t xml:space="preserve"> </w:t>
      </w:r>
      <w:r>
        <w:rPr>
          <w:rFonts w:ascii="Times New Roman;sans-serif" w:hAnsi="Times New Roman;sans-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all derivative financial instruments at fair value. The fair value of our derivative financial instruments is determined using purchase and sale information available for similarly traded securities. At March 31, 2025, Bank of America, PNC Bank, Truist Bank, The Bank of Nova Scotia, Royal Bank of Canada, Comerica Bank, BOKF (or affiliates thereof), The Toronto Dominion Bank, J.P. Morgan Chase Bank and Wells Fargo Bank were the counterparties for our derivative instruments. We have considered the credit standing of the counterparties in determining the fair value of our derivative financial instruments.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had various costless collar contracts open and in place to mitigate our exposure to oil and natural gas price volatility, each with an established price floor and ceiling. At March 31, 2025, we had natural gas basis differential swap contracts open and in place to mitigate our exposure to natural gas price volatility, with a specific term (calculation period), notional quantity (volume hedged) and fixed price. We had no open contracts associated with NGL prices at March 31, 2025.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8 to the interim unaudited condensed consolidated financial statements in this Quarterly Report for a summary of our open derivative financial instruments. Such information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of Disclosure Controls and Procedures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March 31, 2025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pStyle w:val="TextBody"/>
        <w:bidi w:val="0"/>
        <w:spacing w:lineRule="auto" w:line="240"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were no changes in our internal controls that have materially affected or are reasonably likely to have a material effect on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were no material changes regarding the legal proceedings we have disclosed in “Item 3. Legal Proceedings”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risks and uncertainties in the course of our business. For a discussion of such risks and uncertainties, please see “Item 1A. Risk Factors” in the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Repurchase of Equity by the Company or Affiliates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March 31, 2025, the Company re-acquired shares of common stock from certain employees in order to satisfy the employees’ tax liability in connection with the vesting of restricted stock. </w:t>
      </w:r>
    </w:p>
    <w:tbl>
      <w:tblPr>
        <w:tblW w:w="10205" w:type="dxa"/>
        <w:jc w:val="left"/>
        <w:tblInd w:w="0" w:type="dxa"/>
        <w:tblLayout w:type="fixed"/>
        <w:tblCellMar>
          <w:top w:w="28" w:type="dxa"/>
          <w:left w:w="28" w:type="dxa"/>
          <w:bottom w:w="28" w:type="dxa"/>
          <w:right w:w="28" w:type="dxa"/>
        </w:tblCellMar>
      </w:tblPr>
      <w:tblGrid>
        <w:gridCol w:w="530"/>
        <w:gridCol w:w="405"/>
        <w:gridCol w:w="408"/>
        <w:gridCol w:w="109"/>
        <w:gridCol w:w="109"/>
        <w:gridCol w:w="109"/>
        <w:gridCol w:w="522"/>
        <w:gridCol w:w="497"/>
        <w:gridCol w:w="499"/>
        <w:gridCol w:w="109"/>
        <w:gridCol w:w="109"/>
        <w:gridCol w:w="109"/>
        <w:gridCol w:w="291"/>
        <w:gridCol w:w="851"/>
        <w:gridCol w:w="150"/>
        <w:gridCol w:w="109"/>
        <w:gridCol w:w="109"/>
        <w:gridCol w:w="109"/>
        <w:gridCol w:w="787"/>
        <w:gridCol w:w="787"/>
        <w:gridCol w:w="789"/>
        <w:gridCol w:w="109"/>
        <w:gridCol w:w="109"/>
        <w:gridCol w:w="109"/>
        <w:gridCol w:w="694"/>
        <w:gridCol w:w="694"/>
        <w:gridCol w:w="993"/>
      </w:tblGrid>
      <w:tr>
        <w:trPr/>
        <w:tc>
          <w:tcPr>
            <w:tcW w:w="53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of Shares that May Yet Be Purchased under the Plans or Programs</w:t>
            </w:r>
          </w:p>
        </w:tc>
      </w:tr>
      <w:tr>
        <w:trPr/>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to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to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to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58,599 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shares were not re-acquired pursuant to any repurchase plan or program. The Company re-acquired shares of common stock from certain employees in order to satisfy the employees’ tax liability in connection with the vesting of restricted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Insider Trading Plans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 director or officer (as defined in Rule 16a-1(f) under the Exchange Act) of the Company adopted, modified or terminated a “Rule 10b5-1 trading arrangement” or “non-Rule 10b5-1 trading arrangement,” as each term is defined in Item 408(a) of Regulation S-K.</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b11ca3476124004a5fb19ff47b90b0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097"/>
        <w:gridCol w:w="2945"/>
        <w:gridCol w:w="2974"/>
        <w:gridCol w:w="15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Securities Purchase Agreement, dated June 12, 2024, by and among MRC Toro, LLC, MRC Energy Company (solely for the limited purposes stated therein), Ameredev II Parent, LLC, Ameredev Intermediate II, LLC and Ameredev Stateline II, LLC (incorporated by reference to Exhibit 2.1 to the Current Report on Form 8-K filed on June 12,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Amendment No. 1 to Securities Purchase Agreement, dated August 29, 2024, by and among MRC Toro, LLC, Ameredev II Parent, LLC, Ameredev Intermediate II, LLC and Ameredev Stateline II, LLC (incorporated by reference to Exhibit 2.3 to the Quarterly Report on Form 10-Q for the quarter ended September 30,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2 to Securities Purchase Agreement, dated February 14, 2025, by and among MRC Toro, LLC, Ameredev II Parent, LLC and Ameredev Intermediate II, LLC (incorporated by reference to Exhibit 2.6 to the Annual Report on Form 10-K for the year ended December 31,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Amended and Restated Bylaws of Matador Resources Company, as amended (incorporated by reference to Exhibit 3.1 to the Current Report on Form 8-K filed on February 22, 2018).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mtdr10qex41.htm">
              <w:r>
                <w:rPr>
                  <w:rStyle w:val="InternetLink"/>
                  <w:rFonts w:ascii="Times New Roman;sans-serif" w:hAnsi="Times New Roman;sans-serif"/>
                  <w:b w:val="false"/>
                  <w:color w:val="0000FF"/>
                  <w:sz w:val="20"/>
                  <w:u w:val="single"/>
                </w:rPr>
                <w:t>First Supplemental Indenture, dated as of March 18, 2025, by and among MRC Royalties, LLC, a subsidiary of the Company, the existing Guarantor Subsidiaries, the Company and U.S. Bank Trust Company, National Association, as trustee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mtdr10qex42.htm">
              <w:r>
                <w:rPr>
                  <w:rStyle w:val="InternetLink"/>
                  <w:rFonts w:ascii="Times New Roman;sans-serif" w:hAnsi="Times New Roman;sans-serif"/>
                  <w:b w:val="false"/>
                  <w:color w:val="0000FF"/>
                  <w:sz w:val="20"/>
                  <w:u w:val="single"/>
                </w:rPr>
                <w:t>Second Supplemental Indenture, dated as of March 18, 2025, by and among MRC Royalties, LLC, a subsidiary of the Company, the existing Guarantor Subsidiaries, the Company and U.S. Bank Trust Company, National Association, as trustee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mtdr10qex43.htm">
              <w:r>
                <w:rPr>
                  <w:rStyle w:val="InternetLink"/>
                  <w:rFonts w:ascii="Times New Roman;sans-serif" w:hAnsi="Times New Roman;sans-serif"/>
                  <w:b w:val="false"/>
                  <w:color w:val="0000FF"/>
                  <w:sz w:val="20"/>
                  <w:u w:val="single"/>
                </w:rPr>
                <w:t>Third Supplemental Indenture, dated as of March 18, 2025, by and among MRC Royalties, LLC, a subsidiary of the Company, the existing Guarantor Subsidiaries, the Company and Computershare Trust Company, N.A., as trustee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mtdr10qex311.htm">
              <w:r>
                <w:rPr>
                  <w:rStyle w:val="InternetLink"/>
                  <w:rFonts w:ascii="Times New Roman;sans-serif" w:hAnsi="Times New Roman;sans-serif"/>
                  <w:b w:val="false"/>
                  <w:color w:val="0000FF"/>
                  <w:sz w:val="20"/>
                  <w:u w:val="single"/>
                </w:rPr>
                <w:t>Certification of Principal Executive Officer pursuant to Section 302 of the Sarbanes-Oxley Act of 2002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mtdr10qex312.htm">
              <w:r>
                <w:rPr>
                  <w:rStyle w:val="InternetLink"/>
                  <w:rFonts w:ascii="Times New Roman;sans-serif" w:hAnsi="Times New Roman;sans-serif"/>
                  <w:b w:val="false"/>
                  <w:color w:val="0000FF"/>
                  <w:sz w:val="20"/>
                  <w:u w:val="single"/>
                </w:rPr>
                <w:t>Certification of Principal Financial Officer pursuant to Section 302 of the Sarbanes-Oxley Act of 2002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mtdr10q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 (furnished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mtdr10q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 (furnished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Matador Resources Company’s Quarterly Report on Form 10-Q for the quarter ended March 31, 2025, formatted in Inline XBRL (Inline eXtensible Business Reporting Language): (i) the Condensed Consolidated Balance Sheets - Unaudited, (ii) the Condensed Consolidated Statements of Income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as Exhibit 101).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814" w:type="dxa"/>
        <w:jc w:val="right"/>
        <w:tblInd w:w="0" w:type="dxa"/>
        <w:tblLayout w:type="fixed"/>
        <w:tblCellMar>
          <w:top w:w="28" w:type="dxa"/>
          <w:left w:w="28" w:type="dxa"/>
          <w:bottom w:w="28" w:type="dxa"/>
          <w:right w:w="28" w:type="dxa"/>
        </w:tblCellMar>
      </w:tblPr>
      <w:tblGrid>
        <w:gridCol w:w="645"/>
        <w:gridCol w:w="568"/>
        <w:gridCol w:w="571"/>
        <w:gridCol w:w="134"/>
        <w:gridCol w:w="134"/>
        <w:gridCol w:w="136"/>
        <w:gridCol w:w="109"/>
        <w:gridCol w:w="109"/>
        <w:gridCol w:w="109"/>
        <w:gridCol w:w="964"/>
        <w:gridCol w:w="964"/>
        <w:gridCol w:w="137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tbl>
      <w:tblPr>
        <w:tblW w:w="6999" w:type="dxa"/>
        <w:jc w:val="right"/>
        <w:tblInd w:w="0" w:type="dxa"/>
        <w:tblLayout w:type="fixed"/>
        <w:tblCellMar>
          <w:top w:w="28" w:type="dxa"/>
          <w:left w:w="28" w:type="dxa"/>
          <w:bottom w:w="28" w:type="dxa"/>
          <w:right w:w="28" w:type="dxa"/>
        </w:tblCellMar>
      </w:tblPr>
      <w:tblGrid>
        <w:gridCol w:w="645"/>
        <w:gridCol w:w="568"/>
        <w:gridCol w:w="571"/>
        <w:gridCol w:w="134"/>
        <w:gridCol w:w="134"/>
        <w:gridCol w:w="136"/>
        <w:gridCol w:w="109"/>
        <w:gridCol w:w="109"/>
        <w:gridCol w:w="109"/>
        <w:gridCol w:w="1308"/>
        <w:gridCol w:w="1308"/>
        <w:gridCol w:w="186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4.1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FIRST SUPPLEMENTAL INDENTURE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(6.250% Senior Notes due 2033)</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FIRST 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March 18, 2025, among MRC Royalties, LLC, a Delaware limited liability company (the “</w:t>
      </w:r>
      <w:r>
        <w:rPr>
          <w:rFonts w:ascii="Times New Roman;sans-serif" w:hAnsi="Times New Roman;sans-serif"/>
          <w:b w:val="false"/>
          <w:i/>
          <w:color w:val="000000"/>
          <w:sz w:val="20"/>
        </w:rPr>
        <w:t>New Guarantor</w:t>
      </w:r>
      <w:r>
        <w:rPr>
          <w:color w:val="000000"/>
        </w:rPr>
        <w:t>”</w:t>
      </w:r>
      <w:r>
        <w:rPr>
          <w:rFonts w:ascii="Times New Roman;sans-serif" w:hAnsi="Times New Roman;sans-serif"/>
          <w:b w:val="false"/>
          <w:color w:val="000000"/>
          <w:sz w:val="20"/>
        </w:rPr>
        <w:t>), a subsidiary of Matador Resources Company, a Texas corporation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the existing Guarantors (as defined in the Indenture referred to herein), the Company and U.S. Bank Trust Company, National Association, as trustee under the Indenture referred to herein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 The New Guarantor and the existing Guarantors are sometimes referred to collectively herein as the “</w:t>
      </w:r>
      <w:r>
        <w:rPr>
          <w:rFonts w:ascii="Times New Roman;sans-serif" w:hAnsi="Times New Roman;sans-serif"/>
          <w:b w:val="false"/>
          <w:i/>
          <w:color w:val="000000"/>
          <w:sz w:val="20"/>
        </w:rPr>
        <w:t>Guarantors</w:t>
      </w:r>
      <w:r>
        <w:rPr>
          <w:rFonts w:ascii="Times New Roman;sans-serif" w:hAnsi="Times New Roman;sans-serif"/>
          <w:b w:val="false"/>
          <w:color w:val="000000"/>
          <w:sz w:val="20"/>
        </w:rPr>
        <w:t>,” or individually as a “</w:t>
      </w:r>
      <w:r>
        <w:rPr>
          <w:rFonts w:ascii="Times New Roman;sans-serif" w:hAnsi="Times New Roman;sans-serif"/>
          <w:b w:val="false"/>
          <w:i/>
          <w:color w:val="000000"/>
          <w:sz w:val="20"/>
        </w:rPr>
        <w:t>Guarantor</w:t>
      </w:r>
      <w:r>
        <w:rPr>
          <w:rFonts w:ascii="Times New Roman;sans-serif" w:hAnsi="Times New Roman;sans-serif"/>
          <w:b w:val="false"/>
          <w:color w:val="000000"/>
          <w:sz w:val="20"/>
        </w:rPr>
        <w:t>.”</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WHEREAS, the Company and the existing Guarantors have heretofore executed and delivered to the Trustee an indenture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September 25, 2024, relating to the 6.250% Senior Notes due 2033 (the “</w:t>
      </w:r>
      <w:r>
        <w:rPr>
          <w:rFonts w:ascii="Times New Roman;sans-serif" w:hAnsi="Times New Roman;sans-serif"/>
          <w:b w:val="false"/>
          <w:i/>
          <w:color w:val="000000"/>
          <w:sz w:val="20"/>
        </w:rPr>
        <w:t>Securities</w:t>
      </w:r>
      <w:r>
        <w:rPr>
          <w:color w:val="000000"/>
        </w:rPr>
        <w:t>”</w:t>
      </w:r>
      <w:r>
        <w:rPr>
          <w:rFonts w:ascii="Times New Roman;sans-serif" w:hAnsi="Times New Roman;sans-serif"/>
          <w:b w:val="false"/>
          <w:color w:val="000000"/>
          <w:sz w:val="20"/>
        </w:rPr>
        <w:t>)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WHEREAS, </w:t>
      </w:r>
      <w:r>
        <w:rPr>
          <w:rFonts w:ascii="Times New Roman;sans-serif" w:hAnsi="Times New Roman;sans-serif"/>
          <w:b w:val="false"/>
          <w:color w:val="000000"/>
          <w:sz w:val="20"/>
          <w:u w:val="single"/>
        </w:rPr>
        <w:t>Section 4.9</w:t>
      </w:r>
      <w:r>
        <w:rPr>
          <w:color w:val="000000"/>
        </w:rPr>
        <w:t xml:space="preserve"> </w:t>
      </w:r>
      <w:r>
        <w:rPr>
          <w:rFonts w:ascii="Times New Roman;sans-serif" w:hAnsi="Times New Roman;sans-serif"/>
          <w:b w:val="false"/>
          <w:color w:val="000000"/>
          <w:sz w:val="20"/>
        </w:rPr>
        <w:t>of the Indenture in certain circumstances requires the Company to cause a newly acquired or created Restricted Subsidiary (i) to become a Guarantor by executing a supplemental indenture and (ii) to deliver an Opinion of Counsel to the Trustee as provided in such Section;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WHEREAS, pursuant to </w:t>
      </w:r>
      <w:r>
        <w:rPr>
          <w:rFonts w:ascii="Times New Roman;sans-serif" w:hAnsi="Times New Roman;sans-serif"/>
          <w:b w:val="false"/>
          <w:color w:val="000000"/>
          <w:sz w:val="20"/>
          <w:u w:val="single"/>
        </w:rPr>
        <w:t>Section 9.1</w:t>
      </w:r>
      <w:r>
        <w:rPr>
          <w:color w:val="000000"/>
        </w:rPr>
        <w:t xml:space="preserve"> </w:t>
      </w:r>
      <w:r>
        <w:rPr>
          <w:rFonts w:ascii="Times New Roman;sans-serif" w:hAnsi="Times New Roman;sans-serif"/>
          <w:b w:val="false"/>
          <w:color w:val="000000"/>
          <w:sz w:val="20"/>
        </w:rPr>
        <w:t>of the Indenture, the Company, the Guarantors and the Trustee are authorized to execute and deliver this Supplemental Indenture to amend or supplement the Indenture without the consent of any Holder;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to comply with the provisions of the Indenture and in consideration of the foregoing and for other good and valuable consideration, the receipt of which is hereby acknowledged, the New Guarantor, the other Guarantors, the Company and the Trustee mutually covenant and agree for the equal and ratable benefit of the Holders of the Securities as follows: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2.     AGREEMENT TO GUARANTEE. The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pursuant to the Subsidiary Guarantees and the Indenture are expressly set forth in </w:t>
      </w:r>
      <w:r>
        <w:rPr>
          <w:rFonts w:ascii="Times New Roman;sans-serif" w:hAnsi="Times New Roman;sans-serif"/>
          <w:b w:val="false"/>
          <w:color w:val="000000"/>
          <w:sz w:val="20"/>
          <w:u w:val="single"/>
        </w:rPr>
        <w:t>Article X</w:t>
      </w:r>
      <w:r>
        <w:rPr>
          <w:color w:val="000000"/>
        </w:rPr>
        <w:t xml:space="preserve"> </w:t>
      </w:r>
      <w:r>
        <w:rPr>
          <w:rFonts w:ascii="Times New Roman;sans-serif" w:hAnsi="Times New Roman;sans-serif"/>
          <w:b w:val="false"/>
          <w:color w:val="000000"/>
          <w:sz w:val="20"/>
        </w:rPr>
        <w:t>of the Indenture and reference is hereby made to the Indenture for the precise terms of the Subsidiary Guarantees.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     EXECUTION AND DELIVERY. The New Guarantor agrees that its Subsidiary Guarantee shall remain in full force and effect notwithstanding any failure to endorse on each Security a notation of such Subsidiary Guarantee.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     NEW YORK LAW TO GOVERN. THE LAWS OF THE STATE OF NEW YORK SHALL GOVERN AND BE USED TO CONSTRUE AND ENFORCE THIS SUPPLEMENTAL INDENTURE.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This Supplemental Indenture (or any documents executed in connection with this Supplemental Indenture) shall be valid, binding and enforceable against a party when executed and delivered by an authorized individual on behalf of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the 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Times New Roman;sans-serif" w:hAnsi="Times New Roman;sans-serif"/>
          <w:b w:val="false"/>
          <w:i/>
          <w:color w:val="000000"/>
          <w:sz w:val="20"/>
        </w:rPr>
        <w:t>Signature Law</w:t>
      </w:r>
      <w:r>
        <w:rPr>
          <w:color w:val="000000"/>
        </w:rPr>
        <w:t>”</w:t>
      </w:r>
      <w:r>
        <w:rPr>
          <w:rFonts w:ascii="Times New Roman;sans-serif" w:hAnsi="Times New Roman;sans-serif"/>
          <w:b w:val="false"/>
          <w:color w:val="000000"/>
          <w:sz w:val="20"/>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6. EFFECT OF HEADINGS. The Section headings herein are for convenience only and shall not affect the construction hereof.</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7. 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color w:val="000000"/>
        </w:rPr>
      </w:pPr>
      <w:r>
        <w:rPr>
          <w:color w:val="000000"/>
        </w:rPr>
        <w:t>    </w:t>
      </w:r>
      <w:r>
        <w:rPr>
          <w:rFonts w:ascii="Times New Roman;sans-serif" w:hAnsi="Times New Roman;sans-serif"/>
          <w:b w:val="false"/>
          <w:i/>
          <w:color w:val="000000"/>
          <w:sz w:val="20"/>
        </w:rPr>
        <w:t>[Remainder of Page Intentionally Left Blank; Signature Pages Follow]</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and attested, all as of the date first above written.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7986" w:type="dxa"/>
        <w:jc w:val="left"/>
        <w:tblInd w:w="0" w:type="dxa"/>
        <w:tblLayout w:type="fixed"/>
        <w:tblCellMar>
          <w:top w:w="28" w:type="dxa"/>
          <w:left w:w="28" w:type="dxa"/>
          <w:bottom w:w="28" w:type="dxa"/>
          <w:right w:w="28" w:type="dxa"/>
        </w:tblCellMar>
      </w:tblPr>
      <w:tblGrid>
        <w:gridCol w:w="124"/>
        <w:gridCol w:w="109"/>
        <w:gridCol w:w="109"/>
        <w:gridCol w:w="528"/>
        <w:gridCol w:w="528"/>
        <w:gridCol w:w="528"/>
        <w:gridCol w:w="1759"/>
        <w:gridCol w:w="1759"/>
        <w:gridCol w:w="2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644"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MATADOR RESOURCES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06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tbl>
      <w:tblPr>
        <w:tblW w:w="7467" w:type="dxa"/>
        <w:jc w:val="left"/>
        <w:tblInd w:w="0" w:type="dxa"/>
        <w:tblLayout w:type="fixed"/>
        <w:tblCellMar>
          <w:top w:w="28" w:type="dxa"/>
          <w:left w:w="28" w:type="dxa"/>
          <w:bottom w:w="28" w:type="dxa"/>
          <w:right w:w="28" w:type="dxa"/>
        </w:tblCellMar>
      </w:tblPr>
      <w:tblGrid>
        <w:gridCol w:w="124"/>
        <w:gridCol w:w="109"/>
        <w:gridCol w:w="109"/>
        <w:gridCol w:w="355"/>
        <w:gridCol w:w="355"/>
        <w:gridCol w:w="355"/>
        <w:gridCol w:w="1771"/>
        <w:gridCol w:w="1771"/>
        <w:gridCol w:w="25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125"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ROYALTIES,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6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06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65"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65"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65"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2580"/>
                <wp:effectExtent l="0" t="0" r="0" b="0"/>
                <wp:wrapNone/>
                <wp:docPr id="42" name="Frame4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r>
                              <w:br w:type="page"/>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xbxContent>
                </v:textbox>
                <w10:wrap type="none"/>
              </v:rect>
            </w:pict>
          </mc:Fallback>
        </mc:AlternateContent>
      </w:r>
    </w:p>
    <w:tbl>
      <w:tblPr>
        <w:tblW w:w="8964" w:type="dxa"/>
        <w:jc w:val="left"/>
        <w:tblInd w:w="0" w:type="dxa"/>
        <w:tblLayout w:type="fixed"/>
        <w:tblCellMar>
          <w:top w:w="28" w:type="dxa"/>
          <w:left w:w="28" w:type="dxa"/>
          <w:bottom w:w="28" w:type="dxa"/>
          <w:right w:w="28" w:type="dxa"/>
        </w:tblCellMar>
      </w:tblPr>
      <w:tblGrid>
        <w:gridCol w:w="124"/>
        <w:gridCol w:w="109"/>
        <w:gridCol w:w="109"/>
        <w:gridCol w:w="854"/>
        <w:gridCol w:w="854"/>
        <w:gridCol w:w="854"/>
        <w:gridCol w:w="1770"/>
        <w:gridCol w:w="1770"/>
        <w:gridCol w:w="25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DELAWARE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GATHERING AND DISPOSAL SYSTEMS,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 TEXAS,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SOUTHEAST,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DELAWARE,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MATADOR PRODUCTION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ENERGY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DELAWARE RESOURCES,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SOUTHEAST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 TEXAS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PERMIAN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PERMIAN LKE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ROCKIES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SOUTHEAST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WR PERMIAN,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HAT MESA,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TORO,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562" w:type="dxa"/>
            <w:gridSpan w:val="3"/>
            <w:tcBorders/>
            <w:tcMar>
              <w:top w:w="0" w:type="dxa"/>
              <w:left w:w="0" w:type="dxa"/>
              <w:bottom w:w="0" w:type="dxa"/>
              <w:right w:w="0" w:type="dxa"/>
            </w:tcMar>
            <w:vAlign w:val="center"/>
          </w:tcPr>
          <w:p>
            <w:pPr>
              <w:pStyle w:val="TableContents"/>
              <w:bidi w:val="0"/>
              <w:spacing w:before="53" w:after="30"/>
              <w:jc w:val="both"/>
              <w:rPr/>
            </w:pPr>
            <w:r>
              <w:rPr/>
            </w:r>
          </w:p>
        </w:tc>
        <w:tc>
          <w:tcPr>
            <w:tcW w:w="6060" w:type="dxa"/>
            <w:gridSpan w:val="3"/>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562"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562"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562"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2580"/>
                <wp:effectExtent l="0" t="0" r="0" b="0"/>
                <wp:wrapNone/>
                <wp:docPr id="43" name="Frame4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r>
                              <w:br w:type="page"/>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xbxContent>
                </v:textbox>
                <w10:wrap type="none"/>
              </v:rect>
            </w:pict>
          </mc:Fallback>
        </mc:AlternateContent>
      </w:r>
    </w:p>
    <w:tbl>
      <w:tblPr>
        <w:tblW w:w="6582" w:type="dxa"/>
        <w:jc w:val="left"/>
        <w:tblInd w:w="0" w:type="dxa"/>
        <w:tblLayout w:type="fixed"/>
        <w:tblCellMar>
          <w:top w:w="28" w:type="dxa"/>
          <w:left w:w="28" w:type="dxa"/>
          <w:bottom w:w="28" w:type="dxa"/>
          <w:right w:w="28" w:type="dxa"/>
        </w:tblCellMar>
      </w:tblPr>
      <w:tblGrid>
        <w:gridCol w:w="124"/>
        <w:gridCol w:w="109"/>
        <w:gridCol w:w="109"/>
        <w:gridCol w:w="970"/>
        <w:gridCol w:w="970"/>
        <w:gridCol w:w="970"/>
        <w:gridCol w:w="970"/>
        <w:gridCol w:w="970"/>
        <w:gridCol w:w="13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240" w:type="dxa"/>
            <w:gridSpan w:val="6"/>
            <w:tcBorders/>
            <w:tcMar>
              <w:top w:w="0" w:type="dxa"/>
              <w:left w:w="0" w:type="dxa"/>
              <w:bottom w:w="0" w:type="dxa"/>
              <w:right w:w="0" w:type="dxa"/>
            </w:tcMar>
            <w:vAlign w:val="center"/>
          </w:tcPr>
          <w:p>
            <w:pPr>
              <w:pStyle w:val="TableContents"/>
              <w:bidi w:val="0"/>
              <w:spacing w:lineRule="auto" w:line="300" w:before="53" w:after="30"/>
              <w:jc w:val="both"/>
              <w:rPr/>
            </w:pPr>
            <w:r>
              <w:rPr>
                <w:rFonts w:ascii="Times New Roman;sans-serif" w:hAnsi="Times New Roman;sans-serif"/>
                <w:b/>
                <w:color w:val="000000"/>
                <w:sz w:val="20"/>
              </w:rPr>
              <w:t xml:space="preserve">U.S. BANK TRUST COMPANY, NATIONAL ASSOCIATION, </w:t>
            </w:r>
            <w:r>
              <w:rPr>
                <w:rFonts w:ascii="Times New Roman;sans-serif" w:hAnsi="Times New Roman;sans-serif"/>
                <w:b/>
                <w:i/>
                <w:color w:val="000000"/>
                <w:sz w:val="20"/>
              </w:rPr>
              <w:t>as Trustee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before="53" w:after="30"/>
              <w:jc w:val="both"/>
              <w:rPr/>
            </w:pPr>
            <w:r>
              <w:rPr/>
            </w:r>
          </w:p>
        </w:tc>
        <w:tc>
          <w:tcPr>
            <w:tcW w:w="3330" w:type="dxa"/>
            <w:gridSpan w:val="3"/>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Michael K. Herberger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3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Michael K. Herberger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33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4.2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2580"/>
                <wp:effectExtent l="0" t="0" r="0" b="0"/>
                <wp:wrapNone/>
                <wp:docPr id="44" name="Frame4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SECOND SUPPLEMENTAL INDENTURE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(6.500% Senior Notes due 2032)</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SECOND 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March 18, 2025, among MRC Royalties, LLC, a Delaware limited liability company (the “</w:t>
      </w:r>
      <w:r>
        <w:rPr>
          <w:rFonts w:ascii="Times New Roman;sans-serif" w:hAnsi="Times New Roman;sans-serif"/>
          <w:b w:val="false"/>
          <w:i/>
          <w:color w:val="000000"/>
          <w:sz w:val="20"/>
        </w:rPr>
        <w:t>New Guarantor</w:t>
      </w:r>
      <w:r>
        <w:rPr>
          <w:color w:val="000000"/>
        </w:rPr>
        <w:t>”</w:t>
      </w:r>
      <w:r>
        <w:rPr>
          <w:rFonts w:ascii="Times New Roman;sans-serif" w:hAnsi="Times New Roman;sans-serif"/>
          <w:b w:val="false"/>
          <w:color w:val="000000"/>
          <w:sz w:val="20"/>
        </w:rPr>
        <w:t>), a subsidiary of Matador Resources Company, a Texas corporation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the existing Guarantors (as defined in the Indenture referred to herein), the Company and U.S. Bank Trust Company, National Association, as trustee under the Indenture referred to herein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 The New Guarantor and the existing Guarantors are sometimes referred to collectively herein as the “</w:t>
      </w:r>
      <w:r>
        <w:rPr>
          <w:rFonts w:ascii="Times New Roman;sans-serif" w:hAnsi="Times New Roman;sans-serif"/>
          <w:b w:val="false"/>
          <w:i/>
          <w:color w:val="000000"/>
          <w:sz w:val="20"/>
        </w:rPr>
        <w:t>Guarantors</w:t>
      </w:r>
      <w:r>
        <w:rPr>
          <w:rFonts w:ascii="Times New Roman;sans-serif" w:hAnsi="Times New Roman;sans-serif"/>
          <w:b w:val="false"/>
          <w:color w:val="000000"/>
          <w:sz w:val="20"/>
        </w:rPr>
        <w:t>,” or individually as a “</w:t>
      </w:r>
      <w:r>
        <w:rPr>
          <w:rFonts w:ascii="Times New Roman;sans-serif" w:hAnsi="Times New Roman;sans-serif"/>
          <w:b w:val="false"/>
          <w:i/>
          <w:color w:val="000000"/>
          <w:sz w:val="20"/>
        </w:rPr>
        <w:t>Guarantor</w:t>
      </w:r>
      <w:r>
        <w:rPr>
          <w:rFonts w:ascii="Times New Roman;sans-serif" w:hAnsi="Times New Roman;sans-serif"/>
          <w:b w:val="false"/>
          <w:color w:val="000000"/>
          <w:sz w:val="20"/>
        </w:rPr>
        <w:t>.”</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WHEREAS, the Company and the existing Guarantors have heretofore executed and delivered to the Trustee an indenture (as supplemented by the First Supplemental Indenture dated as of September 20, 2024,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April 2, 2024, relating to the 6.500% Senior Notes due 2032 (the “</w:t>
      </w:r>
      <w:r>
        <w:rPr>
          <w:rFonts w:ascii="Times New Roman;sans-serif" w:hAnsi="Times New Roman;sans-serif"/>
          <w:b w:val="false"/>
          <w:i/>
          <w:color w:val="000000"/>
          <w:sz w:val="20"/>
        </w:rPr>
        <w:t>Securities</w:t>
      </w:r>
      <w:r>
        <w:rPr>
          <w:color w:val="000000"/>
        </w:rPr>
        <w:t>”</w:t>
      </w:r>
      <w:r>
        <w:rPr>
          <w:rFonts w:ascii="Times New Roman;sans-serif" w:hAnsi="Times New Roman;sans-serif"/>
          <w:b w:val="false"/>
          <w:color w:val="000000"/>
          <w:sz w:val="20"/>
        </w:rPr>
        <w:t>)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WHEREAS, </w:t>
      </w:r>
      <w:r>
        <w:rPr>
          <w:rFonts w:ascii="Times New Roman;sans-serif" w:hAnsi="Times New Roman;sans-serif"/>
          <w:b w:val="false"/>
          <w:color w:val="000000"/>
          <w:sz w:val="20"/>
          <w:u w:val="single"/>
        </w:rPr>
        <w:t>Section 4.9</w:t>
      </w:r>
      <w:r>
        <w:rPr>
          <w:color w:val="000000"/>
        </w:rPr>
        <w:t xml:space="preserve"> </w:t>
      </w:r>
      <w:r>
        <w:rPr>
          <w:rFonts w:ascii="Times New Roman;sans-serif" w:hAnsi="Times New Roman;sans-serif"/>
          <w:b w:val="false"/>
          <w:color w:val="000000"/>
          <w:sz w:val="20"/>
        </w:rPr>
        <w:t>of the Indenture in certain circumstances requires the Company to cause a newly acquired or created Restricted Subsidiary (i) to become a Guarantor by executing a supplemental indenture and (ii) to deliver an Opinion of Counsel to the Trustee as provided in such Section;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WHEREAS, pursuant to </w:t>
      </w:r>
      <w:r>
        <w:rPr>
          <w:rFonts w:ascii="Times New Roman;sans-serif" w:hAnsi="Times New Roman;sans-serif"/>
          <w:b w:val="false"/>
          <w:color w:val="000000"/>
          <w:sz w:val="20"/>
          <w:u w:val="single"/>
        </w:rPr>
        <w:t>Section 9.1</w:t>
      </w:r>
      <w:r>
        <w:rPr>
          <w:color w:val="000000"/>
        </w:rPr>
        <w:t xml:space="preserve"> </w:t>
      </w:r>
      <w:r>
        <w:rPr>
          <w:rFonts w:ascii="Times New Roman;sans-serif" w:hAnsi="Times New Roman;sans-serif"/>
          <w:b w:val="false"/>
          <w:color w:val="000000"/>
          <w:sz w:val="20"/>
        </w:rPr>
        <w:t>of the Indenture, the Company, the Guarantors and the Trustee are authorized to execute and deliver this Supplemental Indenture to amend or supplement the Indenture without the consent of any Holder;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to comply with the provisions of the Indenture and in consideration of the foregoing and for other good and valuable consideration, the receipt of which is hereby acknowledged, the New Guarantor, the other Guarantors, the Company and the Trustee mutually covenant and agree for the equal and ratable benefit of the Holders of the Securities as follows: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2.     AGREEMENT TO GUARANTEE. The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pursuant to the Subsidiary Guarantees and the Indenture are expressly set forth in </w:t>
      </w:r>
      <w:r>
        <w:rPr>
          <w:rFonts w:ascii="Times New Roman;sans-serif" w:hAnsi="Times New Roman;sans-serif"/>
          <w:b w:val="false"/>
          <w:color w:val="000000"/>
          <w:sz w:val="20"/>
          <w:u w:val="single"/>
        </w:rPr>
        <w:t>Article X</w:t>
      </w:r>
      <w:r>
        <w:rPr>
          <w:color w:val="000000"/>
        </w:rPr>
        <w:t xml:space="preserve"> </w:t>
      </w:r>
      <w:r>
        <w:rPr>
          <w:rFonts w:ascii="Times New Roman;sans-serif" w:hAnsi="Times New Roman;sans-serif"/>
          <w:b w:val="false"/>
          <w:color w:val="000000"/>
          <w:sz w:val="20"/>
        </w:rPr>
        <w:t>of the Indenture and reference is hereby made to the Indenture for the precise terms of the Subsidiary Guarantees.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     EXECUTION AND DELIVERY. The New Guarantor agrees that its Subsidiary Guarantee shall remain in full force and effect notwithstanding any failure to endorse on each Security a notation of such Subsidiary Guarantee.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     NEW YORK LAW TO GOVERN. THE LAWS OF THE STATE OF NEW YORK SHALL GOVERN AND BE USED TO CONSTRUE AND ENFORCE THIS SUPPLEMENTAL INDENTURE.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This Supplemental Indenture (or any documents executed in connection with this Supplemental Indenture) shall be </w:t>
      </w:r>
    </w:p>
    <w:p>
      <w:pPr>
        <w:pStyle w:val="TextBody"/>
        <w:bidi w:val="0"/>
        <w:spacing w:before="0" w:after="1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Times New Roman;sans-serif" w:hAnsi="Times New Roman;sans-serif"/>
          <w:b w:val="false"/>
          <w:i/>
          <w:color w:val="000000"/>
          <w:sz w:val="20"/>
        </w:rPr>
        <w:t>Signature Law</w:t>
      </w:r>
      <w:r>
        <w:rPr>
          <w:color w:val="000000"/>
        </w:rPr>
        <w:t>”</w:t>
      </w:r>
      <w:r>
        <w:rPr>
          <w:rFonts w:ascii="Times New Roman;sans-serif" w:hAnsi="Times New Roman;sans-serif"/>
          <w:b w:val="false"/>
          <w:color w:val="000000"/>
          <w:sz w:val="20"/>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6. EFFECT OF HEADINGS. The Section headings herein are for convenience only and shall not affect the construction hereof.</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7. 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color w:val="000000"/>
        </w:rPr>
      </w:pPr>
      <w:r>
        <w:rPr>
          <w:color w:val="000000"/>
        </w:rPr>
        <w:t>    </w:t>
      </w:r>
      <w:r>
        <w:rPr>
          <w:rFonts w:ascii="Times New Roman;sans-serif" w:hAnsi="Times New Roman;sans-serif"/>
          <w:b w:val="false"/>
          <w:i/>
          <w:color w:val="000000"/>
          <w:sz w:val="20"/>
        </w:rPr>
        <w:t>[Remainder of Page Intentionally Left Blank; Signature Pages Follow]</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and attested, all as of the date first above written.</w:t>
      </w:r>
    </w:p>
    <w:tbl>
      <w:tblPr>
        <w:tblW w:w="7986" w:type="dxa"/>
        <w:jc w:val="left"/>
        <w:tblInd w:w="0" w:type="dxa"/>
        <w:tblLayout w:type="fixed"/>
        <w:tblCellMar>
          <w:top w:w="28" w:type="dxa"/>
          <w:left w:w="28" w:type="dxa"/>
          <w:bottom w:w="28" w:type="dxa"/>
          <w:right w:w="28" w:type="dxa"/>
        </w:tblCellMar>
      </w:tblPr>
      <w:tblGrid>
        <w:gridCol w:w="124"/>
        <w:gridCol w:w="109"/>
        <w:gridCol w:w="109"/>
        <w:gridCol w:w="528"/>
        <w:gridCol w:w="528"/>
        <w:gridCol w:w="528"/>
        <w:gridCol w:w="1759"/>
        <w:gridCol w:w="1759"/>
        <w:gridCol w:w="2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644"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MATADOR RESOURCES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06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84"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tbl>
      <w:tblPr>
        <w:tblW w:w="7467" w:type="dxa"/>
        <w:jc w:val="left"/>
        <w:tblInd w:w="0" w:type="dxa"/>
        <w:tblLayout w:type="fixed"/>
        <w:tblCellMar>
          <w:top w:w="28" w:type="dxa"/>
          <w:left w:w="28" w:type="dxa"/>
          <w:bottom w:w="28" w:type="dxa"/>
          <w:right w:w="28" w:type="dxa"/>
        </w:tblCellMar>
      </w:tblPr>
      <w:tblGrid>
        <w:gridCol w:w="124"/>
        <w:gridCol w:w="109"/>
        <w:gridCol w:w="109"/>
        <w:gridCol w:w="355"/>
        <w:gridCol w:w="355"/>
        <w:gridCol w:w="355"/>
        <w:gridCol w:w="1771"/>
        <w:gridCol w:w="1771"/>
        <w:gridCol w:w="25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125"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ROYALTIES,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6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06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65"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65"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65"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2580"/>
                <wp:effectExtent l="0" t="0" r="0" b="0"/>
                <wp:wrapNone/>
                <wp:docPr id="47" name="Frame4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r>
                              <w:br w:type="page"/>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v:textbox>
                <w10:wrap type="none"/>
              </v:rect>
            </w:pict>
          </mc:Fallback>
        </mc:AlternateContent>
      </w:r>
    </w:p>
    <w:tbl>
      <w:tblPr>
        <w:tblW w:w="8964" w:type="dxa"/>
        <w:jc w:val="left"/>
        <w:tblInd w:w="0" w:type="dxa"/>
        <w:tblLayout w:type="fixed"/>
        <w:tblCellMar>
          <w:top w:w="28" w:type="dxa"/>
          <w:left w:w="28" w:type="dxa"/>
          <w:bottom w:w="28" w:type="dxa"/>
          <w:right w:w="28" w:type="dxa"/>
        </w:tblCellMar>
      </w:tblPr>
      <w:tblGrid>
        <w:gridCol w:w="124"/>
        <w:gridCol w:w="109"/>
        <w:gridCol w:w="109"/>
        <w:gridCol w:w="854"/>
        <w:gridCol w:w="854"/>
        <w:gridCol w:w="854"/>
        <w:gridCol w:w="1770"/>
        <w:gridCol w:w="1770"/>
        <w:gridCol w:w="25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DELAWARE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GATHERING AND DISPOSAL SYSTEMS,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 TEXAS,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SOUTHEAST,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DELAWARE,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MATADOR PRODUCTION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ENERGY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DELAWARE RESOURCES,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SOUTHEAST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 TEXAS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PERMIAN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PERMIAN LKE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ROCKIES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SOUTHEAST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WR PERMIAN,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HAT MESA,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622" w:type="dxa"/>
            <w:gridSpan w:val="6"/>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color w:val="000000"/>
                <w:sz w:val="20"/>
              </w:rPr>
            </w:pPr>
            <w:r>
              <w:rPr>
                <w:rFonts w:ascii="Times New Roman;sans-serif" w:hAnsi="Times New Roman;sans-serif"/>
                <w:b/>
                <w:color w:val="000000"/>
                <w:sz w:val="20"/>
              </w:rPr>
              <w:t>MRC TORO, LLC</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562" w:type="dxa"/>
            <w:gridSpan w:val="3"/>
            <w:tcBorders/>
            <w:tcMar>
              <w:top w:w="0" w:type="dxa"/>
              <w:left w:w="0" w:type="dxa"/>
              <w:bottom w:w="0" w:type="dxa"/>
              <w:right w:w="0" w:type="dxa"/>
            </w:tcMar>
            <w:vAlign w:val="center"/>
          </w:tcPr>
          <w:p>
            <w:pPr>
              <w:pStyle w:val="TableContents"/>
              <w:bidi w:val="0"/>
              <w:spacing w:before="53" w:after="30"/>
              <w:jc w:val="both"/>
              <w:rPr/>
            </w:pPr>
            <w:r>
              <w:rPr/>
            </w:r>
          </w:p>
        </w:tc>
        <w:tc>
          <w:tcPr>
            <w:tcW w:w="6060" w:type="dxa"/>
            <w:gridSpan w:val="3"/>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562"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562"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562"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2580"/>
                <wp:effectExtent l="0" t="0" r="0" b="0"/>
                <wp:wrapNone/>
                <wp:docPr id="48" name="Frame4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r>
                              <w:br w:type="page"/>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v:textbox>
                <w10:wrap type="none"/>
              </v:rect>
            </w:pict>
          </mc:Fallback>
        </mc:AlternateContent>
      </w:r>
    </w:p>
    <w:tbl>
      <w:tblPr>
        <w:tblW w:w="6582" w:type="dxa"/>
        <w:jc w:val="left"/>
        <w:tblInd w:w="0" w:type="dxa"/>
        <w:tblLayout w:type="fixed"/>
        <w:tblCellMar>
          <w:top w:w="28" w:type="dxa"/>
          <w:left w:w="28" w:type="dxa"/>
          <w:bottom w:w="28" w:type="dxa"/>
          <w:right w:w="28" w:type="dxa"/>
        </w:tblCellMar>
      </w:tblPr>
      <w:tblGrid>
        <w:gridCol w:w="124"/>
        <w:gridCol w:w="109"/>
        <w:gridCol w:w="109"/>
        <w:gridCol w:w="970"/>
        <w:gridCol w:w="970"/>
        <w:gridCol w:w="970"/>
        <w:gridCol w:w="970"/>
        <w:gridCol w:w="970"/>
        <w:gridCol w:w="13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240" w:type="dxa"/>
            <w:gridSpan w:val="6"/>
            <w:tcBorders/>
            <w:tcMar>
              <w:top w:w="0" w:type="dxa"/>
              <w:left w:w="0" w:type="dxa"/>
              <w:bottom w:w="0" w:type="dxa"/>
              <w:right w:w="0" w:type="dxa"/>
            </w:tcMar>
            <w:vAlign w:val="center"/>
          </w:tcPr>
          <w:p>
            <w:pPr>
              <w:pStyle w:val="TableContents"/>
              <w:bidi w:val="0"/>
              <w:spacing w:lineRule="auto" w:line="300" w:before="53" w:after="30"/>
              <w:jc w:val="both"/>
              <w:rPr/>
            </w:pPr>
            <w:r>
              <w:rPr>
                <w:rFonts w:ascii="Times New Roman;sans-serif" w:hAnsi="Times New Roman;sans-serif"/>
                <w:b/>
                <w:color w:val="000000"/>
                <w:sz w:val="20"/>
              </w:rPr>
              <w:t xml:space="preserve">U.S. BANK TRUST COMPANY, NATIONAL ASSOCIATION, </w:t>
            </w:r>
            <w:r>
              <w:rPr>
                <w:rFonts w:ascii="Times New Roman;sans-serif" w:hAnsi="Times New Roman;sans-serif"/>
                <w:b/>
                <w:i/>
                <w:color w:val="000000"/>
                <w:sz w:val="20"/>
              </w:rPr>
              <w:t>as Trustee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before="53" w:after="30"/>
              <w:jc w:val="both"/>
              <w:rPr/>
            </w:pPr>
            <w:r>
              <w:rPr/>
            </w:r>
          </w:p>
        </w:tc>
        <w:tc>
          <w:tcPr>
            <w:tcW w:w="3330" w:type="dxa"/>
            <w:gridSpan w:val="3"/>
            <w:tcBorders/>
            <w:tcMar>
              <w:top w:w="0" w:type="dxa"/>
              <w:left w:w="0" w:type="dxa"/>
              <w:bottom w:w="0" w:type="dxa"/>
              <w:right w:w="0" w:type="dxa"/>
            </w:tcMar>
            <w:vAlign w:val="center"/>
          </w:tcPr>
          <w:p>
            <w:pPr>
              <w:pStyle w:val="TableContents"/>
              <w:bidi w:val="0"/>
              <w:spacing w:before="53" w:after="3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i/>
                <w:color w:val="000000"/>
                <w:sz w:val="20"/>
              </w:rPr>
            </w:pPr>
            <w:r>
              <w:rPr>
                <w:rFonts w:ascii="Times New Roman;sans-serif" w:hAnsi="Times New Roman;sans-serif"/>
                <w:b w:val="false"/>
                <w:i/>
                <w:color w:val="000000"/>
                <w:sz w:val="20"/>
              </w:rPr>
              <w:t>/s/ Michael K. Herberger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3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43" w:after="30"/>
              <w:jc w:val="both"/>
              <w:rPr>
                <w:rFonts w:ascii="Times New Roman;sans-serif" w:hAnsi="Times New Roman;sans-serif"/>
                <w:b w:val="false"/>
                <w:color w:val="000000"/>
                <w:sz w:val="20"/>
              </w:rPr>
            </w:pPr>
            <w:r>
              <w:rPr>
                <w:rFonts w:ascii="Times New Roman;sans-serif" w:hAnsi="Times New Roman;sans-serif"/>
                <w:b w:val="false"/>
                <w:color w:val="000000"/>
                <w:sz w:val="20"/>
              </w:rPr>
              <w:t>Michael K. Herberger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91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330" w:type="dxa"/>
            <w:gridSpan w:val="3"/>
            <w:tcBorders/>
            <w:tcMar>
              <w:top w:w="0" w:type="dxa"/>
              <w:left w:w="0" w:type="dxa"/>
              <w:bottom w:w="0" w:type="dxa"/>
              <w:right w:w="0" w:type="dxa"/>
            </w:tcMar>
            <w:vAlign w:val="center"/>
          </w:tcPr>
          <w:p>
            <w:pPr>
              <w:pStyle w:val="TableContents"/>
              <w:bidi w:val="0"/>
              <w:spacing w:lineRule="auto" w:line="30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bl>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4.3</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2580"/>
                <wp:effectExtent l="0" t="0" r="0" b="0"/>
                <wp:wrapNone/>
                <wp:docPr id="49" name="Frame4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THIRD SUPPLEMENTAL INDENTURE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(6.875% Senior Notes due 2028)</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THIRD 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March 18, 2025, among MRC Royalties, LLC, a Delaware limited liability company (the “</w:t>
      </w:r>
      <w:r>
        <w:rPr>
          <w:rFonts w:ascii="Times New Roman;sans-serif" w:hAnsi="Times New Roman;sans-serif"/>
          <w:b w:val="false"/>
          <w:i/>
          <w:color w:val="000000"/>
          <w:sz w:val="20"/>
        </w:rPr>
        <w:t>New Guarantor</w:t>
      </w:r>
      <w:r>
        <w:rPr>
          <w:color w:val="000000"/>
        </w:rPr>
        <w:t>”</w:t>
      </w:r>
      <w:r>
        <w:rPr>
          <w:rFonts w:ascii="Times New Roman;sans-serif" w:hAnsi="Times New Roman;sans-serif"/>
          <w:b w:val="false"/>
          <w:color w:val="000000"/>
          <w:sz w:val="20"/>
        </w:rPr>
        <w:t>), a subsidiary of Matador Resources Company, a Texas corporation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the existing Guarantors (as defined in the Indenture referred to herein), the Company and Computershare Trust Company, N.A., as trustee under the Indenture referred to herein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 The New Guarantor and the existing Guarantors are sometimes referred to collectively herein as the “</w:t>
      </w:r>
      <w:r>
        <w:rPr>
          <w:rFonts w:ascii="Times New Roman;sans-serif" w:hAnsi="Times New Roman;sans-serif"/>
          <w:b w:val="false"/>
          <w:i/>
          <w:color w:val="000000"/>
          <w:sz w:val="20"/>
        </w:rPr>
        <w:t>Guarantors</w:t>
      </w:r>
      <w:r>
        <w:rPr>
          <w:rFonts w:ascii="Times New Roman;sans-serif" w:hAnsi="Times New Roman;sans-serif"/>
          <w:b w:val="false"/>
          <w:color w:val="000000"/>
          <w:sz w:val="20"/>
        </w:rPr>
        <w:t>,” or individually as a “</w:t>
      </w:r>
      <w:r>
        <w:rPr>
          <w:rFonts w:ascii="Times New Roman;sans-serif" w:hAnsi="Times New Roman;sans-serif"/>
          <w:b w:val="false"/>
          <w:i/>
          <w:color w:val="000000"/>
          <w:sz w:val="20"/>
        </w:rPr>
        <w:t>Guarantor</w:t>
      </w:r>
      <w:r>
        <w:rPr>
          <w:rFonts w:ascii="Times New Roman;sans-serif" w:hAnsi="Times New Roman;sans-serif"/>
          <w:b w:val="false"/>
          <w:color w:val="000000"/>
          <w:sz w:val="20"/>
        </w:rPr>
        <w:t xml:space="preserve">.” </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WHEREAS, the Company and the existing Guarantors have heretofore executed and delivered to the Trustee an indenture (as supplemented by the First Supplemental Indenture dated as of July 25, 2023 and the Second Supplemental Indenture dated as of September 20, 2024,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April 11, 2023, relating to the 6.875% Senior Notes due 2028 (the “</w:t>
      </w:r>
      <w:r>
        <w:rPr>
          <w:rFonts w:ascii="Times New Roman;sans-serif" w:hAnsi="Times New Roman;sans-serif"/>
          <w:b w:val="false"/>
          <w:i/>
          <w:color w:val="000000"/>
          <w:sz w:val="20"/>
        </w:rPr>
        <w:t>Securities</w:t>
      </w:r>
      <w:r>
        <w:rPr>
          <w:color w:val="000000"/>
        </w:rPr>
        <w:t>”</w:t>
      </w:r>
      <w:r>
        <w:rPr>
          <w:rFonts w:ascii="Times New Roman;sans-serif" w:hAnsi="Times New Roman;sans-serif"/>
          <w:b w:val="false"/>
          <w:color w:val="000000"/>
          <w:sz w:val="20"/>
        </w:rPr>
        <w:t xml:space="preserve">) of the Company;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WHEREAS, </w:t>
      </w:r>
      <w:r>
        <w:rPr>
          <w:rFonts w:ascii="Times New Roman;sans-serif" w:hAnsi="Times New Roman;sans-serif"/>
          <w:b w:val="false"/>
          <w:color w:val="000000"/>
          <w:sz w:val="20"/>
          <w:u w:val="single"/>
        </w:rPr>
        <w:t>Section 4.9</w:t>
      </w:r>
      <w:r>
        <w:rPr>
          <w:color w:val="000000"/>
        </w:rPr>
        <w:t xml:space="preserve"> </w:t>
      </w:r>
      <w:r>
        <w:rPr>
          <w:rFonts w:ascii="Times New Roman;sans-serif" w:hAnsi="Times New Roman;sans-serif"/>
          <w:b w:val="false"/>
          <w:color w:val="000000"/>
          <w:sz w:val="20"/>
        </w:rPr>
        <w:t xml:space="preserve">of the Indenture in certain circumstances requires the Company to cause a newly acquired or created Restricted Subsidiary (i) to become a Guarantor by executing a supplemental indenture and (ii) to deliver an Opinion of Counsel to the Trustee as provided in such Section; and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WHEREAS, pursuant to </w:t>
      </w:r>
      <w:r>
        <w:rPr>
          <w:rFonts w:ascii="Times New Roman;sans-serif" w:hAnsi="Times New Roman;sans-serif"/>
          <w:b w:val="false"/>
          <w:color w:val="000000"/>
          <w:sz w:val="20"/>
          <w:u w:val="single"/>
        </w:rPr>
        <w:t>Section 9.1</w:t>
      </w:r>
      <w:r>
        <w:rPr>
          <w:color w:val="000000"/>
        </w:rPr>
        <w:t xml:space="preserve"> </w:t>
      </w:r>
      <w:r>
        <w:rPr>
          <w:rFonts w:ascii="Times New Roman;sans-serif" w:hAnsi="Times New Roman;sans-serif"/>
          <w:b w:val="false"/>
          <w:color w:val="000000"/>
          <w:sz w:val="20"/>
        </w:rPr>
        <w:t xml:space="preserve">of the Indenture, the Company, the Guarantors and the Trustee are authorized to execute and deliver this Supplemental Indenture to amend or supplement the Indenture without the consent of any Holder;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NOW THEREFORE, to comply with the provisions of the Indenture and in consideration of the foregoing and for other good and valuable consideration, the receipt of which is hereby acknowledged, the New Guarantor, the other Guarantors, the Company and the Trustee mutually covenant and agree for the equal and ratable benefit of the Holders of the Securities as follows: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1.     CAPITALIZED TERMS. Capitalized terms used herein without definition shall have the meanings assigned to them in the Indenture. </w:t>
      </w:r>
    </w:p>
    <w:p>
      <w:pPr>
        <w:pStyle w:val="TextBody"/>
        <w:bidi w:val="0"/>
        <w:spacing w:lineRule="auto" w:line="288" w:before="240" w:after="283"/>
        <w:jc w:val="both"/>
        <w:rPr/>
      </w:pPr>
      <w:r>
        <w:rPr>
          <w:color w:val="000000"/>
        </w:rPr>
        <w:t>    </w:t>
      </w:r>
      <w:r>
        <w:rPr>
          <w:rFonts w:ascii="Times New Roman;sans-serif" w:hAnsi="Times New Roman;sans-serif"/>
          <w:b w:val="false"/>
          <w:color w:val="000000"/>
          <w:sz w:val="20"/>
        </w:rPr>
        <w:t xml:space="preserve">2.     AGREEMENT TO GUARANTEE. The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pursuant to the Subsidiary Guarantees and the Indenture are expressly set forth in </w:t>
      </w:r>
      <w:r>
        <w:rPr>
          <w:rFonts w:ascii="Times New Roman;sans-serif" w:hAnsi="Times New Roman;sans-serif"/>
          <w:b w:val="false"/>
          <w:color w:val="000000"/>
          <w:sz w:val="20"/>
          <w:u w:val="single"/>
        </w:rPr>
        <w:t>Article X</w:t>
      </w:r>
      <w:r>
        <w:rPr>
          <w:color w:val="000000"/>
        </w:rPr>
        <w:t xml:space="preserve"> </w:t>
      </w:r>
      <w:r>
        <w:rPr>
          <w:rFonts w:ascii="Times New Roman;sans-serif" w:hAnsi="Times New Roman;sans-serif"/>
          <w:b w:val="false"/>
          <w:color w:val="000000"/>
          <w:sz w:val="20"/>
        </w:rPr>
        <w:t xml:space="preserve">of the Indenture and reference is hereby made to the Indenture for the precise terms of the Subsidiary Guarantees.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3.     EXECUTION AND DELIVERY. The New Guarantor agrees that its Subsidiary Guarantee shall remain in full force and effect notwithstanding any failure to endorse on each Security a notation of such Subsidiary Guarantee.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4.     NEW YORK LAW TO GOVERN. THE LAWS OF THE STATE OF NEW YORK SHALL GOVERN AND BE USED TO CONSTRUE AND ENFORCE THIS SUPPLEMENTAL INDENTURE. </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0"/>
        </w:rPr>
        <w:t xml:space="preserve">5.     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This Supplemental Indenture (or any documents executed in connection with this Supplemental Indenture)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Times New Roman;sans-serif" w:hAnsi="Times New Roman;sans-serif"/>
          <w:b w:val="false"/>
          <w:i/>
          <w:color w:val="000000"/>
          <w:sz w:val="20"/>
        </w:rPr>
        <w:t>Signature Law</w:t>
      </w:r>
      <w:r>
        <w:rPr>
          <w:color w:val="000000"/>
        </w:rPr>
        <w:t>”</w:t>
      </w:r>
      <w:r>
        <w:rPr>
          <w:rFonts w:ascii="Times New Roman;sans-serif" w:hAnsi="Times New Roman;sans-serif"/>
          <w:b w:val="false"/>
          <w:color w:val="000000"/>
          <w:sz w:val="20"/>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6.     EFFECT OF HEADINGS. The Section headings herein are for convenience only and shall not affect the construction hereof.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7.     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bidi w:val="0"/>
        <w:spacing w:before="240" w:after="283"/>
        <w:jc w:val="left"/>
        <w:rPr/>
      </w:pPr>
      <w:r>
        <w:rPr/>
      </w:r>
    </w:p>
    <w:p>
      <w:pPr>
        <w:pStyle w:val="TextBody"/>
        <w:bidi w:val="0"/>
        <w:spacing w:lineRule="auto" w:line="288" w:before="240" w:after="283"/>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Remainder of Page Intentionally Left Blank; Signature Pages Follow</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the parties hereto have caused this Supplemental Indenture to be duly executed and attested, all as of the date first above written. </w:t>
      </w:r>
    </w:p>
    <w:tbl>
      <w:tblPr>
        <w:tblW w:w="7986" w:type="dxa"/>
        <w:jc w:val="left"/>
        <w:tblInd w:w="0" w:type="dxa"/>
        <w:tblLayout w:type="fixed"/>
        <w:tblCellMar>
          <w:top w:w="28" w:type="dxa"/>
          <w:left w:w="28" w:type="dxa"/>
          <w:bottom w:w="28" w:type="dxa"/>
          <w:right w:w="28" w:type="dxa"/>
        </w:tblCellMar>
      </w:tblPr>
      <w:tblGrid>
        <w:gridCol w:w="124"/>
        <w:gridCol w:w="109"/>
        <w:gridCol w:w="109"/>
        <w:gridCol w:w="528"/>
        <w:gridCol w:w="528"/>
        <w:gridCol w:w="528"/>
        <w:gridCol w:w="1759"/>
        <w:gridCol w:w="1759"/>
        <w:gridCol w:w="2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MATADOR RESOURCES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0"/>
        <w:jc w:val="left"/>
        <w:rPr/>
      </w:pPr>
      <w:r>
        <w:rPr/>
      </w:r>
    </w:p>
    <w:tbl>
      <w:tblPr>
        <w:tblW w:w="7467" w:type="dxa"/>
        <w:jc w:val="left"/>
        <w:tblInd w:w="0" w:type="dxa"/>
        <w:tblLayout w:type="fixed"/>
        <w:tblCellMar>
          <w:top w:w="28" w:type="dxa"/>
          <w:left w:w="28" w:type="dxa"/>
          <w:bottom w:w="28" w:type="dxa"/>
          <w:right w:w="28" w:type="dxa"/>
        </w:tblCellMar>
      </w:tblPr>
      <w:tblGrid>
        <w:gridCol w:w="124"/>
        <w:gridCol w:w="109"/>
        <w:gridCol w:w="109"/>
        <w:gridCol w:w="355"/>
        <w:gridCol w:w="355"/>
        <w:gridCol w:w="355"/>
        <w:gridCol w:w="1771"/>
        <w:gridCol w:w="1771"/>
        <w:gridCol w:w="25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5"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ROYALTIES,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2580"/>
                <wp:effectExtent l="0" t="0" r="0" b="0"/>
                <wp:wrapNone/>
                <wp:docPr id="52" name="Frame5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Supplemental Indenture]</w:t>
                            </w:r>
                            <w:r>
                              <w:br w:type="page"/>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v:textbox>
                <w10:wrap type="none"/>
              </v:rect>
            </w:pict>
          </mc:Fallback>
        </mc:AlternateContent>
      </w:r>
    </w:p>
    <w:tbl>
      <w:tblPr>
        <w:tblW w:w="8964" w:type="dxa"/>
        <w:jc w:val="left"/>
        <w:tblInd w:w="0" w:type="dxa"/>
        <w:tblLayout w:type="fixed"/>
        <w:tblCellMar>
          <w:top w:w="28" w:type="dxa"/>
          <w:left w:w="28" w:type="dxa"/>
          <w:bottom w:w="28" w:type="dxa"/>
          <w:right w:w="28" w:type="dxa"/>
        </w:tblCellMar>
      </w:tblPr>
      <w:tblGrid>
        <w:gridCol w:w="124"/>
        <w:gridCol w:w="109"/>
        <w:gridCol w:w="109"/>
        <w:gridCol w:w="854"/>
        <w:gridCol w:w="854"/>
        <w:gridCol w:w="854"/>
        <w:gridCol w:w="1770"/>
        <w:gridCol w:w="1770"/>
        <w:gridCol w:w="25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DELAWARE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GATHERING AND DISPOSAL SYSTEMS,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 TEXAS,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SOUTHEAST,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LONGWOOD MIDSTREAM DELAWARE,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MATADOR PRODUCTION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ENERGY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DELAWARE RESOURCES,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SOUTHEAST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ENERGY SOUTH TEXAS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PERMIAN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PERMIAN LKE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ROCKIES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SOUTHEAST WATER MANAGEMENT COMPANY,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WR PERMIAN,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HAT MESA,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6"/>
            <w:tcBorders/>
            <w:tcMar>
              <w:top w:w="0" w:type="dxa"/>
              <w:left w:w="0" w:type="dxa"/>
              <w:bottom w:w="0" w:type="dxa"/>
              <w:right w:w="0" w:type="dxa"/>
            </w:tcMar>
            <w:vAlign w:val="center"/>
          </w:tcPr>
          <w:p>
            <w:pPr>
              <w:pStyle w:val="TableContents"/>
              <w:bidi w:val="0"/>
              <w:spacing w:lineRule="auto" w:line="288" w:before="53" w:after="30"/>
              <w:jc w:val="both"/>
              <w:rPr>
                <w:rFonts w:ascii="Times New Roman;sans-serif" w:hAnsi="Times New Roman;sans-serif"/>
                <w:b/>
                <w:color w:val="000000"/>
                <w:sz w:val="20"/>
              </w:rPr>
            </w:pPr>
            <w:r>
              <w:rPr>
                <w:rFonts w:ascii="Times New Roman;sans-serif" w:hAnsi="Times New Roman;sans-serif"/>
                <w:b/>
                <w:color w:val="000000"/>
                <w:sz w:val="20"/>
              </w:rPr>
              <w:t>MRC TORO,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Assistant Secretary</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2580"/>
                <wp:effectExtent l="0" t="0" r="0" b="0"/>
                <wp:wrapNone/>
                <wp:docPr id="53" name="Frame5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Supplemental Indenture]</w:t>
                            </w:r>
                            <w:r>
                              <w:br w:type="page"/>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Supplemental Indenture]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xbxContent>
                </v:textbox>
                <w10:wrap type="none"/>
              </v:rect>
            </w:pict>
          </mc:Fallback>
        </mc:AlternateContent>
      </w:r>
    </w:p>
    <w:tbl>
      <w:tblPr>
        <w:tblW w:w="5379" w:type="dxa"/>
        <w:jc w:val="left"/>
        <w:tblInd w:w="0" w:type="dxa"/>
        <w:tblLayout w:type="fixed"/>
        <w:tblCellMar>
          <w:top w:w="28" w:type="dxa"/>
          <w:left w:w="28" w:type="dxa"/>
          <w:bottom w:w="28" w:type="dxa"/>
          <w:right w:w="28" w:type="dxa"/>
        </w:tblCellMar>
      </w:tblPr>
      <w:tblGrid>
        <w:gridCol w:w="124"/>
        <w:gridCol w:w="109"/>
        <w:gridCol w:w="109"/>
        <w:gridCol w:w="783"/>
        <w:gridCol w:w="783"/>
        <w:gridCol w:w="783"/>
        <w:gridCol w:w="783"/>
        <w:gridCol w:w="783"/>
        <w:gridCol w:w="11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6"/>
            <w:tcBorders/>
            <w:tcMar>
              <w:top w:w="0" w:type="dxa"/>
              <w:left w:w="0" w:type="dxa"/>
              <w:bottom w:w="0" w:type="dxa"/>
              <w:right w:w="0" w:type="dxa"/>
            </w:tcMar>
            <w:vAlign w:val="center"/>
          </w:tcPr>
          <w:p>
            <w:pPr>
              <w:pStyle w:val="TableContents"/>
              <w:bidi w:val="0"/>
              <w:spacing w:lineRule="auto" w:line="288" w:before="53" w:after="30"/>
              <w:jc w:val="both"/>
              <w:rPr/>
            </w:pPr>
            <w:r>
              <w:rPr>
                <w:rFonts w:ascii="Times New Roman;sans-serif" w:hAnsi="Times New Roman;sans-serif"/>
                <w:b/>
                <w:color w:val="000000"/>
                <w:sz w:val="20"/>
              </w:rPr>
              <w:t xml:space="preserve">COMPUTERSHARE TRUST COMPANY, N.A., </w:t>
            </w:r>
            <w:r>
              <w:rPr>
                <w:rFonts w:ascii="Times New Roman;sans-serif" w:hAnsi="Times New Roman;sans-serif"/>
                <w:b/>
                <w:i/>
                <w:color w:val="000000"/>
                <w:sz w:val="20"/>
              </w:rPr>
              <w:t>as Trustee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 Beth Murray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2580"/>
                <wp:effectExtent l="0" t="0" r="0" b="0"/>
                <wp:wrapNone/>
                <wp:docPr id="54" name="Frame5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Supplemental Indenture]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(6.875% Senior Notes due 2028)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Third Supplemental Indenture]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(6.875% Senior Notes due 2028)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Joseph Wm. Foran,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886" w:type="dxa"/>
        <w:jc w:val="left"/>
        <w:tblInd w:w="0" w:type="dxa"/>
        <w:tblLayout w:type="fixed"/>
        <w:tblCellMar>
          <w:top w:w="28" w:type="dxa"/>
          <w:left w:w="28" w:type="dxa"/>
          <w:bottom w:w="28" w:type="dxa"/>
          <w:right w:w="28" w:type="dxa"/>
        </w:tblCellMar>
      </w:tblPr>
      <w:tblGrid>
        <w:gridCol w:w="473"/>
        <w:gridCol w:w="415"/>
        <w:gridCol w:w="417"/>
        <w:gridCol w:w="1068"/>
        <w:gridCol w:w="1068"/>
        <w:gridCol w:w="1073"/>
        <w:gridCol w:w="109"/>
        <w:gridCol w:w="109"/>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Brian J. Willey,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742" w:type="dxa"/>
        <w:jc w:val="left"/>
        <w:tblInd w:w="0" w:type="dxa"/>
        <w:tblLayout w:type="fixed"/>
        <w:tblCellMar>
          <w:top w:w="28" w:type="dxa"/>
          <w:left w:w="28" w:type="dxa"/>
          <w:bottom w:w="28" w:type="dxa"/>
          <w:right w:w="28" w:type="dxa"/>
        </w:tblCellMar>
      </w:tblPr>
      <w:tblGrid>
        <w:gridCol w:w="473"/>
        <w:gridCol w:w="415"/>
        <w:gridCol w:w="417"/>
        <w:gridCol w:w="898"/>
        <w:gridCol w:w="898"/>
        <w:gridCol w:w="898"/>
        <w:gridCol w:w="510"/>
        <w:gridCol w:w="510"/>
        <w:gridCol w:w="72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2025</w:t>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March 31, 2025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886" w:type="dxa"/>
        <w:jc w:val="left"/>
        <w:tblInd w:w="0" w:type="dxa"/>
        <w:tblLayout w:type="fixed"/>
        <w:tblCellMar>
          <w:top w:w="28" w:type="dxa"/>
          <w:left w:w="28" w:type="dxa"/>
          <w:bottom w:w="28" w:type="dxa"/>
          <w:right w:w="28" w:type="dxa"/>
        </w:tblCellMar>
      </w:tblPr>
      <w:tblGrid>
        <w:gridCol w:w="473"/>
        <w:gridCol w:w="415"/>
        <w:gridCol w:w="417"/>
        <w:gridCol w:w="1068"/>
        <w:gridCol w:w="1068"/>
        <w:gridCol w:w="1073"/>
        <w:gridCol w:w="109"/>
        <w:gridCol w:w="109"/>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March 31, 2025 as filed with the Securities and Exchange Commission on the date hereof (the “Form 10-Q”), I, Brian J. Willey, hereby certify in my capacity as Executive Vice President and Chief Financial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743" w:type="dxa"/>
        <w:jc w:val="left"/>
        <w:tblInd w:w="0" w:type="dxa"/>
        <w:tblLayout w:type="fixed"/>
        <w:tblCellMar>
          <w:top w:w="28" w:type="dxa"/>
          <w:left w:w="28" w:type="dxa"/>
          <w:bottom w:w="28" w:type="dxa"/>
          <w:right w:w="28" w:type="dxa"/>
        </w:tblCellMar>
      </w:tblPr>
      <w:tblGrid>
        <w:gridCol w:w="473"/>
        <w:gridCol w:w="415"/>
        <w:gridCol w:w="417"/>
        <w:gridCol w:w="1193"/>
        <w:gridCol w:w="1193"/>
        <w:gridCol w:w="1198"/>
        <w:gridCol w:w="250"/>
        <w:gridCol w:w="250"/>
        <w:gridCol w:w="3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2025</w:t>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0006/000110465924070829/tm2417025d1_ex2-1.htm" TargetMode="External"/><Relationship Id="rId3" Type="http://schemas.openxmlformats.org/officeDocument/2006/relationships/hyperlink" Target="https://www.sec.gov/Archives/edgar/data/1520006/000152000624000209/a20240930mtdr10qex23.htm" TargetMode="External"/><Relationship Id="rId4" Type="http://schemas.openxmlformats.org/officeDocument/2006/relationships/hyperlink" Target="https://www.sec.gov/Archives/edgar/data/1520006/000152000625000066/a20241231mtdr10kex26.htm" TargetMode="External"/><Relationship Id="rId5" Type="http://schemas.openxmlformats.org/officeDocument/2006/relationships/hyperlink" Target="https://www.sec.gov/Archives/edgar/data/1520006/000152000617000188/a20170630mtdr10q-exhibit32.htm" TargetMode="External"/><Relationship Id="rId6" Type="http://schemas.openxmlformats.org/officeDocument/2006/relationships/hyperlink" Target="https://www.sec.gov/Archives/edgar/data/1520006/000152000617000188/a20170630mtdr10q-exhibit33.htm" TargetMode="External"/><Relationship Id="rId7" Type="http://schemas.openxmlformats.org/officeDocument/2006/relationships/hyperlink" Target="https://www.sec.gov/Archives/edgar/data/1520006/000152000617000188/a20170630mtdr10q-exhibit34.htm" TargetMode="External"/><Relationship Id="rId8" Type="http://schemas.openxmlformats.org/officeDocument/2006/relationships/hyperlink" Target="https://www.sec.gov/Archives/edgar/data/1520006/000152000618000051/a20171231mtdr8k-amendedbyl.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25703</Words>
  <Characters>144356</Characters>
  <CharactersWithSpaces>168936</CharactersWithSpaces>
  <Paragraphs>2523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