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jc w:val="center"/>
        <w:ind w:right="-19"/>
        <w:spacing w:after="0" w:line="239" w:lineRule="auto"/>
        <w:rPr>
          <w:sz w:val="20"/>
          <w:szCs w:val="20"/>
          <w:color w:val="auto"/>
        </w:rPr>
      </w:pPr>
      <w:r>
        <w:rPr>
          <w:rFonts w:ascii="Arial" w:cs="Arial" w:eastAsia="Arial" w:hAnsi="Arial"/>
          <w:sz w:val="28"/>
          <w:szCs w:val="28"/>
          <w:b w:val="1"/>
          <w:bCs w:val="1"/>
          <w:color w:val="auto"/>
        </w:rPr>
        <w:t>SECURITIES AND EXCHANGE COMMISSION</w:t>
      </w:r>
    </w:p>
    <w:p>
      <w:pPr>
        <w:jc w:val="center"/>
        <w:ind w:right="-19"/>
        <w:spacing w:after="0" w:line="233" w:lineRule="auto"/>
        <w:rPr>
          <w:sz w:val="20"/>
          <w:szCs w:val="20"/>
          <w:color w:val="auto"/>
        </w:rPr>
      </w:pPr>
      <w:r>
        <w:rPr>
          <w:rFonts w:ascii="Arial" w:cs="Arial" w:eastAsia="Arial" w:hAnsi="Arial"/>
          <w:sz w:val="19"/>
          <w:szCs w:val="19"/>
          <w:b w:val="1"/>
          <w:bCs w:val="1"/>
          <w:color w:val="auto"/>
        </w:rPr>
        <w:t>Washington, D.C. 20549</w:t>
      </w:r>
    </w:p>
    <w:p>
      <w:pPr>
        <w:ind w:left="4320"/>
        <w:spacing w:after="0"/>
        <w:rPr>
          <w:sz w:val="20"/>
          <w:szCs w:val="20"/>
          <w:color w:val="auto"/>
        </w:rPr>
      </w:pPr>
      <w:r>
        <w:rPr>
          <w:rFonts w:ascii="Arial" w:cs="Arial" w:eastAsia="Arial" w:hAnsi="Arial"/>
          <w:sz w:val="9"/>
          <w:szCs w:val="9"/>
          <w:color w:val="auto"/>
        </w:rPr>
        <w:t>________________________________________________________</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6" w:lineRule="exact"/>
        <w:rPr>
          <w:sz w:val="24"/>
          <w:szCs w:val="24"/>
          <w:color w:val="auto"/>
        </w:rPr>
      </w:pPr>
    </w:p>
    <w:p>
      <w:pPr>
        <w:ind w:left="4280"/>
        <w:spacing w:after="0"/>
        <w:rPr>
          <w:sz w:val="20"/>
          <w:szCs w:val="20"/>
          <w:color w:val="auto"/>
        </w:rPr>
      </w:pPr>
      <w:r>
        <w:rPr>
          <w:rFonts w:ascii="Arial" w:cs="Arial" w:eastAsia="Arial" w:hAnsi="Arial"/>
          <w:sz w:val="9"/>
          <w:szCs w:val="9"/>
          <w:color w:val="auto"/>
        </w:rPr>
        <w:t>_________________________________________________________</w:t>
      </w:r>
    </w:p>
    <w:p>
      <w:pPr>
        <w:spacing w:after="0" w:line="98" w:lineRule="exact"/>
        <w:rPr>
          <w:sz w:val="24"/>
          <w:szCs w:val="24"/>
          <w:color w:val="auto"/>
        </w:rPr>
      </w:pPr>
    </w:p>
    <w:p>
      <w:pPr>
        <w:ind w:left="440" w:hanging="431"/>
        <w:spacing w:after="0"/>
        <w:tabs>
          <w:tab w:leader="none" w:pos="4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4" w:lineRule="exact"/>
        <w:rPr>
          <w:sz w:val="24"/>
          <w:szCs w:val="24"/>
          <w:color w:val="auto"/>
        </w:rPr>
      </w:pPr>
    </w:p>
    <w:p>
      <w:pPr>
        <w:ind w:left="440" w:hanging="431"/>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67" w:lineRule="exact"/>
        <w:rPr>
          <w:sz w:val="24"/>
          <w:szCs w:val="24"/>
          <w:color w:val="auto"/>
        </w:rPr>
      </w:pPr>
    </w:p>
    <w:p>
      <w:pPr>
        <w:ind w:left="422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001-35410</w:t>
      </w:r>
    </w:p>
    <w:p>
      <w:pPr>
        <w:spacing w:after="0" w:line="53" w:lineRule="exact"/>
        <w:rPr>
          <w:sz w:val="24"/>
          <w:szCs w:val="24"/>
          <w:color w:val="auto"/>
        </w:rPr>
      </w:pPr>
    </w:p>
    <w:p>
      <w:pPr>
        <w:ind w:left="4280"/>
        <w:spacing w:after="0"/>
        <w:rPr>
          <w:sz w:val="20"/>
          <w:szCs w:val="20"/>
          <w:color w:val="auto"/>
        </w:rPr>
      </w:pPr>
      <w:r>
        <w:rPr>
          <w:rFonts w:ascii="Arial" w:cs="Arial" w:eastAsia="Arial" w:hAnsi="Arial"/>
          <w:sz w:val="9"/>
          <w:szCs w:val="9"/>
          <w:color w:val="auto"/>
        </w:rPr>
        <w:t>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7"/>
          <w:szCs w:val="37"/>
          <w:b w:val="1"/>
          <w:bCs w:val="1"/>
          <w:color w:val="auto"/>
        </w:rPr>
        <w:t>Matador Resources Company</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9"/>
          <w:szCs w:val="9"/>
          <w:color w:val="auto"/>
        </w:rPr>
        <w:t>_________________________________________________________</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860" w:type="dxa"/>
            <w:vAlign w:val="bottom"/>
          </w:tcPr>
          <w:p>
            <w:pPr>
              <w:spacing w:after="0"/>
              <w:rPr>
                <w:sz w:val="17"/>
                <w:szCs w:val="17"/>
                <w:color w:val="auto"/>
              </w:rPr>
            </w:pPr>
          </w:p>
        </w:tc>
        <w:tc>
          <w:tcPr>
            <w:tcW w:w="3320" w:type="dxa"/>
            <w:vAlign w:val="bottom"/>
          </w:tcPr>
          <w:p>
            <w:pPr>
              <w:jc w:val="center"/>
              <w:ind w:left="510"/>
              <w:spacing w:after="0"/>
              <w:rPr>
                <w:sz w:val="20"/>
                <w:szCs w:val="20"/>
                <w:color w:val="auto"/>
              </w:rPr>
            </w:pPr>
            <w:r>
              <w:rPr>
                <w:rFonts w:ascii="Arial" w:cs="Arial" w:eastAsia="Arial" w:hAnsi="Arial"/>
                <w:sz w:val="16"/>
                <w:szCs w:val="16"/>
                <w:b w:val="1"/>
                <w:bCs w:val="1"/>
                <w:color w:val="auto"/>
                <w:w w:val="83"/>
              </w:rPr>
              <w:t>Texas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jc w:val="right"/>
              <w:ind w:right="1511"/>
              <w:spacing w:after="0"/>
              <w:rPr>
                <w:sz w:val="20"/>
                <w:szCs w:val="20"/>
                <w:color w:val="auto"/>
              </w:rPr>
            </w:pPr>
            <w:r>
              <w:rPr>
                <w:rFonts w:ascii="Arial" w:cs="Arial" w:eastAsia="Arial" w:hAnsi="Arial"/>
                <w:sz w:val="16"/>
                <w:szCs w:val="16"/>
                <w:b w:val="1"/>
                <w:bCs w:val="1"/>
                <w:color w:val="auto"/>
              </w:rPr>
              <w:t>27-4662601</w:t>
            </w: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320" w:type="dxa"/>
            <w:vAlign w:val="bottom"/>
          </w:tcPr>
          <w:p>
            <w:pPr>
              <w:jc w:val="center"/>
              <w:ind w:left="530"/>
              <w:spacing w:after="0" w:line="125" w:lineRule="exact"/>
              <w:rPr>
                <w:sz w:val="20"/>
                <w:szCs w:val="20"/>
                <w:color w:val="auto"/>
              </w:rPr>
            </w:pPr>
            <w:r>
              <w:rPr>
                <w:rFonts w:ascii="Arial" w:cs="Arial" w:eastAsia="Arial" w:hAnsi="Arial"/>
                <w:sz w:val="12"/>
                <w:szCs w:val="12"/>
                <w:b w:val="1"/>
                <w:bCs w:val="1"/>
                <w:color w:val="auto"/>
                <w:w w:val="94"/>
              </w:rPr>
              <w:t>(State or other jurisdiction of</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140" w:type="dxa"/>
            <w:vAlign w:val="bottom"/>
          </w:tcPr>
          <w:p>
            <w:pPr>
              <w:jc w:val="center"/>
              <w:ind w:right="691"/>
              <w:spacing w:after="0" w:line="125" w:lineRule="exact"/>
              <w:rPr>
                <w:sz w:val="20"/>
                <w:szCs w:val="20"/>
                <w:color w:val="auto"/>
              </w:rPr>
            </w:pPr>
            <w:r>
              <w:rPr>
                <w:rFonts w:ascii="Arial" w:cs="Arial" w:eastAsia="Arial" w:hAnsi="Arial"/>
                <w:sz w:val="12"/>
                <w:szCs w:val="12"/>
                <w:b w:val="1"/>
                <w:bCs w:val="1"/>
                <w:color w:val="auto"/>
                <w:w w:val="97"/>
              </w:rPr>
              <w:t>(I.R.S. Employer</w:t>
            </w: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3320" w:type="dxa"/>
            <w:vAlign w:val="bottom"/>
          </w:tcPr>
          <w:p>
            <w:pPr>
              <w:jc w:val="center"/>
              <w:ind w:left="530"/>
              <w:spacing w:after="0"/>
              <w:rPr>
                <w:sz w:val="20"/>
                <w:szCs w:val="20"/>
                <w:color w:val="auto"/>
              </w:rPr>
            </w:pPr>
            <w:r>
              <w:rPr>
                <w:rFonts w:ascii="Arial" w:cs="Arial" w:eastAsia="Arial" w:hAnsi="Arial"/>
                <w:sz w:val="12"/>
                <w:szCs w:val="12"/>
                <w:b w:val="1"/>
                <w:bCs w:val="1"/>
                <w:color w:val="auto"/>
                <w:w w:val="95"/>
              </w:rPr>
              <w:t>incorporation or organization)</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tcPr>
          <w:p>
            <w:pPr>
              <w:jc w:val="center"/>
              <w:ind w:right="691"/>
              <w:spacing w:after="0"/>
              <w:rPr>
                <w:sz w:val="20"/>
                <w:szCs w:val="20"/>
                <w:color w:val="auto"/>
              </w:rPr>
            </w:pPr>
            <w:r>
              <w:rPr>
                <w:rFonts w:ascii="Arial" w:cs="Arial" w:eastAsia="Arial" w:hAnsi="Arial"/>
                <w:sz w:val="12"/>
                <w:szCs w:val="12"/>
                <w:b w:val="1"/>
                <w:bCs w:val="1"/>
                <w:color w:val="auto"/>
                <w:w w:val="96"/>
              </w:rPr>
              <w:t>Identification No.)</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3320" w:type="dxa"/>
            <w:vAlign w:val="bottom"/>
          </w:tcPr>
          <w:p>
            <w:pPr>
              <w:jc w:val="center"/>
              <w:ind w:left="530"/>
              <w:spacing w:after="0"/>
              <w:rPr>
                <w:sz w:val="20"/>
                <w:szCs w:val="20"/>
                <w:color w:val="auto"/>
              </w:rPr>
            </w:pPr>
            <w:r>
              <w:rPr>
                <w:rFonts w:ascii="Arial" w:cs="Arial" w:eastAsia="Arial" w:hAnsi="Arial"/>
                <w:sz w:val="16"/>
                <w:szCs w:val="16"/>
                <w:b w:val="1"/>
                <w:bCs w:val="1"/>
                <w:color w:val="auto"/>
                <w:w w:val="88"/>
              </w:rPr>
              <w:t>5400 LBJ Freeway, Suite 1500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vMerge w:val="restart"/>
          </w:tcPr>
          <w:p>
            <w:pPr>
              <w:jc w:val="right"/>
              <w:ind w:right="1691"/>
              <w:spacing w:after="0"/>
              <w:rPr>
                <w:sz w:val="20"/>
                <w:szCs w:val="20"/>
                <w:color w:val="auto"/>
              </w:rPr>
            </w:pPr>
            <w:r>
              <w:rPr>
                <w:rFonts w:ascii="Arial" w:cs="Arial" w:eastAsia="Arial" w:hAnsi="Arial"/>
                <w:sz w:val="16"/>
                <w:szCs w:val="16"/>
                <w:b w:val="1"/>
                <w:bCs w:val="1"/>
                <w:color w:val="auto"/>
              </w:rPr>
              <w:t>75240</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320" w:type="dxa"/>
            <w:vAlign w:val="bottom"/>
          </w:tcPr>
          <w:p>
            <w:pPr>
              <w:jc w:val="center"/>
              <w:ind w:left="530"/>
              <w:spacing w:after="0"/>
              <w:rPr>
                <w:sz w:val="20"/>
                <w:szCs w:val="20"/>
                <w:color w:val="auto"/>
              </w:rPr>
            </w:pPr>
            <w:r>
              <w:rPr>
                <w:rFonts w:ascii="Arial" w:cs="Arial" w:eastAsia="Arial" w:hAnsi="Arial"/>
                <w:sz w:val="16"/>
                <w:szCs w:val="16"/>
                <w:b w:val="1"/>
                <w:bCs w:val="1"/>
                <w:color w:val="auto"/>
                <w:w w:val="86"/>
              </w:rPr>
              <w:t>Dallas, Texas</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3320" w:type="dxa"/>
            <w:vAlign w:val="bottom"/>
          </w:tcPr>
          <w:p>
            <w:pPr>
              <w:jc w:val="center"/>
              <w:ind w:left="530"/>
              <w:spacing w:after="0"/>
              <w:rPr>
                <w:sz w:val="20"/>
                <w:szCs w:val="20"/>
                <w:color w:val="auto"/>
              </w:rPr>
            </w:pPr>
            <w:r>
              <w:rPr>
                <w:rFonts w:ascii="Arial" w:cs="Arial" w:eastAsia="Arial" w:hAnsi="Arial"/>
                <w:sz w:val="12"/>
                <w:szCs w:val="12"/>
                <w:b w:val="1"/>
                <w:bCs w:val="1"/>
                <w:color w:val="auto"/>
                <w:w w:val="92"/>
              </w:rPr>
              <w:t>(Address of principal executive offices)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tcPr>
          <w:p>
            <w:pPr>
              <w:jc w:val="center"/>
              <w:ind w:right="691"/>
              <w:spacing w:after="0"/>
              <w:rPr>
                <w:sz w:val="20"/>
                <w:szCs w:val="20"/>
                <w:color w:val="auto"/>
              </w:rPr>
            </w:pPr>
            <w:r>
              <w:rPr>
                <w:rFonts w:ascii="Arial" w:cs="Arial" w:eastAsia="Arial" w:hAnsi="Arial"/>
                <w:sz w:val="12"/>
                <w:szCs w:val="12"/>
                <w:b w:val="1"/>
                <w:bCs w:val="1"/>
                <w:color w:val="auto"/>
                <w:w w:val="97"/>
              </w:rPr>
              <w:t>(Zip Code)</w:t>
            </w:r>
          </w:p>
        </w:tc>
        <w:tc>
          <w:tcPr>
            <w:tcW w:w="0" w:type="dxa"/>
            <w:vAlign w:val="bottom"/>
          </w:tcPr>
          <w:p>
            <w:pPr>
              <w:spacing w:after="0"/>
              <w:rPr>
                <w:sz w:val="1"/>
                <w:szCs w:val="1"/>
                <w:color w:val="auto"/>
              </w:rPr>
            </w:pPr>
          </w:p>
        </w:tc>
      </w:tr>
      <w:tr>
        <w:trPr>
          <w:trHeight w:val="389"/>
        </w:trPr>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rPr>
              <w:t>(972) 371-5200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8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2"/>
              </w:rPr>
              <w:t>(Registrant’s telephone number, including area code)</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0" w:type="dxa"/>
            <w:vAlign w:val="bottom"/>
            <w:gridSpan w:val="8"/>
          </w:tcPr>
          <w:p>
            <w:pPr>
              <w:jc w:val="right"/>
              <w:ind w:right="2731"/>
              <w:spacing w:after="0"/>
              <w:rPr>
                <w:sz w:val="20"/>
                <w:szCs w:val="20"/>
                <w:color w:val="auto"/>
              </w:rPr>
            </w:pPr>
            <w:r>
              <w:rPr>
                <w:rFonts w:ascii="Arial" w:cs="Arial" w:eastAsia="Arial" w:hAnsi="Arial"/>
                <w:sz w:val="14"/>
                <w:szCs w:val="14"/>
                <w:color w:val="auto"/>
              </w:rPr>
              <w:t>_________________________________________________________</w:t>
            </w:r>
          </w:p>
        </w:tc>
        <w:tc>
          <w:tcPr>
            <w:tcW w:w="0" w:type="dxa"/>
            <w:vAlign w:val="bottom"/>
          </w:tcPr>
          <w:p>
            <w:pPr>
              <w:spacing w:after="0"/>
              <w:rPr>
                <w:sz w:val="1"/>
                <w:szCs w:val="1"/>
                <w:color w:val="auto"/>
              </w:rPr>
            </w:pPr>
          </w:p>
        </w:tc>
      </w:tr>
      <w:tr>
        <w:trPr>
          <w:trHeight w:val="285"/>
        </w:trPr>
        <w:tc>
          <w:tcPr>
            <w:tcW w:w="418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320" w:type="dxa"/>
            <w:vAlign w:val="bottom"/>
          </w:tcPr>
          <w:p>
            <w:pPr>
              <w:jc w:val="center"/>
              <w:ind w:left="510"/>
              <w:spacing w:after="0"/>
              <w:rPr>
                <w:sz w:val="20"/>
                <w:szCs w:val="20"/>
                <w:color w:val="auto"/>
              </w:rPr>
            </w:pPr>
            <w:r>
              <w:rPr>
                <w:rFonts w:ascii="Arial" w:cs="Arial" w:eastAsia="Arial" w:hAnsi="Arial"/>
                <w:sz w:val="12"/>
                <w:szCs w:val="12"/>
                <w:b w:val="1"/>
                <w:bCs w:val="1"/>
                <w:color w:val="auto"/>
                <w:w w:val="90"/>
              </w:rPr>
              <w:t>Title of each class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60" w:type="dxa"/>
            <w:vAlign w:val="bottom"/>
            <w:gridSpan w:val="3"/>
          </w:tcPr>
          <w:p>
            <w:pPr>
              <w:jc w:val="center"/>
              <w:ind w:right="620"/>
              <w:spacing w:after="0"/>
              <w:rPr>
                <w:sz w:val="20"/>
                <w:szCs w:val="20"/>
                <w:color w:val="auto"/>
              </w:rPr>
            </w:pPr>
            <w:r>
              <w:rPr>
                <w:rFonts w:ascii="Arial" w:cs="Arial" w:eastAsia="Arial" w:hAnsi="Arial"/>
                <w:sz w:val="12"/>
                <w:szCs w:val="12"/>
                <w:b w:val="1"/>
                <w:bCs w:val="1"/>
                <w:color w:val="auto"/>
                <w:w w:val="92"/>
              </w:rPr>
              <w:t>Trading symbol(s)</w:t>
            </w:r>
          </w:p>
        </w:tc>
        <w:tc>
          <w:tcPr>
            <w:tcW w:w="3140" w:type="dxa"/>
            <w:vAlign w:val="bottom"/>
          </w:tcPr>
          <w:p>
            <w:pPr>
              <w:jc w:val="center"/>
              <w:ind w:right="331"/>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20" w:type="dxa"/>
            <w:vAlign w:val="bottom"/>
            <w:tcBorders>
              <w:top w:val="single" w:sz="8" w:color="auto"/>
            </w:tcBorders>
          </w:tcPr>
          <w:p>
            <w:pPr>
              <w:jc w:val="center"/>
              <w:ind w:left="510"/>
              <w:spacing w:after="0"/>
              <w:rPr>
                <w:sz w:val="20"/>
                <w:szCs w:val="20"/>
                <w:color w:val="auto"/>
              </w:rPr>
            </w:pPr>
            <w:r>
              <w:rPr>
                <w:rFonts w:ascii="Arial" w:cs="Arial" w:eastAsia="Arial" w:hAnsi="Arial"/>
                <w:sz w:val="16"/>
                <w:szCs w:val="16"/>
                <w:color w:val="auto"/>
                <w:w w:val="87"/>
              </w:rPr>
              <w:t>Common Stock, par value $0.01 per share</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MTDR</w:t>
            </w: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jc w:val="center"/>
              <w:ind w:right="331"/>
              <w:spacing w:after="0"/>
              <w:rPr>
                <w:sz w:val="20"/>
                <w:szCs w:val="20"/>
                <w:color w:val="auto"/>
              </w:rPr>
            </w:pPr>
            <w:r>
              <w:rPr>
                <w:rFonts w:ascii="Arial" w:cs="Arial" w:eastAsia="Arial" w:hAnsi="Arial"/>
                <w:sz w:val="16"/>
                <w:szCs w:val="16"/>
                <w:color w:val="auto"/>
                <w:w w:val="8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0"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0" w:lineRule="exact"/>
        <w:rPr>
          <w:sz w:val="24"/>
          <w:szCs w:val="24"/>
          <w:color w:val="auto"/>
        </w:rPr>
      </w:pPr>
    </w:p>
    <w:p>
      <w:pPr>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24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4"/>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224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4"/>
        </w:trPr>
        <w:tc>
          <w:tcPr>
            <w:tcW w:w="22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580" w:type="dxa"/>
            <w:vAlign w:val="bottom"/>
          </w:tcPr>
          <w:p>
            <w:pPr>
              <w:ind w:left="224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68" w:lineRule="exact"/>
        <w:rPr>
          <w:sz w:val="24"/>
          <w:szCs w:val="24"/>
          <w:color w:val="auto"/>
        </w:rPr>
      </w:pPr>
    </w:p>
    <w:p>
      <w:pPr>
        <w:jc w:val="both"/>
        <w:ind w:right="2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5" w:lineRule="exact"/>
        <w:rPr>
          <w:sz w:val="24"/>
          <w:szCs w:val="24"/>
          <w:color w:val="auto"/>
        </w:rPr>
      </w:pPr>
    </w:p>
    <w:p>
      <w:pPr>
        <w:ind w:right="3800"/>
        <w:spacing w:after="0" w:line="25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July 27, 2021, there were 116,982,758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221615</wp:posOffset>
            </wp:positionV>
            <wp:extent cx="7176135"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360" w:type="dxa"/>
            <w:vAlign w:val="bottom"/>
            <w:gridSpan w:val="19"/>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702"/>
        </w:trPr>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20" w:type="dxa"/>
            <w:vAlign w:val="bottom"/>
            <w:gridSpan w:val="7"/>
          </w:tcPr>
          <w:p>
            <w:pPr>
              <w:jc w:val="center"/>
              <w:ind w:right="3060"/>
              <w:spacing w:after="0"/>
              <w:rPr>
                <w:sz w:val="20"/>
                <w:szCs w:val="20"/>
                <w:color w:val="auto"/>
              </w:rPr>
            </w:pPr>
            <w:r>
              <w:rPr>
                <w:rFonts w:ascii="Arial" w:cs="Arial" w:eastAsia="Arial" w:hAnsi="Arial"/>
                <w:sz w:val="16"/>
                <w:szCs w:val="16"/>
                <w:b w:val="1"/>
                <w:bCs w:val="1"/>
                <w:color w:val="auto"/>
                <w:w w:val="96"/>
              </w:rPr>
              <w:t>MATADOR RESOURCES COMPANY</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20" w:type="dxa"/>
            <w:vAlign w:val="bottom"/>
            <w:gridSpan w:val="6"/>
          </w:tcPr>
          <w:p>
            <w:pPr>
              <w:jc w:val="center"/>
              <w:ind w:right="3560"/>
              <w:spacing w:after="0"/>
              <w:rPr>
                <w:sz w:val="20"/>
                <w:szCs w:val="20"/>
                <w:color w:val="auto"/>
              </w:rPr>
            </w:pPr>
            <w:r>
              <w:rPr>
                <w:rFonts w:ascii="Arial" w:cs="Arial" w:eastAsia="Arial" w:hAnsi="Arial"/>
                <w:sz w:val="16"/>
                <w:szCs w:val="16"/>
                <w:b w:val="1"/>
                <w:bCs w:val="1"/>
                <w:color w:val="auto"/>
                <w:w w:val="96"/>
              </w:rPr>
              <w:t>FORM 10-Q</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20" w:type="dxa"/>
            <w:vAlign w:val="bottom"/>
            <w:gridSpan w:val="7"/>
          </w:tcPr>
          <w:p>
            <w:pPr>
              <w:jc w:val="center"/>
              <w:ind w:right="3060"/>
              <w:spacing w:after="0"/>
              <w:rPr>
                <w:sz w:val="20"/>
                <w:szCs w:val="20"/>
                <w:color w:val="auto"/>
              </w:rPr>
            </w:pPr>
            <w:r>
              <w:rPr>
                <w:rFonts w:ascii="Arial" w:cs="Arial" w:eastAsia="Arial" w:hAnsi="Arial"/>
                <w:sz w:val="16"/>
                <w:szCs w:val="16"/>
                <w:b w:val="1"/>
                <w:bCs w:val="1"/>
                <w:color w:val="auto"/>
                <w:w w:val="95"/>
              </w:rPr>
              <w:t>FOR THE QUARTER ENDED JUNE 30, 2021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28"/>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6"/>
          </w:tcPr>
          <w:p>
            <w:pPr>
              <w:jc w:val="center"/>
              <w:ind w:right="3560"/>
              <w:spacing w:after="0"/>
              <w:rPr>
                <w:sz w:val="20"/>
                <w:szCs w:val="20"/>
                <w:color w:val="auto"/>
              </w:rPr>
            </w:pPr>
            <w:r>
              <w:rPr>
                <w:rFonts w:ascii="Arial" w:cs="Arial" w:eastAsia="Arial" w:hAnsi="Arial"/>
                <w:sz w:val="16"/>
                <w:szCs w:val="16"/>
                <w:b w:val="1"/>
                <w:bCs w:val="1"/>
                <w:color w:val="auto"/>
                <w:w w:val="97"/>
              </w:rPr>
              <w:t>TABLE OF CONTENTS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5"/>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gridSpan w:val="4"/>
          </w:tcPr>
          <w:p>
            <w:pPr>
              <w:ind w:left="280"/>
              <w:spacing w:after="0"/>
              <w:rPr>
                <w:sz w:val="20"/>
                <w:szCs w:val="20"/>
                <w:color w:val="auto"/>
              </w:rPr>
            </w:pPr>
            <w:r>
              <w:rPr>
                <w:rFonts w:ascii="Arial" w:cs="Arial" w:eastAsia="Arial" w:hAnsi="Arial"/>
                <w:sz w:val="16"/>
                <w:szCs w:val="16"/>
                <w:color w:val="auto"/>
              </w:rPr>
              <w:t>Page</w:t>
            </w:r>
          </w:p>
        </w:tc>
      </w:tr>
      <w:tr>
        <w:trPr>
          <w:trHeight w:val="157"/>
        </w:trPr>
        <w:tc>
          <w:tcPr>
            <w:tcW w:w="10360" w:type="dxa"/>
            <w:vAlign w:val="bottom"/>
            <w:gridSpan w:val="19"/>
          </w:tcPr>
          <w:p>
            <w:pPr>
              <w:spacing w:after="0" w:line="157" w:lineRule="exact"/>
              <w:rPr>
                <w:rFonts w:ascii="Arial" w:cs="Arial" w:eastAsia="Arial" w:hAnsi="Arial"/>
                <w:sz w:val="16"/>
                <w:szCs w:val="16"/>
                <w:color w:val="0000FF"/>
              </w:rPr>
            </w:pPr>
            <w:hyperlink w:anchor="page2">
              <w:r>
                <w:rPr>
                  <w:rFonts w:ascii="Arial" w:cs="Arial" w:eastAsia="Arial" w:hAnsi="Arial"/>
                  <w:sz w:val="16"/>
                  <w:szCs w:val="16"/>
                  <w:color w:val="0000FF"/>
                </w:rPr>
                <w:t>PART I — FINANCIAL INFORMATION</w:t>
              </w:r>
            </w:hyperlink>
          </w:p>
        </w:tc>
        <w:tc>
          <w:tcPr>
            <w:tcW w:w="460" w:type="dxa"/>
            <w:vAlign w:val="bottom"/>
            <w:tcBorders>
              <w:top w:val="single" w:sz="8" w:color="auto"/>
            </w:tcBorders>
            <w:gridSpan w:val="2"/>
          </w:tcPr>
          <w:p>
            <w:pPr>
              <w:jc w:val="center"/>
              <w:ind w:left="302"/>
              <w:spacing w:after="0" w:line="157" w:lineRule="exact"/>
              <w:rPr>
                <w:rFonts w:ascii="Arial" w:cs="Arial" w:eastAsia="Arial" w:hAnsi="Arial"/>
                <w:sz w:val="16"/>
                <w:szCs w:val="16"/>
                <w:color w:val="0000FF"/>
                <w:w w:val="89"/>
              </w:rPr>
            </w:pPr>
            <w:hyperlink w:anchor="page2">
              <w:r>
                <w:rPr>
                  <w:rFonts w:ascii="Arial" w:cs="Arial" w:eastAsia="Arial" w:hAnsi="Arial"/>
                  <w:sz w:val="16"/>
                  <w:szCs w:val="16"/>
                  <w:color w:val="0000FF"/>
                  <w:w w:val="89"/>
                </w:rPr>
                <w:t>3</w:t>
              </w:r>
            </w:hyperlink>
          </w:p>
        </w:tc>
        <w:tc>
          <w:tcPr>
            <w:tcW w:w="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680" w:type="dxa"/>
            <w:vAlign w:val="bottom"/>
            <w:gridSpan w:val="10"/>
          </w:tcPr>
          <w:p>
            <w:pPr>
              <w:spacing w:after="0" w:line="179" w:lineRule="exact"/>
              <w:rPr>
                <w:rFonts w:ascii="Arial" w:cs="Arial" w:eastAsia="Arial" w:hAnsi="Arial"/>
                <w:sz w:val="16"/>
                <w:szCs w:val="16"/>
                <w:color w:val="0000FF"/>
                <w:w w:val="88"/>
              </w:rPr>
            </w:pPr>
            <w:hyperlink w:anchor="page3">
              <w:r>
                <w:rPr>
                  <w:rFonts w:ascii="Arial" w:cs="Arial" w:eastAsia="Arial" w:hAnsi="Arial"/>
                  <w:sz w:val="16"/>
                  <w:szCs w:val="16"/>
                  <w:color w:val="0000FF"/>
                  <w:w w:val="88"/>
                </w:rPr>
                <w:t>Item 1. Financial Statements — Unaudited</w:t>
              </w:r>
            </w:hyperlink>
          </w:p>
        </w:tc>
        <w:tc>
          <w:tcPr>
            <w:tcW w:w="7500" w:type="dxa"/>
            <w:vAlign w:val="bottom"/>
            <w:gridSpan w:val="8"/>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jc w:val="center"/>
              <w:spacing w:after="0" w:line="179"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900" w:type="dxa"/>
            <w:vAlign w:val="bottom"/>
            <w:gridSpan w:val="17"/>
          </w:tcPr>
          <w:p>
            <w:pPr>
              <w:spacing w:after="0" w:line="179" w:lineRule="exact"/>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at June 30, 2021 and December 31, 2020</w:t>
              </w:r>
            </w:hyperlink>
          </w:p>
        </w:tc>
        <w:tc>
          <w:tcPr>
            <w:tcW w:w="460" w:type="dxa"/>
            <w:vAlign w:val="bottom"/>
            <w:gridSpan w:val="2"/>
          </w:tcPr>
          <w:p>
            <w:pPr>
              <w:jc w:val="center"/>
              <w:ind w:left="302"/>
              <w:spacing w:after="0" w:line="179"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900" w:type="dxa"/>
            <w:vAlign w:val="bottom"/>
            <w:gridSpan w:val="17"/>
          </w:tcPr>
          <w:p>
            <w:pPr>
              <w:spacing w:after="0" w:line="179" w:lineRule="exact"/>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and Six Months Ended June 30, 2021 and 2020</w:t>
              </w:r>
            </w:hyperlink>
          </w:p>
        </w:tc>
        <w:tc>
          <w:tcPr>
            <w:tcW w:w="460" w:type="dxa"/>
            <w:vAlign w:val="bottom"/>
            <w:gridSpan w:val="2"/>
          </w:tcPr>
          <w:p>
            <w:pPr>
              <w:jc w:val="center"/>
              <w:ind w:left="302"/>
              <w:spacing w:after="0" w:line="179"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900" w:type="dxa"/>
            <w:vAlign w:val="bottom"/>
            <w:gridSpan w:val="17"/>
          </w:tcPr>
          <w:p>
            <w:pPr>
              <w:spacing w:after="0" w:line="179"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Changes in Shareholders’ Equity for the Three and Six Months Ended June 30, 2021 and 2020</w:t>
              </w:r>
            </w:hyperlink>
          </w:p>
        </w:tc>
        <w:tc>
          <w:tcPr>
            <w:tcW w:w="460" w:type="dxa"/>
            <w:vAlign w:val="bottom"/>
            <w:gridSpan w:val="2"/>
          </w:tcPr>
          <w:p>
            <w:pPr>
              <w:jc w:val="center"/>
              <w:ind w:left="302"/>
              <w:spacing w:after="0" w:line="179"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0" w:type="dxa"/>
            <w:vAlign w:val="bottom"/>
            <w:gridSpan w:val="16"/>
          </w:tcPr>
          <w:p>
            <w:pPr>
              <w:spacing w:after="0" w:line="179" w:lineRule="exact"/>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Cash Flows for the Six Months Ended June 30, 2021 and 2020</w:t>
              </w:r>
            </w:hyperlink>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jc w:val="center"/>
              <w:spacing w:after="0" w:line="179" w:lineRule="exact"/>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gridSpan w:val="10"/>
          </w:tcPr>
          <w:p>
            <w:pPr>
              <w:spacing w:after="0" w:line="179" w:lineRule="exact"/>
              <w:rPr>
                <w:rFonts w:ascii="Arial" w:cs="Arial" w:eastAsia="Arial" w:hAnsi="Arial"/>
                <w:sz w:val="16"/>
                <w:szCs w:val="16"/>
                <w:color w:val="0000FF"/>
                <w:w w:val="87"/>
              </w:rPr>
            </w:pPr>
            <w:hyperlink w:anchor="page7">
              <w:r>
                <w:rPr>
                  <w:rFonts w:ascii="Arial" w:cs="Arial" w:eastAsia="Arial" w:hAnsi="Arial"/>
                  <w:sz w:val="16"/>
                  <w:szCs w:val="16"/>
                  <w:color w:val="0000FF"/>
                  <w:w w:val="87"/>
                </w:rPr>
                <w:t>Notes to Condensed Consolidated Financial Statements</w:t>
              </w:r>
            </w:hyperlink>
          </w:p>
        </w:tc>
        <w:tc>
          <w:tcPr>
            <w:tcW w:w="2920" w:type="dxa"/>
            <w:vAlign w:val="bottom"/>
            <w:gridSpan w:val="4"/>
          </w:tcPr>
          <w:p>
            <w:pPr>
              <w:spacing w:after="0"/>
              <w:rPr>
                <w:sz w:val="15"/>
                <w:szCs w:val="15"/>
                <w:color w:val="auto"/>
              </w:rPr>
            </w:pPr>
          </w:p>
        </w:tc>
        <w:tc>
          <w:tcPr>
            <w:tcW w:w="350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jc w:val="center"/>
              <w:spacing w:after="0" w:line="179" w:lineRule="exact"/>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6100" w:type="dxa"/>
            <w:vAlign w:val="bottom"/>
            <w:gridSpan w:val="14"/>
          </w:tcPr>
          <w:p>
            <w:pPr>
              <w:spacing w:after="0" w:line="179" w:lineRule="exact"/>
              <w:rPr>
                <w:rFonts w:ascii="Arial" w:cs="Arial" w:eastAsia="Arial" w:hAnsi="Arial"/>
                <w:sz w:val="16"/>
                <w:szCs w:val="16"/>
                <w:color w:val="0000FF"/>
                <w:w w:val="89"/>
              </w:rPr>
            </w:pPr>
            <w:hyperlink w:anchor="page20">
              <w:r>
                <w:rPr>
                  <w:rFonts w:ascii="Arial" w:cs="Arial" w:eastAsia="Arial" w:hAnsi="Arial"/>
                  <w:sz w:val="16"/>
                  <w:szCs w:val="16"/>
                  <w:color w:val="0000FF"/>
                  <w:w w:val="89"/>
                </w:rPr>
                <w:t>Item 2. Management’s Discussion and Analysis of Financial Condition and Results of Operations</w:t>
              </w:r>
            </w:hyperlink>
          </w:p>
        </w:tc>
        <w:tc>
          <w:tcPr>
            <w:tcW w:w="408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20">
              <w:r>
                <w:rPr>
                  <w:rFonts w:ascii="Arial" w:cs="Arial" w:eastAsia="Arial" w:hAnsi="Arial"/>
                  <w:sz w:val="15"/>
                  <w:szCs w:val="15"/>
                  <w:color w:val="0000FF"/>
                  <w:w w:val="71"/>
                </w:rPr>
                <w:t>21</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6100" w:type="dxa"/>
            <w:vAlign w:val="bottom"/>
            <w:gridSpan w:val="14"/>
          </w:tcPr>
          <w:p>
            <w:pPr>
              <w:spacing w:after="0" w:line="179" w:lineRule="exact"/>
              <w:rPr>
                <w:rFonts w:ascii="Arial" w:cs="Arial" w:eastAsia="Arial" w:hAnsi="Arial"/>
                <w:sz w:val="16"/>
                <w:szCs w:val="16"/>
                <w:color w:val="0000FF"/>
              </w:rPr>
            </w:pPr>
            <w:hyperlink w:anchor="page41">
              <w:r>
                <w:rPr>
                  <w:rFonts w:ascii="Arial" w:cs="Arial" w:eastAsia="Arial" w:hAnsi="Arial"/>
                  <w:sz w:val="16"/>
                  <w:szCs w:val="16"/>
                  <w:color w:val="0000FF"/>
                </w:rPr>
                <w:t>Item 3. Quantitative and Qualitative Disclosures About Market Risk</w:t>
              </w:r>
            </w:hyperlink>
          </w:p>
        </w:tc>
        <w:tc>
          <w:tcPr>
            <w:tcW w:w="408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1">
              <w:r>
                <w:rPr>
                  <w:rFonts w:ascii="Arial" w:cs="Arial" w:eastAsia="Arial" w:hAnsi="Arial"/>
                  <w:sz w:val="15"/>
                  <w:szCs w:val="15"/>
                  <w:color w:val="0000FF"/>
                  <w:w w:val="71"/>
                </w:rPr>
                <w:t>41</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4260" w:type="dxa"/>
            <w:vAlign w:val="bottom"/>
            <w:gridSpan w:val="12"/>
          </w:tcPr>
          <w:p>
            <w:pPr>
              <w:spacing w:after="0" w:line="179" w:lineRule="exact"/>
              <w:rPr>
                <w:rFonts w:ascii="Arial" w:cs="Arial" w:eastAsia="Arial" w:hAnsi="Arial"/>
                <w:sz w:val="16"/>
                <w:szCs w:val="16"/>
                <w:color w:val="0000FF"/>
              </w:rPr>
            </w:pPr>
            <w:hyperlink w:anchor="page41">
              <w:r>
                <w:rPr>
                  <w:rFonts w:ascii="Arial" w:cs="Arial" w:eastAsia="Arial" w:hAnsi="Arial"/>
                  <w:sz w:val="16"/>
                  <w:szCs w:val="16"/>
                  <w:color w:val="0000FF"/>
                </w:rPr>
                <w:t>Item 4. Controls and Procedures</w:t>
              </w:r>
            </w:hyperlink>
          </w:p>
        </w:tc>
        <w:tc>
          <w:tcPr>
            <w:tcW w:w="592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1">
              <w:r>
                <w:rPr>
                  <w:rFonts w:ascii="Arial" w:cs="Arial" w:eastAsia="Arial" w:hAnsi="Arial"/>
                  <w:sz w:val="15"/>
                  <w:szCs w:val="15"/>
                  <w:color w:val="0000FF"/>
                  <w:w w:val="71"/>
                </w:rPr>
                <w:t>42</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2400" w:type="dxa"/>
            <w:vAlign w:val="bottom"/>
            <w:gridSpan w:val="9"/>
          </w:tcPr>
          <w:p>
            <w:pPr>
              <w:spacing w:after="0" w:line="179" w:lineRule="exact"/>
              <w:rPr>
                <w:rFonts w:ascii="Arial" w:cs="Arial" w:eastAsia="Arial" w:hAnsi="Arial"/>
                <w:sz w:val="16"/>
                <w:szCs w:val="16"/>
                <w:color w:val="0000FF"/>
                <w:w w:val="93"/>
              </w:rPr>
            </w:pPr>
            <w:hyperlink w:anchor="page42">
              <w:r>
                <w:rPr>
                  <w:rFonts w:ascii="Arial" w:cs="Arial" w:eastAsia="Arial" w:hAnsi="Arial"/>
                  <w:sz w:val="16"/>
                  <w:szCs w:val="16"/>
                  <w:color w:val="0000FF"/>
                  <w:w w:val="93"/>
                </w:rPr>
                <w:t>PART II — OTHER INFORMATION</w:t>
              </w:r>
            </w:hyperlink>
          </w:p>
        </w:tc>
        <w:tc>
          <w:tcPr>
            <w:tcW w:w="7960" w:type="dxa"/>
            <w:vAlign w:val="bottom"/>
            <w:gridSpan w:val="10"/>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2">
              <w:r>
                <w:rPr>
                  <w:rFonts w:ascii="Arial" w:cs="Arial" w:eastAsia="Arial" w:hAnsi="Arial"/>
                  <w:sz w:val="15"/>
                  <w:szCs w:val="15"/>
                  <w:color w:val="0000FF"/>
                  <w:w w:val="71"/>
                </w:rPr>
                <w:t>43</w:t>
              </w:r>
            </w:hyperlink>
          </w:p>
        </w:tc>
        <w:tc>
          <w:tcPr>
            <w:tcW w:w="40" w:type="dxa"/>
            <w:vAlign w:val="bottom"/>
          </w:tcPr>
          <w:p>
            <w:pPr>
              <w:spacing w:after="0"/>
              <w:rPr>
                <w:sz w:val="15"/>
                <w:szCs w:val="15"/>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220" w:type="dxa"/>
            <w:vAlign w:val="bottom"/>
            <w:gridSpan w:val="8"/>
          </w:tcPr>
          <w:p>
            <w:pPr>
              <w:spacing w:after="0" w:line="179" w:lineRule="exact"/>
              <w:rPr>
                <w:rFonts w:ascii="Arial" w:cs="Arial" w:eastAsia="Arial" w:hAnsi="Arial"/>
                <w:sz w:val="16"/>
                <w:szCs w:val="16"/>
                <w:color w:val="0000FF"/>
              </w:rPr>
            </w:pPr>
            <w:hyperlink w:anchor="page43">
              <w:r>
                <w:rPr>
                  <w:rFonts w:ascii="Arial" w:cs="Arial" w:eastAsia="Arial" w:hAnsi="Arial"/>
                  <w:sz w:val="16"/>
                  <w:szCs w:val="16"/>
                  <w:color w:val="0000FF"/>
                </w:rPr>
                <w:t>Item 1. Legal Proceedings</w:t>
              </w:r>
            </w:hyperlink>
          </w:p>
        </w:tc>
        <w:tc>
          <w:tcPr>
            <w:tcW w:w="7960" w:type="dxa"/>
            <w:vAlign w:val="bottom"/>
            <w:gridSpan w:val="10"/>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43</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1640" w:type="dxa"/>
            <w:vAlign w:val="bottom"/>
            <w:gridSpan w:val="6"/>
          </w:tcPr>
          <w:p>
            <w:pPr>
              <w:spacing w:after="0" w:line="179" w:lineRule="exact"/>
              <w:rPr>
                <w:rFonts w:ascii="Arial" w:cs="Arial" w:eastAsia="Arial" w:hAnsi="Arial"/>
                <w:sz w:val="16"/>
                <w:szCs w:val="16"/>
                <w:color w:val="0000FF"/>
              </w:rPr>
            </w:pPr>
            <w:hyperlink w:anchor="page43">
              <w:r>
                <w:rPr>
                  <w:rFonts w:ascii="Arial" w:cs="Arial" w:eastAsia="Arial" w:hAnsi="Arial"/>
                  <w:sz w:val="16"/>
                  <w:szCs w:val="16"/>
                  <w:color w:val="0000FF"/>
                </w:rPr>
                <w:t>Item 1A. Risk Factors</w:t>
              </w:r>
            </w:hyperlink>
          </w:p>
        </w:tc>
        <w:tc>
          <w:tcPr>
            <w:tcW w:w="8540" w:type="dxa"/>
            <w:vAlign w:val="bottom"/>
            <w:gridSpan w:val="12"/>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43</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4260" w:type="dxa"/>
            <w:vAlign w:val="bottom"/>
            <w:gridSpan w:val="12"/>
          </w:tcPr>
          <w:p>
            <w:pPr>
              <w:spacing w:after="0" w:line="179" w:lineRule="exact"/>
              <w:rPr>
                <w:rFonts w:ascii="Arial" w:cs="Arial" w:eastAsia="Arial" w:hAnsi="Arial"/>
                <w:sz w:val="16"/>
                <w:szCs w:val="16"/>
                <w:color w:val="0000FF"/>
                <w:w w:val="87"/>
              </w:rPr>
            </w:pPr>
            <w:hyperlink w:anchor="page43">
              <w:r>
                <w:rPr>
                  <w:rFonts w:ascii="Arial" w:cs="Arial" w:eastAsia="Arial" w:hAnsi="Arial"/>
                  <w:sz w:val="16"/>
                  <w:szCs w:val="16"/>
                  <w:color w:val="0000FF"/>
                  <w:w w:val="87"/>
                </w:rPr>
                <w:t>Item 2. Unregistered Sales of Equity Securities and Use of Proceeds</w:t>
              </w:r>
            </w:hyperlink>
          </w:p>
        </w:tc>
        <w:tc>
          <w:tcPr>
            <w:tcW w:w="592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43</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4260" w:type="dxa"/>
            <w:vAlign w:val="bottom"/>
            <w:gridSpan w:val="12"/>
          </w:tcPr>
          <w:p>
            <w:pPr>
              <w:spacing w:after="0" w:line="179" w:lineRule="exact"/>
              <w:rPr>
                <w:rFonts w:ascii="Arial" w:cs="Arial" w:eastAsia="Arial" w:hAnsi="Arial"/>
                <w:sz w:val="16"/>
                <w:szCs w:val="16"/>
                <w:color w:val="0000FF"/>
              </w:rPr>
            </w:pPr>
            <w:hyperlink w:anchor="page43">
              <w:r>
                <w:rPr>
                  <w:rFonts w:ascii="Arial" w:cs="Arial" w:eastAsia="Arial" w:hAnsi="Arial"/>
                  <w:sz w:val="16"/>
                  <w:szCs w:val="16"/>
                  <w:color w:val="0000FF"/>
                </w:rPr>
                <w:t>Item 6. Exhibits</w:t>
              </w:r>
            </w:hyperlink>
          </w:p>
        </w:tc>
        <w:tc>
          <w:tcPr>
            <w:tcW w:w="592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2"/>
          </w:tcPr>
          <w:p>
            <w:pPr>
              <w:jc w:val="center"/>
              <w:ind w:right="360"/>
              <w:spacing w:after="0"/>
              <w:rPr>
                <w:rFonts w:ascii="Arial" w:cs="Arial" w:eastAsia="Arial" w:hAnsi="Arial"/>
                <w:sz w:val="15"/>
                <w:szCs w:val="15"/>
                <w:color w:val="0000FF"/>
                <w:w w:val="71"/>
              </w:rPr>
            </w:pPr>
            <w:hyperlink w:anchor="page43">
              <w:r>
                <w:rPr>
                  <w:rFonts w:ascii="Arial" w:cs="Arial" w:eastAsia="Arial" w:hAnsi="Arial"/>
                  <w:sz w:val="15"/>
                  <w:szCs w:val="15"/>
                  <w:color w:val="0000FF"/>
                  <w:w w:val="71"/>
                </w:rPr>
                <w:t>44</w:t>
              </w:r>
            </w:hyperlink>
          </w:p>
        </w:tc>
        <w:tc>
          <w:tcPr>
            <w:tcW w:w="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1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9"/>
        </w:trPr>
        <w:tc>
          <w:tcPr>
            <w:tcW w:w="10360" w:type="dxa"/>
            <w:vAlign w:val="bottom"/>
            <w:gridSpan w:val="19"/>
          </w:tcPr>
          <w:p>
            <w:pPr>
              <w:spacing w:after="0" w:line="179" w:lineRule="exact"/>
              <w:rPr>
                <w:rFonts w:ascii="Arial" w:cs="Arial" w:eastAsia="Arial" w:hAnsi="Arial"/>
                <w:sz w:val="16"/>
                <w:szCs w:val="16"/>
                <w:color w:val="0000FF"/>
              </w:rPr>
            </w:pPr>
            <w:hyperlink w:anchor="page44">
              <w:r>
                <w:rPr>
                  <w:rFonts w:ascii="Arial" w:cs="Arial" w:eastAsia="Arial" w:hAnsi="Arial"/>
                  <w:sz w:val="16"/>
                  <w:szCs w:val="16"/>
                  <w:color w:val="0000FF"/>
                </w:rPr>
                <w:t>SIGNATURES</w:t>
              </w:r>
            </w:hyperlink>
          </w:p>
        </w:tc>
        <w:tc>
          <w:tcPr>
            <w:tcW w:w="860" w:type="dxa"/>
            <w:vAlign w:val="bottom"/>
            <w:gridSpan w:val="3"/>
          </w:tcPr>
          <w:p>
            <w:pPr>
              <w:jc w:val="center"/>
              <w:ind w:right="20"/>
              <w:spacing w:after="0" w:line="179" w:lineRule="exact"/>
              <w:rPr>
                <w:rFonts w:ascii="Arial" w:cs="Arial" w:eastAsia="Arial" w:hAnsi="Arial"/>
                <w:sz w:val="16"/>
                <w:szCs w:val="16"/>
                <w:color w:val="0000FF"/>
                <w:w w:val="89"/>
              </w:rPr>
            </w:pPr>
            <w:hyperlink w:anchor="page44">
              <w:r>
                <w:rPr>
                  <w:rFonts w:ascii="Arial" w:cs="Arial" w:eastAsia="Arial" w:hAnsi="Arial"/>
                  <w:sz w:val="16"/>
                  <w:szCs w:val="16"/>
                  <w:color w:val="0000FF"/>
                  <w:w w:val="89"/>
                </w:rPr>
                <w:t>45</w:t>
              </w:r>
            </w:hyperlink>
          </w:p>
        </w:tc>
        <w:tc>
          <w:tcPr>
            <w:tcW w:w="40" w:type="dxa"/>
            <w:vAlign w:val="bottom"/>
          </w:tcPr>
          <w:p>
            <w:pPr>
              <w:spacing w:after="0"/>
              <w:rPr>
                <w:sz w:val="15"/>
                <w:szCs w:val="15"/>
                <w:color w:val="auto"/>
              </w:rPr>
            </w:pPr>
          </w:p>
        </w:tc>
      </w:tr>
      <w:tr>
        <w:trPr>
          <w:trHeight w:val="886"/>
        </w:trPr>
        <w:tc>
          <w:tcPr>
            <w:tcW w:w="1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 Unaudited</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144"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CONDENSED CONSOLIDATED BALANCE SHEETS — 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1180" w:type="dxa"/>
            <w:vAlign w:val="bottom"/>
          </w:tcPr>
          <w:p>
            <w:pPr>
              <w:jc w:val="right"/>
              <w:ind w:right="258"/>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3"/>
        </w:trPr>
        <w:tc>
          <w:tcPr>
            <w:tcW w:w="84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5"/>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400" w:type="dxa"/>
            <w:vAlign w:val="bottom"/>
          </w:tcPr>
          <w:p>
            <w:pPr>
              <w:spacing w:after="0"/>
              <w:rPr>
                <w:sz w:val="20"/>
                <w:szCs w:val="20"/>
                <w:color w:val="auto"/>
              </w:rPr>
            </w:pPr>
            <w:r>
              <w:rPr>
                <w:rFonts w:ascii="Arial" w:cs="Arial" w:eastAsia="Arial" w:hAnsi="Arial"/>
                <w:sz w:val="12"/>
                <w:szCs w:val="12"/>
                <w:color w:val="auto"/>
              </w:rPr>
              <w:t>Current assets</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Cash</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57,916</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Restricted cash</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34,576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33,467</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receivable</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Pr>
          <w:p>
            <w:pPr>
              <w:ind w:left="580"/>
              <w:spacing w:after="0"/>
              <w:rPr>
                <w:sz w:val="20"/>
                <w:szCs w:val="20"/>
                <w:color w:val="auto"/>
              </w:rPr>
            </w:pPr>
            <w:r>
              <w:rPr>
                <w:rFonts w:ascii="Arial" w:cs="Arial" w:eastAsia="Arial" w:hAnsi="Arial"/>
                <w:sz w:val="12"/>
                <w:szCs w:val="12"/>
                <w:color w:val="auto"/>
              </w:rPr>
              <w:t>Oil and natural gas revenues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154,077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85,098</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Joint interest billings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34,823</w:t>
            </w:r>
          </w:p>
        </w:tc>
        <w:tc>
          <w:tcPr>
            <w:tcW w:w="0" w:type="dxa"/>
            <w:vAlign w:val="bottom"/>
          </w:tcPr>
          <w:p>
            <w:pPr>
              <w:spacing w:after="0"/>
              <w:rPr>
                <w:sz w:val="1"/>
                <w:szCs w:val="1"/>
                <w:color w:val="auto"/>
              </w:rPr>
            </w:pPr>
          </w:p>
        </w:tc>
      </w:tr>
      <w:tr>
        <w:trPr>
          <w:trHeight w:val="161"/>
        </w:trPr>
        <w:tc>
          <w:tcPr>
            <w:tcW w:w="8400" w:type="dxa"/>
            <w:vAlign w:val="bottom"/>
          </w:tcPr>
          <w:p>
            <w:pPr>
              <w:ind w:left="580"/>
              <w:spacing w:after="0"/>
              <w:rPr>
                <w:sz w:val="20"/>
                <w:szCs w:val="20"/>
                <w:color w:val="auto"/>
              </w:rPr>
            </w:pPr>
            <w:r>
              <w:rPr>
                <w:rFonts w:ascii="Arial" w:cs="Arial" w:eastAsia="Arial" w:hAnsi="Arial"/>
                <w:sz w:val="12"/>
                <w:szCs w:val="12"/>
                <w:color w:val="auto"/>
              </w:rPr>
              <w:t>Other</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19,826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17,212</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Derivative instruments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6,727</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Lease and well equipment inventory</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11,657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10,584</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Prepaid expenses and other 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20,559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15,802</w:t>
            </w:r>
          </w:p>
        </w:tc>
        <w:tc>
          <w:tcPr>
            <w:tcW w:w="0" w:type="dxa"/>
            <w:vAlign w:val="bottom"/>
          </w:tcPr>
          <w:p>
            <w:pPr>
              <w:spacing w:after="0"/>
              <w:rPr>
                <w:sz w:val="1"/>
                <w:szCs w:val="1"/>
                <w:color w:val="auto"/>
              </w:rPr>
            </w:pPr>
          </w:p>
        </w:tc>
      </w:tr>
      <w:tr>
        <w:trPr>
          <w:trHeight w:val="152"/>
        </w:trPr>
        <w:tc>
          <w:tcPr>
            <w:tcW w:w="8400" w:type="dxa"/>
            <w:vAlign w:val="bottom"/>
          </w:tcPr>
          <w:p>
            <w:pPr>
              <w:ind w:left="960"/>
              <w:spacing w:after="0"/>
              <w:rPr>
                <w:sz w:val="20"/>
                <w:szCs w:val="20"/>
                <w:color w:val="auto"/>
              </w:rPr>
            </w:pPr>
            <w:r>
              <w:rPr>
                <w:rFonts w:ascii="Arial" w:cs="Arial" w:eastAsia="Arial" w:hAnsi="Arial"/>
                <w:sz w:val="12"/>
                <w:szCs w:val="12"/>
                <w:color w:val="auto"/>
              </w:rPr>
              <w:t>Total current assets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333,628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261,629</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at cost</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Oil and natural gas properties, full-cost method</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Evaluated</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5,514,224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5,295,931</w:t>
            </w:r>
          </w:p>
        </w:tc>
        <w:tc>
          <w:tcPr>
            <w:tcW w:w="0" w:type="dxa"/>
            <w:vAlign w:val="bottom"/>
          </w:tcPr>
          <w:p>
            <w:pPr>
              <w:spacing w:after="0"/>
              <w:rPr>
                <w:sz w:val="1"/>
                <w:szCs w:val="1"/>
                <w:color w:val="auto"/>
              </w:rPr>
            </w:pPr>
          </w:p>
        </w:tc>
      </w:tr>
      <w:tr>
        <w:trPr>
          <w:trHeight w:val="161"/>
        </w:trPr>
        <w:tc>
          <w:tcPr>
            <w:tcW w:w="8400" w:type="dxa"/>
            <w:vAlign w:val="bottom"/>
          </w:tcPr>
          <w:p>
            <w:pPr>
              <w:ind w:left="580"/>
              <w:spacing w:after="0"/>
              <w:rPr>
                <w:sz w:val="20"/>
                <w:szCs w:val="20"/>
                <w:color w:val="auto"/>
              </w:rPr>
            </w:pPr>
            <w:r>
              <w:rPr>
                <w:rFonts w:ascii="Arial" w:cs="Arial" w:eastAsia="Arial" w:hAnsi="Arial"/>
                <w:sz w:val="12"/>
                <w:szCs w:val="12"/>
                <w:color w:val="auto"/>
              </w:rPr>
              <w:t>Unproved and unevaluated</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926,492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902,133</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Midstream properties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859,189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841,695</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Other property and equipment</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29,983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29,561</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accumulated depletion, depreciation and amortization</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(3,867,858)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(3,701,551)</w:t>
            </w:r>
          </w:p>
        </w:tc>
        <w:tc>
          <w:tcPr>
            <w:tcW w:w="0" w:type="dxa"/>
            <w:vAlign w:val="bottom"/>
          </w:tcPr>
          <w:p>
            <w:pPr>
              <w:spacing w:after="0"/>
              <w:rPr>
                <w:sz w:val="1"/>
                <w:szCs w:val="1"/>
                <w:color w:val="auto"/>
              </w:rPr>
            </w:pPr>
          </w:p>
        </w:tc>
      </w:tr>
      <w:tr>
        <w:trPr>
          <w:trHeight w:val="152"/>
        </w:trPr>
        <w:tc>
          <w:tcPr>
            <w:tcW w:w="8400" w:type="dxa"/>
            <w:vAlign w:val="bottom"/>
          </w:tcPr>
          <w:p>
            <w:pPr>
              <w:ind w:left="960"/>
              <w:spacing w:after="0"/>
              <w:rPr>
                <w:sz w:val="20"/>
                <w:szCs w:val="20"/>
                <w:color w:val="auto"/>
              </w:rPr>
            </w:pPr>
            <w:r>
              <w:rPr>
                <w:rFonts w:ascii="Arial" w:cs="Arial" w:eastAsia="Arial" w:hAnsi="Arial"/>
                <w:sz w:val="12"/>
                <w:szCs w:val="12"/>
                <w:color w:val="auto"/>
              </w:rPr>
              <w:t>Net property and equipment</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3,462,030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3,367,769</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Derivative instruments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2,570</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 long-term assets</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36,467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55,312</w:t>
            </w:r>
          </w:p>
        </w:tc>
        <w:tc>
          <w:tcPr>
            <w:tcW w:w="0" w:type="dxa"/>
            <w:vAlign w:val="bottom"/>
          </w:tcPr>
          <w:p>
            <w:pPr>
              <w:spacing w:after="0"/>
              <w:rPr>
                <w:sz w:val="1"/>
                <w:szCs w:val="1"/>
                <w:color w:val="auto"/>
              </w:rPr>
            </w:pPr>
          </w:p>
        </w:tc>
      </w:tr>
      <w:tr>
        <w:trPr>
          <w:trHeight w:val="152"/>
        </w:trPr>
        <w:tc>
          <w:tcPr>
            <w:tcW w:w="8400" w:type="dxa"/>
            <w:vAlign w:val="bottom"/>
          </w:tcPr>
          <w:p>
            <w:pPr>
              <w:ind w:left="960"/>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3,834,549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3,687,280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4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LIABILITIES AND SHAREHOLDERS’ EQUITY</w:t>
            </w: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00" w:type="dxa"/>
            <w:vAlign w:val="bottom"/>
          </w:tcPr>
          <w:p>
            <w:pPr>
              <w:spacing w:after="0"/>
              <w:rPr>
                <w:sz w:val="20"/>
                <w:szCs w:val="20"/>
                <w:color w:val="auto"/>
              </w:rPr>
            </w:pPr>
            <w:r>
              <w:rPr>
                <w:rFonts w:ascii="Arial" w:cs="Arial" w:eastAsia="Arial" w:hAnsi="Arial"/>
                <w:sz w:val="12"/>
                <w:szCs w:val="12"/>
                <w:color w:val="auto"/>
              </w:rPr>
              <w:t>Current liabilities</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Accounts payable</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13,982</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Accrued liabilities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151,051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119,158</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Royalties payable</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66,049</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Amounts due to affiliates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4,934</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Derivative instruments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45,186</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Advances from joint interest owners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4,191</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25,982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37,436</w:t>
            </w:r>
          </w:p>
        </w:tc>
        <w:tc>
          <w:tcPr>
            <w:tcW w:w="0" w:type="dxa"/>
            <w:vAlign w:val="bottom"/>
          </w:tcPr>
          <w:p>
            <w:pPr>
              <w:spacing w:after="0"/>
              <w:rPr>
                <w:sz w:val="1"/>
                <w:szCs w:val="1"/>
                <w:color w:val="auto"/>
              </w:rPr>
            </w:pPr>
          </w:p>
        </w:tc>
      </w:tr>
      <w:tr>
        <w:trPr>
          <w:trHeight w:val="152"/>
        </w:trPr>
        <w:tc>
          <w:tcPr>
            <w:tcW w:w="8400" w:type="dxa"/>
            <w:vAlign w:val="bottom"/>
          </w:tcPr>
          <w:p>
            <w:pPr>
              <w:ind w:left="960"/>
              <w:spacing w:after="0"/>
              <w:rPr>
                <w:sz w:val="20"/>
                <w:szCs w:val="20"/>
                <w:color w:val="auto"/>
              </w:rPr>
            </w:pPr>
            <w:r>
              <w:rPr>
                <w:rFonts w:ascii="Arial" w:cs="Arial" w:eastAsia="Arial" w:hAnsi="Arial"/>
                <w:sz w:val="12"/>
                <w:szCs w:val="12"/>
                <w:color w:val="auto"/>
              </w:rPr>
              <w:t>Total current liabilities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422,580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290,936</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Long-term liabilities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Borrowings under Credit Agreement</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440,000</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Borrowings under San Mateo Credit Facility</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334,000</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Senior unsecured notes payable</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1,041,789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1,040,998</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 retirement obligations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37,919</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Derivative instruments</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income taxes</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84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Other long-term liabilities</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24,946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30,402</w:t>
            </w:r>
          </w:p>
        </w:tc>
        <w:tc>
          <w:tcPr>
            <w:tcW w:w="0" w:type="dxa"/>
            <w:vAlign w:val="bottom"/>
          </w:tcPr>
          <w:p>
            <w:pPr>
              <w:spacing w:after="0"/>
              <w:rPr>
                <w:sz w:val="1"/>
                <w:szCs w:val="1"/>
                <w:color w:val="auto"/>
              </w:rPr>
            </w:pPr>
          </w:p>
        </w:tc>
      </w:tr>
      <w:tr>
        <w:trPr>
          <w:trHeight w:val="159"/>
        </w:trPr>
        <w:tc>
          <w:tcPr>
            <w:tcW w:w="8400" w:type="dxa"/>
            <w:vAlign w:val="bottom"/>
            <w:shd w:val="clear" w:color="auto" w:fill="CCEEFF"/>
          </w:tcPr>
          <w:p>
            <w:pPr>
              <w:ind w:left="960"/>
              <w:spacing w:after="0"/>
              <w:rPr>
                <w:sz w:val="20"/>
                <w:szCs w:val="20"/>
                <w:color w:val="auto"/>
              </w:rPr>
            </w:pPr>
            <w:r>
              <w:rPr>
                <w:rFonts w:ascii="Arial" w:cs="Arial" w:eastAsia="Arial" w:hAnsi="Arial"/>
                <w:sz w:val="12"/>
                <w:szCs w:val="12"/>
                <w:color w:val="auto"/>
              </w:rPr>
              <w:t>Total long-term liabilities</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1,709,843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1,883,319</w:t>
            </w:r>
          </w:p>
        </w:tc>
        <w:tc>
          <w:tcPr>
            <w:tcW w:w="0" w:type="dxa"/>
            <w:vAlign w:val="bottom"/>
          </w:tcPr>
          <w:p>
            <w:pPr>
              <w:spacing w:after="0"/>
              <w:rPr>
                <w:sz w:val="1"/>
                <w:szCs w:val="1"/>
                <w:color w:val="auto"/>
              </w:rPr>
            </w:pPr>
          </w:p>
        </w:tc>
      </w:tr>
      <w:tr>
        <w:trPr>
          <w:trHeight w:val="161"/>
        </w:trPr>
        <w:tc>
          <w:tcPr>
            <w:tcW w:w="8400" w:type="dxa"/>
            <w:vAlign w:val="bottom"/>
          </w:tcPr>
          <w:p>
            <w:pPr>
              <w:spacing w:after="0"/>
              <w:rPr>
                <w:sz w:val="20"/>
                <w:szCs w:val="20"/>
                <w:color w:val="auto"/>
              </w:rPr>
            </w:pPr>
            <w:r>
              <w:rPr>
                <w:rFonts w:ascii="Arial" w:cs="Arial" w:eastAsia="Arial" w:hAnsi="Arial"/>
                <w:sz w:val="12"/>
                <w:szCs w:val="12"/>
                <w:color w:val="auto"/>
              </w:rPr>
              <w:t>Commitments and contingencies (Note 9)</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400" w:type="dxa"/>
            <w:vAlign w:val="bottom"/>
          </w:tcPr>
          <w:p>
            <w:pPr>
              <w:ind w:left="440"/>
              <w:spacing w:after="0" w:line="117" w:lineRule="exact"/>
              <w:rPr>
                <w:sz w:val="20"/>
                <w:szCs w:val="20"/>
                <w:color w:val="auto"/>
              </w:rPr>
            </w:pPr>
            <w:r>
              <w:rPr>
                <w:rFonts w:ascii="Arial" w:cs="Arial" w:eastAsia="Arial" w:hAnsi="Arial"/>
                <w:sz w:val="12"/>
                <w:szCs w:val="12"/>
                <w:color w:val="auto"/>
                <w:w w:val="96"/>
              </w:rPr>
              <w:t>Common stock - $0.01 par value, 160,000,000 shares authorized; 117,123,379 and 116,847,003 shares issued; and 116,992,831 and 116,844,768 shares</w:t>
            </w:r>
          </w:p>
        </w:tc>
        <w:tc>
          <w:tcPr>
            <w:tcW w:w="2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1,171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color w:val="auto"/>
              </w:rPr>
              <w:t>1,169</w:t>
            </w:r>
          </w:p>
        </w:tc>
        <w:tc>
          <w:tcPr>
            <w:tcW w:w="0" w:type="dxa"/>
            <w:vAlign w:val="bottom"/>
          </w:tcPr>
          <w:p>
            <w:pPr>
              <w:spacing w:after="0"/>
              <w:rPr>
                <w:sz w:val="1"/>
                <w:szCs w:val="1"/>
                <w:color w:val="auto"/>
              </w:rPr>
            </w:pPr>
          </w:p>
        </w:tc>
      </w:tr>
      <w:tr>
        <w:trPr>
          <w:trHeight w:val="161"/>
        </w:trPr>
        <w:tc>
          <w:tcPr>
            <w:tcW w:w="8400" w:type="dxa"/>
            <w:vAlign w:val="bottom"/>
          </w:tcPr>
          <w:p>
            <w:pPr>
              <w:ind w:left="440"/>
              <w:spacing w:after="0"/>
              <w:rPr>
                <w:sz w:val="20"/>
                <w:szCs w:val="20"/>
                <w:color w:val="auto"/>
              </w:rPr>
            </w:pPr>
            <w:r>
              <w:rPr>
                <w:rFonts w:ascii="Arial" w:cs="Arial" w:eastAsia="Arial" w:hAnsi="Arial"/>
                <w:sz w:val="12"/>
                <w:szCs w:val="12"/>
                <w:color w:val="auto"/>
              </w:rPr>
              <w:t>outstanding, respectively</w:t>
            </w:r>
          </w:p>
        </w:tc>
        <w:tc>
          <w:tcPr>
            <w:tcW w:w="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2,061,815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2,027,069</w:t>
            </w:r>
          </w:p>
        </w:tc>
        <w:tc>
          <w:tcPr>
            <w:tcW w:w="0" w:type="dxa"/>
            <w:vAlign w:val="bottom"/>
          </w:tcPr>
          <w:p>
            <w:pPr>
              <w:spacing w:after="0"/>
              <w:rPr>
                <w:sz w:val="1"/>
                <w:szCs w:val="1"/>
                <w:color w:val="auto"/>
              </w:rPr>
            </w:pPr>
          </w:p>
        </w:tc>
      </w:tr>
      <w:tr>
        <w:trPr>
          <w:trHeight w:val="161"/>
        </w:trPr>
        <w:tc>
          <w:tcPr>
            <w:tcW w:w="8400" w:type="dxa"/>
            <w:vAlign w:val="bottom"/>
          </w:tcPr>
          <w:p>
            <w:pPr>
              <w:ind w:left="300"/>
              <w:spacing w:after="0"/>
              <w:rPr>
                <w:sz w:val="20"/>
                <w:szCs w:val="20"/>
                <w:color w:val="auto"/>
              </w:rPr>
            </w:pPr>
            <w:r>
              <w:rPr>
                <w:rFonts w:ascii="Arial" w:cs="Arial" w:eastAsia="Arial" w:hAnsi="Arial"/>
                <w:sz w:val="12"/>
                <w:szCs w:val="12"/>
                <w:color w:val="auto"/>
              </w:rPr>
              <w:t>Accumulated deficit</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(580,981)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(741,705)</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Treasury stock, at cost, 130,548 and 2,235 shares, respectively</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2"/>
        </w:trPr>
        <w:tc>
          <w:tcPr>
            <w:tcW w:w="8400" w:type="dxa"/>
            <w:vAlign w:val="bottom"/>
          </w:tcPr>
          <w:p>
            <w:pPr>
              <w:ind w:left="960"/>
              <w:spacing w:after="0"/>
              <w:rPr>
                <w:sz w:val="20"/>
                <w:szCs w:val="20"/>
                <w:color w:val="auto"/>
              </w:rPr>
            </w:pPr>
            <w:r>
              <w:rPr>
                <w:rFonts w:ascii="Arial" w:cs="Arial" w:eastAsia="Arial" w:hAnsi="Arial"/>
                <w:sz w:val="12"/>
                <w:szCs w:val="12"/>
                <w:color w:val="auto"/>
              </w:rPr>
              <w:t>Total Matador Resources Company shareholders’ equity</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1,479,762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1,286,530</w:t>
            </w:r>
          </w:p>
        </w:tc>
        <w:tc>
          <w:tcPr>
            <w:tcW w:w="0" w:type="dxa"/>
            <w:vAlign w:val="bottom"/>
          </w:tcPr>
          <w:p>
            <w:pPr>
              <w:spacing w:after="0"/>
              <w:rPr>
                <w:sz w:val="1"/>
                <w:szCs w:val="1"/>
                <w:color w:val="auto"/>
              </w:rPr>
            </w:pPr>
          </w:p>
        </w:tc>
      </w:tr>
      <w:tr>
        <w:trPr>
          <w:trHeight w:val="167"/>
        </w:trPr>
        <w:tc>
          <w:tcPr>
            <w:tcW w:w="84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Non-controlling interest in subsidiaries</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222,364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226,495</w:t>
            </w:r>
          </w:p>
        </w:tc>
        <w:tc>
          <w:tcPr>
            <w:tcW w:w="0" w:type="dxa"/>
            <w:vAlign w:val="bottom"/>
          </w:tcPr>
          <w:p>
            <w:pPr>
              <w:spacing w:after="0"/>
              <w:rPr>
                <w:sz w:val="1"/>
                <w:szCs w:val="1"/>
                <w:color w:val="auto"/>
              </w:rPr>
            </w:pPr>
          </w:p>
        </w:tc>
      </w:tr>
      <w:tr>
        <w:trPr>
          <w:trHeight w:val="152"/>
        </w:trPr>
        <w:tc>
          <w:tcPr>
            <w:tcW w:w="8400" w:type="dxa"/>
            <w:vAlign w:val="bottom"/>
            <w:tcBorders>
              <w:bottom w:val="single" w:sz="8" w:color="CCEEFF"/>
            </w:tcBorders>
          </w:tcPr>
          <w:p>
            <w:pPr>
              <w:ind w:left="960"/>
              <w:spacing w:after="0"/>
              <w:rPr>
                <w:sz w:val="20"/>
                <w:szCs w:val="20"/>
                <w:color w:val="auto"/>
              </w:rPr>
            </w:pPr>
            <w:r>
              <w:rPr>
                <w:rFonts w:ascii="Arial" w:cs="Arial" w:eastAsia="Arial" w:hAnsi="Arial"/>
                <w:sz w:val="12"/>
                <w:szCs w:val="12"/>
                <w:color w:val="auto"/>
              </w:rPr>
              <w:t>Total shareholders’ equity</w:t>
            </w: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1,702,126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1,513,025</w:t>
            </w:r>
          </w:p>
        </w:tc>
        <w:tc>
          <w:tcPr>
            <w:tcW w:w="0" w:type="dxa"/>
            <w:vAlign w:val="bottom"/>
          </w:tcPr>
          <w:p>
            <w:pPr>
              <w:spacing w:after="0"/>
              <w:rPr>
                <w:sz w:val="1"/>
                <w:szCs w:val="1"/>
                <w:color w:val="auto"/>
              </w:rPr>
            </w:pPr>
          </w:p>
        </w:tc>
      </w:tr>
      <w:tr>
        <w:trPr>
          <w:trHeight w:val="181"/>
        </w:trPr>
        <w:tc>
          <w:tcPr>
            <w:tcW w:w="84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2"/>
                <w:szCs w:val="12"/>
                <w:color w:val="auto"/>
              </w:rPr>
              <w:t>Total liabilities and shareholders’ equity</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3,834,549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3,687,280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8"/>
        </w:trPr>
        <w:tc>
          <w:tcPr>
            <w:tcW w:w="1100" w:type="dxa"/>
            <w:vAlign w:val="bottom"/>
            <w:tcBorders>
              <w:top w:val="single" w:sz="8" w:color="0000FF"/>
            </w:tcBorders>
          </w:tcPr>
          <w:p>
            <w:pPr>
              <w:spacing w:after="0"/>
              <w:rPr>
                <w:sz w:val="24"/>
                <w:szCs w:val="24"/>
                <w:color w:val="auto"/>
              </w:rPr>
            </w:pPr>
          </w:p>
        </w:tc>
        <w:tc>
          <w:tcPr>
            <w:tcW w:w="6840" w:type="dxa"/>
            <w:vAlign w:val="bottom"/>
            <w:gridSpan w:val="4"/>
          </w:tcPr>
          <w:p>
            <w:pPr>
              <w:jc w:val="center"/>
              <w:ind w:left="2142"/>
              <w:spacing w:after="0"/>
              <w:rPr>
                <w:sz w:val="20"/>
                <w:szCs w:val="20"/>
                <w:color w:val="auto"/>
              </w:rPr>
            </w:pPr>
            <w:r>
              <w:rPr>
                <w:rFonts w:ascii="Arial" w:cs="Arial" w:eastAsia="Arial" w:hAnsi="Arial"/>
                <w:sz w:val="16"/>
                <w:szCs w:val="16"/>
                <w:b w:val="1"/>
                <w:bCs w:val="1"/>
                <w:color w:val="auto"/>
                <w:w w:val="87"/>
              </w:rPr>
              <w:t>Matador Resources Company and Subsidiaries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100" w:type="dxa"/>
            <w:vAlign w:val="bottom"/>
          </w:tcPr>
          <w:p>
            <w:pPr>
              <w:spacing w:after="0"/>
              <w:rPr>
                <w:sz w:val="24"/>
                <w:szCs w:val="24"/>
                <w:color w:val="auto"/>
              </w:rPr>
            </w:pPr>
          </w:p>
        </w:tc>
        <w:tc>
          <w:tcPr>
            <w:tcW w:w="7980" w:type="dxa"/>
            <w:vAlign w:val="bottom"/>
            <w:gridSpan w:val="7"/>
          </w:tcPr>
          <w:p>
            <w:pPr>
              <w:jc w:val="center"/>
              <w:ind w:left="1002"/>
              <w:spacing w:after="0"/>
              <w:rPr>
                <w:sz w:val="20"/>
                <w:szCs w:val="20"/>
                <w:color w:val="auto"/>
              </w:rPr>
            </w:pPr>
            <w:r>
              <w:rPr>
                <w:rFonts w:ascii="Arial" w:cs="Arial" w:eastAsia="Arial" w:hAnsi="Arial"/>
                <w:sz w:val="16"/>
                <w:szCs w:val="16"/>
                <w:b w:val="1"/>
                <w:bCs w:val="1"/>
                <w:color w:val="auto"/>
                <w:w w:val="97"/>
              </w:rPr>
              <w:t>CONDENSED CONSOLIDATED STATEMENTS OF OPERATIONS — UNAUDITED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940" w:type="dxa"/>
            <w:vAlign w:val="bottom"/>
            <w:gridSpan w:val="2"/>
          </w:tcPr>
          <w:p>
            <w:pPr>
              <w:jc w:val="center"/>
              <w:ind w:left="3022"/>
              <w:spacing w:after="0"/>
              <w:rPr>
                <w:sz w:val="20"/>
                <w:szCs w:val="20"/>
                <w:color w:val="auto"/>
              </w:rPr>
            </w:pPr>
            <w:r>
              <w:rPr>
                <w:rFonts w:ascii="Arial" w:cs="Arial" w:eastAsia="Arial" w:hAnsi="Arial"/>
                <w:sz w:val="16"/>
                <w:szCs w:val="16"/>
                <w:b w:val="1"/>
                <w:bCs w:val="1"/>
                <w:color w:val="auto"/>
                <w:w w:val="87"/>
              </w:rPr>
              <w:t>(In thousands, except per share data)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2"/>
                <w:szCs w:val="22"/>
                <w:color w:val="auto"/>
              </w:rPr>
            </w:pPr>
          </w:p>
        </w:tc>
        <w:tc>
          <w:tcPr>
            <w:tcW w:w="1940" w:type="dxa"/>
            <w:vAlign w:val="bottom"/>
            <w:gridSpan w:val="4"/>
          </w:tcPr>
          <w:p>
            <w:pPr>
              <w:jc w:val="right"/>
              <w:ind w:right="42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10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9"/>
        </w:trPr>
        <w:tc>
          <w:tcPr>
            <w:tcW w:w="682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Oil and natural gas revenues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412,074</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118,767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728,307</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316,681</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Third-party midstream services revenues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30,498</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Sales of purchased natural gas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24,525</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bonus - mineral acreage</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Realized (loss) gain on derivatives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54,977</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(loss) gain on derivatives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191"/>
        </w:trPr>
        <w:tc>
          <w:tcPr>
            <w:tcW w:w="6820" w:type="dxa"/>
            <w:vAlign w:val="bottom"/>
            <w:gridSpan w:val="2"/>
          </w:tcPr>
          <w:p>
            <w:pPr>
              <w:ind w:left="580"/>
              <w:spacing w:after="0" w:line="179" w:lineRule="exact"/>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357,427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62,920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434,505</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Production taxes, transportation and processing</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40,513</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operating</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57,072</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Plant and other midstream services operating</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19,744</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Purchased natural gas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18,980</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Depletion, depreciation and amortization</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91,444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184,057</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Accretion of asset retirement obligations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Full-cost ceiling impairment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324,001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324,001</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30,945</w:t>
            </w: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gridSpan w:val="2"/>
          </w:tcPr>
          <w:p>
            <w:pPr>
              <w:ind w:left="580"/>
              <w:spacing w:after="0" w:line="179" w:lineRule="exact"/>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498,230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676,283</w:t>
            </w:r>
          </w:p>
        </w:tc>
        <w:tc>
          <w:tcPr>
            <w:tcW w:w="0" w:type="dxa"/>
            <w:vAlign w:val="bottom"/>
          </w:tcPr>
          <w:p>
            <w:pPr>
              <w:spacing w:after="0"/>
              <w:rPr>
                <w:sz w:val="1"/>
                <w:szCs w:val="1"/>
                <w:color w:val="auto"/>
              </w:rPr>
            </w:pPr>
          </w:p>
        </w:tc>
      </w:tr>
      <w:tr>
        <w:trPr>
          <w:trHeight w:val="191"/>
        </w:trPr>
        <w:tc>
          <w:tcPr>
            <w:tcW w:w="682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237,769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(241,778)</w:t>
            </w:r>
          </w:p>
        </w:tc>
        <w:tc>
          <w:tcPr>
            <w:tcW w:w="0" w:type="dxa"/>
            <w:vAlign w:val="bottom"/>
          </w:tcPr>
          <w:p>
            <w:pPr>
              <w:spacing w:after="0"/>
              <w:rPr>
                <w:sz w:val="1"/>
                <w:szCs w:val="1"/>
                <w:color w:val="auto"/>
              </w:rPr>
            </w:pPr>
          </w:p>
        </w:tc>
      </w:tr>
      <w:tr>
        <w:trPr>
          <w:trHeight w:val="199"/>
        </w:trPr>
        <w:tc>
          <w:tcPr>
            <w:tcW w:w="682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 on asset sales and impairment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(38,109)</w:t>
            </w: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gridSpan w:val="2"/>
          </w:tcPr>
          <w:p>
            <w:pPr>
              <w:ind w:left="580"/>
              <w:spacing w:after="0" w:line="179" w:lineRule="exact"/>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w:t>
            </w:r>
          </w:p>
        </w:tc>
        <w:tc>
          <w:tcPr>
            <w:tcW w:w="0" w:type="dxa"/>
            <w:vAlign w:val="bottom"/>
          </w:tcPr>
          <w:p>
            <w:pPr>
              <w:spacing w:after="0"/>
              <w:rPr>
                <w:sz w:val="1"/>
                <w:szCs w:val="1"/>
                <w:color w:val="auto"/>
              </w:rPr>
            </w:pPr>
          </w:p>
        </w:tc>
      </w:tr>
      <w:tr>
        <w:trPr>
          <w:trHeight w:val="191"/>
        </w:trPr>
        <w:tc>
          <w:tcPr>
            <w:tcW w:w="6820" w:type="dxa"/>
            <w:vAlign w:val="bottom"/>
            <w:gridSpan w:val="2"/>
            <w:shd w:val="clear" w:color="auto" w:fill="CCEEFF"/>
          </w:tcPr>
          <w:p>
            <w:pPr>
              <w:ind w:left="740"/>
              <w:spacing w:after="0" w:line="179" w:lineRule="exact"/>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(280,726)</w:t>
            </w:r>
          </w:p>
        </w:tc>
        <w:tc>
          <w:tcPr>
            <w:tcW w:w="0" w:type="dxa"/>
            <w:vAlign w:val="bottom"/>
          </w:tcPr>
          <w:p>
            <w:pPr>
              <w:spacing w:after="0"/>
              <w:rPr>
                <w:sz w:val="1"/>
                <w:szCs w:val="1"/>
                <w:color w:val="auto"/>
              </w:rPr>
            </w:pPr>
          </w:p>
        </w:tc>
      </w:tr>
      <w:tr>
        <w:trPr>
          <w:trHeight w:val="199"/>
        </w:trPr>
        <w:tc>
          <w:tcPr>
            <w:tcW w:w="682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(69,866)</w:t>
            </w: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gridSpan w:val="2"/>
          </w:tcPr>
          <w:p>
            <w:pPr>
              <w:ind w:left="580"/>
              <w:spacing w:after="0" w:line="179" w:lineRule="exact"/>
              <w:rPr>
                <w:sz w:val="20"/>
                <w:szCs w:val="20"/>
                <w:color w:val="auto"/>
              </w:rPr>
            </w:pPr>
            <w:r>
              <w:rPr>
                <w:rFonts w:ascii="Arial" w:cs="Arial" w:eastAsia="Arial" w:hAnsi="Arial"/>
                <w:sz w:val="16"/>
                <w:szCs w:val="16"/>
                <w:color w:val="auto"/>
              </w:rPr>
              <w:t>Income tax provision (benefit)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(69,866)</w:t>
            </w:r>
          </w:p>
        </w:tc>
        <w:tc>
          <w:tcPr>
            <w:tcW w:w="0" w:type="dxa"/>
            <w:vAlign w:val="bottom"/>
          </w:tcPr>
          <w:p>
            <w:pPr>
              <w:spacing w:after="0"/>
              <w:rPr>
                <w:sz w:val="1"/>
                <w:szCs w:val="1"/>
                <w:color w:val="auto"/>
              </w:rPr>
            </w:pPr>
          </w:p>
        </w:tc>
      </w:tr>
      <w:tr>
        <w:trPr>
          <w:trHeight w:val="191"/>
        </w:trPr>
        <w:tc>
          <w:tcPr>
            <w:tcW w:w="682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(210,860)</w:t>
            </w:r>
          </w:p>
        </w:tc>
        <w:tc>
          <w:tcPr>
            <w:tcW w:w="0" w:type="dxa"/>
            <w:vAlign w:val="bottom"/>
          </w:tcPr>
          <w:p>
            <w:pPr>
              <w:spacing w:after="0"/>
              <w:rPr>
                <w:sz w:val="1"/>
                <w:szCs w:val="1"/>
                <w:color w:val="auto"/>
              </w:rPr>
            </w:pPr>
          </w:p>
        </w:tc>
      </w:tr>
      <w:tr>
        <w:trPr>
          <w:trHeight w:val="199"/>
        </w:trPr>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Net income attributable to non-controlling interest in subsidiaries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(16,827)</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shd w:val="clear" w:color="auto" w:fill="CCEEFF"/>
          </w:tcPr>
          <w:p>
            <w:pPr>
              <w:ind w:left="740"/>
              <w:spacing w:after="0" w:line="179" w:lineRule="exact"/>
              <w:rPr>
                <w:sz w:val="20"/>
                <w:szCs w:val="20"/>
                <w:color w:val="auto"/>
              </w:rPr>
            </w:pPr>
            <w:r>
              <w:rPr>
                <w:rFonts w:ascii="Arial" w:cs="Arial" w:eastAsia="Arial" w:hAnsi="Arial"/>
                <w:sz w:val="16"/>
                <w:szCs w:val="16"/>
                <w:color w:val="auto"/>
              </w:rPr>
              <w:t>Net income (loss) attributable to Matador Resources Company shareholders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(227,687)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spacing w:after="0" w:line="183" w:lineRule="exact"/>
              <w:rPr>
                <w:sz w:val="20"/>
                <w:szCs w:val="20"/>
                <w:color w:val="auto"/>
              </w:rPr>
            </w:pPr>
            <w:r>
              <w:rPr>
                <w:rFonts w:ascii="Arial" w:cs="Arial" w:eastAsia="Arial" w:hAnsi="Arial"/>
                <w:sz w:val="16"/>
                <w:szCs w:val="16"/>
                <w:color w:val="auto"/>
              </w:rPr>
              <w:t>Earnings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20" w:type="dxa"/>
            <w:vAlign w:val="bottom"/>
            <w:gridSpan w:val="2"/>
          </w:tcPr>
          <w:p>
            <w:pPr>
              <w:ind w:left="120"/>
              <w:spacing w:after="0" w:line="166" w:lineRule="exact"/>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0.89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1.40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82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116,801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116,071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116,804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115,977</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tcBorders>
              <w:bottom w:val="single" w:sz="8" w:color="CCEEFF"/>
            </w:tcBorders>
            <w:gridSpan w:val="2"/>
            <w:shd w:val="clear" w:color="auto" w:fill="CCEEFF"/>
          </w:tcPr>
          <w:p>
            <w:pPr>
              <w:ind w:left="120"/>
              <w:spacing w:after="0" w:line="179" w:lineRule="exact"/>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115,977</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144"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CONDENSED CONSOLIDATED STATEMENT OF CHANGES IN SHAREHOLDERS’ EQUITY — UNAUDITED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the Three and Six Months Ended June 30, 2021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1"/>
              </w:rPr>
              <w:t>shareholders’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6"/>
              </w:rPr>
              <w:t>equity</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8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Common Stock</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Treasury Stock</w:t>
            </w:r>
          </w:p>
        </w:tc>
        <w:tc>
          <w:tcPr>
            <w:tcW w:w="98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w w:val="97"/>
              </w:rPr>
              <w:t>attributable to</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3"/>
              </w:rPr>
              <w:t>Non-controlling</w:t>
            </w:r>
          </w:p>
        </w:tc>
        <w:tc>
          <w:tcPr>
            <w:tcW w:w="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rPr>
              <w:t>Matador</w:t>
            </w: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180"/>
              <w:spacing w:after="0" w:line="11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17" w:lineRule="exact"/>
              <w:rPr>
                <w:sz w:val="20"/>
                <w:szCs w:val="20"/>
                <w:color w:val="auto"/>
              </w:rPr>
            </w:pPr>
            <w:r>
              <w:rPr>
                <w:rFonts w:ascii="Arial" w:cs="Arial" w:eastAsia="Arial" w:hAnsi="Arial"/>
                <w:sz w:val="12"/>
                <w:szCs w:val="12"/>
                <w:b w:val="1"/>
                <w:bCs w:val="1"/>
                <w:color w:val="auto"/>
                <w:w w:val="92"/>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center"/>
              <w:ind w:right="160"/>
              <w:spacing w:after="0" w:line="117" w:lineRule="exact"/>
              <w:rPr>
                <w:sz w:val="20"/>
                <w:szCs w:val="20"/>
                <w:color w:val="auto"/>
              </w:rPr>
            </w:pPr>
            <w:r>
              <w:rPr>
                <w:rFonts w:ascii="Arial" w:cs="Arial" w:eastAsia="Arial" w:hAnsi="Arial"/>
                <w:sz w:val="12"/>
                <w:szCs w:val="12"/>
                <w:b w:val="1"/>
                <w:bCs w:val="1"/>
                <w:color w:val="auto"/>
                <w:w w:val="87"/>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w w:val="94"/>
              </w:rPr>
              <w:t>interest in</w:t>
            </w:r>
          </w:p>
        </w:tc>
        <w:tc>
          <w:tcPr>
            <w:tcW w:w="8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2"/>
                <w:szCs w:val="12"/>
                <w:b w:val="1"/>
                <w:bCs w:val="1"/>
                <w:color w:val="auto"/>
                <w:w w:val="93"/>
              </w:rPr>
              <w:t>shareholders’</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4"/>
                <w:szCs w:val="4"/>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deficit</w:t>
            </w: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Company</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subsidiaries</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57"/>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116,847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2,027,069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(741,705)</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1,286,530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226,495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1,513,025</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Dividends declared ($0.025 per share)</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(2,913)</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pursuant to employee stock compensation plan</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compensation plan</w:t>
            </w: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7"/>
              </w:rPr>
              <w:t>Stock-based compensation expense related to equity-based awards including</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amounts capitalized</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Stock options exercised, net of options forfeited in net share settlements</w:t>
            </w:r>
          </w:p>
        </w:tc>
        <w:tc>
          <w:tcPr>
            <w:tcW w:w="54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(1,720)</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15,376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15,376</w:t>
            </w: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Distributions to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(14,210)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(14,210)</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subsidiaries</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60,645</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60,645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8,853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69,498</w:t>
            </w:r>
          </w:p>
        </w:tc>
        <w:tc>
          <w:tcPr>
            <w:tcW w:w="0" w:type="dxa"/>
            <w:vAlign w:val="bottom"/>
          </w:tcPr>
          <w:p>
            <w:pPr>
              <w:spacing w:after="0"/>
              <w:rPr>
                <w:sz w:val="1"/>
                <w:szCs w:val="1"/>
                <w:color w:val="auto"/>
              </w:rPr>
            </w:pPr>
          </w:p>
        </w:tc>
      </w:tr>
      <w:tr>
        <w:trPr>
          <w:trHeight w:val="181"/>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2,043,703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(683,973)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1,359,395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221,138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1,580,533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Dividends declared ($0.025 per share)</w:t>
            </w:r>
          </w:p>
        </w:tc>
        <w:tc>
          <w:tcPr>
            <w:tcW w:w="6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40" w:type="dxa"/>
            <w:vAlign w:val="bottom"/>
            <w:tcBorders>
              <w:top w:val="single" w:sz="8" w:color="CCEEFF"/>
            </w:tcBorders>
            <w:vMerge w:val="continue"/>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(2,913)</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280"/>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(2,913)</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pursuant to employee stock compensation plan</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compensation plan</w:t>
            </w: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7"/>
              </w:rPr>
              <w:t>Stock-based compensation expense related to equity-based awards including</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amounts capitalized</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Stock options exercised, net of options forfeited in net share settlements</w:t>
            </w:r>
          </w:p>
        </w:tc>
        <w:tc>
          <w:tcPr>
            <w:tcW w:w="54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(1,164)</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16,250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16,250</w:t>
            </w: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Distributions to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(14,700)</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subsidiaries</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105,905</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15,926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121,831</w:t>
            </w:r>
          </w:p>
        </w:tc>
        <w:tc>
          <w:tcPr>
            <w:tcW w:w="0" w:type="dxa"/>
            <w:vAlign w:val="bottom"/>
          </w:tcPr>
          <w:p>
            <w:pPr>
              <w:spacing w:after="0"/>
              <w:rPr>
                <w:sz w:val="1"/>
                <w:szCs w:val="1"/>
                <w:color w:val="auto"/>
              </w:rPr>
            </w:pPr>
          </w:p>
        </w:tc>
      </w:tr>
      <w:tr>
        <w:trPr>
          <w:trHeight w:val="181"/>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June 30,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117,123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2,061,815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(580,981)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1,479,762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222,364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1,702,126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144"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CONDENSED CONSOLIDATED STATEMENT OF CHANGES IN SHAREHOLDERS’ EQUITY — UNAUDITED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the Three and Six Months Ended June 30, 2020</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1"/>
              </w:rPr>
              <w:t>shareholders’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96"/>
              </w:rPr>
              <w:t>equity</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80" w:type="dxa"/>
            <w:vAlign w:val="bottom"/>
            <w:gridSpan w:val="5"/>
            <w:vMerge w:val="restart"/>
          </w:tcPr>
          <w:p>
            <w:pPr>
              <w:ind w:left="180"/>
              <w:spacing w:after="0"/>
              <w:rPr>
                <w:sz w:val="20"/>
                <w:szCs w:val="20"/>
                <w:color w:val="auto"/>
              </w:rPr>
            </w:pPr>
            <w:r>
              <w:rPr>
                <w:rFonts w:ascii="Arial" w:cs="Arial" w:eastAsia="Arial" w:hAnsi="Arial"/>
                <w:sz w:val="12"/>
                <w:szCs w:val="12"/>
                <w:b w:val="1"/>
                <w:bCs w:val="1"/>
                <w:color w:val="auto"/>
              </w:rPr>
              <w:t>Common Stock</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restart"/>
          </w:tcPr>
          <w:p>
            <w:pPr>
              <w:ind w:left="160"/>
              <w:spacing w:after="0"/>
              <w:rPr>
                <w:sz w:val="20"/>
                <w:szCs w:val="20"/>
                <w:color w:val="auto"/>
              </w:rPr>
            </w:pPr>
            <w:r>
              <w:rPr>
                <w:rFonts w:ascii="Arial" w:cs="Arial" w:eastAsia="Arial" w:hAnsi="Arial"/>
                <w:sz w:val="12"/>
                <w:szCs w:val="12"/>
                <w:b w:val="1"/>
                <w:bCs w:val="1"/>
                <w:color w:val="auto"/>
              </w:rPr>
              <w:t>Treasury Stock</w:t>
            </w:r>
          </w:p>
        </w:tc>
        <w:tc>
          <w:tcPr>
            <w:tcW w:w="98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w w:val="97"/>
              </w:rPr>
              <w:t>attributable to</w:t>
            </w:r>
          </w:p>
        </w:tc>
        <w:tc>
          <w:tcPr>
            <w:tcW w:w="106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3"/>
              </w:rPr>
              <w:t>Non-controlling</w:t>
            </w:r>
          </w:p>
        </w:tc>
        <w:tc>
          <w:tcPr>
            <w:tcW w:w="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rPr>
              <w:t>Matador</w:t>
            </w: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180"/>
              <w:spacing w:after="0" w:line="11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17" w:lineRule="exact"/>
              <w:rPr>
                <w:sz w:val="20"/>
                <w:szCs w:val="20"/>
                <w:color w:val="auto"/>
              </w:rPr>
            </w:pPr>
            <w:r>
              <w:rPr>
                <w:rFonts w:ascii="Arial" w:cs="Arial" w:eastAsia="Arial" w:hAnsi="Arial"/>
                <w:sz w:val="12"/>
                <w:szCs w:val="12"/>
                <w:b w:val="1"/>
                <w:bCs w:val="1"/>
                <w:color w:val="auto"/>
                <w:w w:val="92"/>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center"/>
              <w:ind w:right="160"/>
              <w:spacing w:after="0" w:line="117" w:lineRule="exact"/>
              <w:rPr>
                <w:sz w:val="20"/>
                <w:szCs w:val="20"/>
                <w:color w:val="auto"/>
              </w:rPr>
            </w:pPr>
            <w:r>
              <w:rPr>
                <w:rFonts w:ascii="Arial" w:cs="Arial" w:eastAsia="Arial" w:hAnsi="Arial"/>
                <w:sz w:val="12"/>
                <w:szCs w:val="12"/>
                <w:b w:val="1"/>
                <w:bCs w:val="1"/>
                <w:color w:val="auto"/>
                <w:w w:val="87"/>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w w:val="94"/>
              </w:rPr>
              <w:t>interest in</w:t>
            </w:r>
          </w:p>
        </w:tc>
        <w:tc>
          <w:tcPr>
            <w:tcW w:w="8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2"/>
                <w:szCs w:val="12"/>
                <w:b w:val="1"/>
                <w:bCs w:val="1"/>
                <w:color w:val="auto"/>
                <w:w w:val="93"/>
              </w:rPr>
              <w:t>shareholders’</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4"/>
                <w:szCs w:val="4"/>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deficit</w:t>
            </w: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Company</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subsidiaries</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57"/>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January 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116,644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1,981,014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(148,500)</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1,833,654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135,798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1,969,452</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Issuance of common stock pursuant to employee stock compensation plan</w:t>
            </w: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compensation plan</w:t>
            </w: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w w:val="97"/>
              </w:rPr>
              <w:t>Stock-based compensation expense related to equity-based awards including</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5,066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5,066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5,066</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amounts capitalized</w:t>
            </w: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Stock options exercised, net of options forfeited in net share settlements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Liability-based stock option awards settled in equity</w:t>
            </w:r>
          </w:p>
        </w:tc>
        <w:tc>
          <w:tcPr>
            <w:tcW w:w="54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w:t>
            </w: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w w:val="98"/>
              </w:rPr>
              <w:t>Contribution related to formation of San Mateo, net of tax of $3.1 million (see</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11,613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11,613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11,613</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Note 6)</w:t>
            </w: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8"/>
              </w:rPr>
              <w:t>Contributions from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16,280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16,280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29,394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45,674</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subsidiaries, net of tax of $4.3 million (see Note 6)</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rPr>
              <w:t>Distributions to non-controlling interest owners of less-than-wholly-owned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(11,515)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(11,515)</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subsidiaries</w:t>
            </w: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125,729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125,729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135,083</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20"/>
                <w:szCs w:val="20"/>
                <w:color w:val="auto"/>
              </w:rPr>
            </w:pPr>
            <w:r>
              <w:rPr>
                <w:rFonts w:ascii="Arial" w:cs="Arial" w:eastAsia="Arial" w:hAnsi="Arial"/>
                <w:sz w:val="12"/>
                <w:szCs w:val="12"/>
                <w:b w:val="1"/>
                <w:bCs w:val="1"/>
                <w:color w:val="auto"/>
              </w:rPr>
              <w:t>Balance at March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116,671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2,014,246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(22,771)</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(1,293)</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1,991,349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163,031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2,154,380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pursuant to employee stock compensation plan</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w w:val="98"/>
              </w:rPr>
              <w:t>Issuance of common stock pursuant to directors’ and advisors’ compensation</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plan</w:t>
            </w: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7"/>
              </w:rPr>
              <w:t>Stock-based compensation expense related to equity-based awards including</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amounts capitalized</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Restricted stock forfeited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21"/>
        </w:trPr>
        <w:tc>
          <w:tcPr>
            <w:tcW w:w="40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w w:val="98"/>
              </w:rPr>
              <w:t>Contributions from non-controlling interest owners of less-than-wholly-owned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1,952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14,700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16,652</w:t>
            </w: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subsidiaries, net of tax of $0.5 million (see Note 6)</w:t>
            </w: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line="117" w:lineRule="exact"/>
              <w:rPr>
                <w:sz w:val="20"/>
                <w:szCs w:val="20"/>
                <w:color w:val="auto"/>
              </w:rPr>
            </w:pPr>
            <w:r>
              <w:rPr>
                <w:rFonts w:ascii="Arial" w:cs="Arial" w:eastAsia="Arial" w:hAnsi="Arial"/>
                <w:sz w:val="12"/>
                <w:szCs w:val="12"/>
                <w:color w:val="auto"/>
              </w:rPr>
              <w:t>Distributions to non-controlling interest owners of less-than-wholly-owned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(10,535)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(10,535)</w:t>
            </w:r>
          </w:p>
        </w:tc>
        <w:tc>
          <w:tcPr>
            <w:tcW w:w="0" w:type="dxa"/>
            <w:vAlign w:val="bottom"/>
          </w:tcPr>
          <w:p>
            <w:pPr>
              <w:spacing w:after="0"/>
              <w:rPr>
                <w:sz w:val="1"/>
                <w:szCs w:val="1"/>
                <w:color w:val="auto"/>
              </w:rPr>
            </w:pPr>
          </w:p>
        </w:tc>
      </w:tr>
      <w:tr>
        <w:trPr>
          <w:trHeight w:val="161"/>
        </w:trPr>
        <w:tc>
          <w:tcPr>
            <w:tcW w:w="4040" w:type="dxa"/>
            <w:vAlign w:val="bottom"/>
          </w:tcPr>
          <w:p>
            <w:pPr>
              <w:spacing w:after="0"/>
              <w:rPr>
                <w:sz w:val="20"/>
                <w:szCs w:val="20"/>
                <w:color w:val="auto"/>
              </w:rPr>
            </w:pPr>
            <w:r>
              <w:rPr>
                <w:rFonts w:ascii="Arial" w:cs="Arial" w:eastAsia="Arial" w:hAnsi="Arial"/>
                <w:sz w:val="12"/>
                <w:szCs w:val="12"/>
                <w:color w:val="auto"/>
              </w:rPr>
              <w:t>subsidiaries</w:t>
            </w:r>
          </w:p>
        </w:tc>
        <w:tc>
          <w:tcPr>
            <w:tcW w:w="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Current period 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(353,416)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(353,416)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(345,943)</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20"/>
                <w:szCs w:val="20"/>
                <w:color w:val="auto"/>
              </w:rPr>
            </w:pPr>
            <w:r>
              <w:rPr>
                <w:rFonts w:ascii="Arial" w:cs="Arial" w:eastAsia="Arial" w:hAnsi="Arial"/>
                <w:sz w:val="12"/>
                <w:szCs w:val="12"/>
                <w:b w:val="1"/>
                <w:bCs w:val="1"/>
                <w:color w:val="auto"/>
              </w:rPr>
              <w:t>Balance at June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116,984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1,170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2,020,298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(376,187)</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1,643,832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174,669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1,818,501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90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17"/>
        </w:trPr>
        <w:tc>
          <w:tcPr>
            <w:tcW w:w="1100" w:type="dxa"/>
            <w:vAlign w:val="bottom"/>
            <w:tcBorders>
              <w:top w:val="single" w:sz="8" w:color="0000FF"/>
            </w:tcBorders>
          </w:tcPr>
          <w:p>
            <w:pPr>
              <w:spacing w:after="0"/>
              <w:rPr>
                <w:sz w:val="24"/>
                <w:szCs w:val="24"/>
                <w:color w:val="auto"/>
              </w:rPr>
            </w:pPr>
          </w:p>
        </w:tc>
        <w:tc>
          <w:tcPr>
            <w:tcW w:w="7980" w:type="dxa"/>
            <w:vAlign w:val="bottom"/>
          </w:tcPr>
          <w:p>
            <w:pPr>
              <w:jc w:val="center"/>
              <w:ind w:left="1010"/>
              <w:spacing w:after="0"/>
              <w:rPr>
                <w:sz w:val="20"/>
                <w:szCs w:val="20"/>
                <w:color w:val="auto"/>
              </w:rPr>
            </w:pPr>
            <w:r>
              <w:rPr>
                <w:rFonts w:ascii="Arial" w:cs="Arial" w:eastAsia="Arial" w:hAnsi="Arial"/>
                <w:sz w:val="16"/>
                <w:szCs w:val="16"/>
                <w:b w:val="1"/>
                <w:bCs w:val="1"/>
                <w:color w:val="auto"/>
                <w:w w:val="87"/>
              </w:rPr>
              <w:t>Matador Resources Company and Subsidiaries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2"/>
        </w:trPr>
        <w:tc>
          <w:tcPr>
            <w:tcW w:w="1100" w:type="dxa"/>
            <w:vAlign w:val="bottom"/>
          </w:tcPr>
          <w:p>
            <w:pPr>
              <w:spacing w:after="0"/>
              <w:rPr>
                <w:sz w:val="24"/>
                <w:szCs w:val="24"/>
                <w:color w:val="auto"/>
              </w:rPr>
            </w:pPr>
          </w:p>
        </w:tc>
        <w:tc>
          <w:tcPr>
            <w:tcW w:w="7980" w:type="dxa"/>
            <w:vAlign w:val="bottom"/>
          </w:tcPr>
          <w:p>
            <w:pPr>
              <w:jc w:val="center"/>
              <w:ind w:left="990"/>
              <w:spacing w:after="0"/>
              <w:rPr>
                <w:sz w:val="20"/>
                <w:szCs w:val="20"/>
                <w:color w:val="auto"/>
              </w:rPr>
            </w:pPr>
            <w:r>
              <w:rPr>
                <w:rFonts w:ascii="Arial" w:cs="Arial" w:eastAsia="Arial" w:hAnsi="Arial"/>
                <w:sz w:val="16"/>
                <w:szCs w:val="16"/>
                <w:b w:val="1"/>
                <w:bCs w:val="1"/>
                <w:color w:val="auto"/>
                <w:w w:val="97"/>
              </w:rPr>
              <w:t>CONDENSED CONSOLIDATED STATEMENTS OF CASH FLOWS — UNAUDITED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100" w:type="dxa"/>
            <w:vAlign w:val="bottom"/>
          </w:tcPr>
          <w:p>
            <w:pPr>
              <w:spacing w:after="0"/>
              <w:rPr>
                <w:sz w:val="17"/>
                <w:szCs w:val="17"/>
                <w:color w:val="auto"/>
              </w:rPr>
            </w:pPr>
          </w:p>
        </w:tc>
        <w:tc>
          <w:tcPr>
            <w:tcW w:w="7980" w:type="dxa"/>
            <w:vAlign w:val="bottom"/>
          </w:tcPr>
          <w:p>
            <w:pPr>
              <w:jc w:val="center"/>
              <w:ind w:left="990"/>
              <w:spacing w:after="0"/>
              <w:rPr>
                <w:sz w:val="20"/>
                <w:szCs w:val="20"/>
                <w:color w:val="auto"/>
              </w:rPr>
            </w:pPr>
            <w:r>
              <w:rPr>
                <w:rFonts w:ascii="Arial" w:cs="Arial" w:eastAsia="Arial" w:hAnsi="Arial"/>
                <w:sz w:val="16"/>
                <w:szCs w:val="16"/>
                <w:b w:val="1"/>
                <w:bCs w:val="1"/>
                <w:color w:val="auto"/>
                <w:w w:val="87"/>
              </w:rPr>
              <w:t>(In thousands)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9"/>
        </w:trPr>
        <w:tc>
          <w:tcPr>
            <w:tcW w:w="110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4"/>
          </w:tcPr>
          <w:p>
            <w:pPr>
              <w:jc w:val="right"/>
              <w:ind w:right="437"/>
              <w:spacing w:after="0"/>
              <w:rPr>
                <w:sz w:val="20"/>
                <w:szCs w:val="20"/>
                <w:color w:val="auto"/>
              </w:rPr>
            </w:pPr>
            <w:r>
              <w:rPr>
                <w:rFonts w:ascii="Arial" w:cs="Arial" w:eastAsia="Arial" w:hAnsi="Arial"/>
                <w:sz w:val="16"/>
                <w:szCs w:val="16"/>
                <w:b w:val="1"/>
                <w:bCs w:val="1"/>
                <w:color w:val="auto"/>
              </w:rPr>
              <w:t>Six Months Ended</w:t>
            </w:r>
          </w:p>
        </w:tc>
      </w:tr>
      <w:tr>
        <w:trPr>
          <w:trHeight w:val="199"/>
        </w:trPr>
        <w:tc>
          <w:tcPr>
            <w:tcW w:w="110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191"/>
        </w:trPr>
        <w:tc>
          <w:tcPr>
            <w:tcW w:w="110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2020</w:t>
            </w:r>
          </w:p>
        </w:tc>
      </w:tr>
      <w:tr>
        <w:trPr>
          <w:trHeight w:val="144"/>
        </w:trPr>
        <w:tc>
          <w:tcPr>
            <w:tcW w:w="9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Net income (loss)</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191,329</w:t>
            </w:r>
          </w:p>
        </w:tc>
        <w:tc>
          <w:tcPr>
            <w:tcW w:w="100" w:type="dxa"/>
            <w:vAlign w:val="bottom"/>
          </w:tcPr>
          <w:p>
            <w:pPr>
              <w:spacing w:after="0"/>
              <w:rPr>
                <w:sz w:val="13"/>
                <w:szCs w:val="13"/>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(210,860)</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1"/>
        </w:trPr>
        <w:tc>
          <w:tcPr>
            <w:tcW w:w="9080" w:type="dxa"/>
            <w:vAlign w:val="bottom"/>
            <w:gridSpan w:val="2"/>
          </w:tcPr>
          <w:p>
            <w:pPr>
              <w:ind w:left="580"/>
              <w:spacing w:after="0"/>
              <w:rPr>
                <w:sz w:val="20"/>
                <w:szCs w:val="20"/>
                <w:color w:val="auto"/>
              </w:rPr>
            </w:pPr>
            <w:r>
              <w:rPr>
                <w:rFonts w:ascii="Arial" w:cs="Arial" w:eastAsia="Arial" w:hAnsi="Arial"/>
                <w:sz w:val="12"/>
                <w:szCs w:val="12"/>
                <w:color w:val="auto"/>
              </w:rPr>
              <w:t>Unrealized loss (gain) on derivatives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86,227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(3,762)</w:t>
            </w:r>
          </w:p>
        </w:tc>
      </w:tr>
      <w:tr>
        <w:trPr>
          <w:trHeight w:val="167"/>
        </w:trPr>
        <w:tc>
          <w:tcPr>
            <w:tcW w:w="90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Depletion, depreciation and amortization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184,057</w:t>
            </w:r>
          </w:p>
        </w:tc>
      </w:tr>
      <w:tr>
        <w:trPr>
          <w:trHeight w:val="161"/>
        </w:trPr>
        <w:tc>
          <w:tcPr>
            <w:tcW w:w="9080" w:type="dxa"/>
            <w:vAlign w:val="bottom"/>
            <w:gridSpan w:val="2"/>
          </w:tcPr>
          <w:p>
            <w:pPr>
              <w:ind w:left="580"/>
              <w:spacing w:after="0"/>
              <w:rPr>
                <w:sz w:val="20"/>
                <w:szCs w:val="20"/>
                <w:color w:val="auto"/>
              </w:rPr>
            </w:pPr>
            <w:r>
              <w:rPr>
                <w:rFonts w:ascii="Arial" w:cs="Arial" w:eastAsia="Arial" w:hAnsi="Arial"/>
                <w:sz w:val="12"/>
                <w:szCs w:val="12"/>
                <w:color w:val="auto"/>
              </w:rPr>
              <w:t>Accretion of asset retirement obligations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971</w:t>
            </w:r>
          </w:p>
        </w:tc>
      </w:tr>
      <w:tr>
        <w:trPr>
          <w:trHeight w:val="167"/>
        </w:trPr>
        <w:tc>
          <w:tcPr>
            <w:tcW w:w="90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Full-cost ceiling impairment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324,001</w:t>
            </w:r>
          </w:p>
        </w:tc>
      </w:tr>
      <w:tr>
        <w:trPr>
          <w:trHeight w:val="161"/>
        </w:trPr>
        <w:tc>
          <w:tcPr>
            <w:tcW w:w="9080" w:type="dxa"/>
            <w:vAlign w:val="bottom"/>
            <w:gridSpan w:val="2"/>
          </w:tcPr>
          <w:p>
            <w:pPr>
              <w:ind w:left="580"/>
              <w:spacing w:after="0"/>
              <w:rPr>
                <w:sz w:val="20"/>
                <w:szCs w:val="20"/>
                <w:color w:val="auto"/>
              </w:rPr>
            </w:pPr>
            <w:r>
              <w:rPr>
                <w:rFonts w:ascii="Arial" w:cs="Arial" w:eastAsia="Arial" w:hAnsi="Arial"/>
                <w:sz w:val="12"/>
                <w:szCs w:val="12"/>
                <w:color w:val="auto"/>
              </w:rPr>
              <w:t>Stock-based compensation expense</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7,080</w:t>
            </w:r>
          </w:p>
        </w:tc>
      </w:tr>
      <w:tr>
        <w:trPr>
          <w:trHeight w:val="167"/>
        </w:trPr>
        <w:tc>
          <w:tcPr>
            <w:tcW w:w="90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Deferred income tax provision (benefit)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(69,866)</w:t>
            </w:r>
          </w:p>
        </w:tc>
      </w:tr>
      <w:tr>
        <w:trPr>
          <w:trHeight w:val="161"/>
        </w:trPr>
        <w:tc>
          <w:tcPr>
            <w:tcW w:w="9080" w:type="dxa"/>
            <w:vAlign w:val="bottom"/>
            <w:gridSpan w:val="2"/>
          </w:tcPr>
          <w:p>
            <w:pPr>
              <w:ind w:left="580"/>
              <w:spacing w:after="0"/>
              <w:rPr>
                <w:sz w:val="20"/>
                <w:szCs w:val="20"/>
                <w:color w:val="auto"/>
              </w:rPr>
            </w:pPr>
            <w:r>
              <w:rPr>
                <w:rFonts w:ascii="Arial" w:cs="Arial" w:eastAsia="Arial" w:hAnsi="Arial"/>
                <w:sz w:val="12"/>
                <w:szCs w:val="12"/>
                <w:color w:val="auto"/>
              </w:rPr>
              <w:t>Amortization of debt issuance cost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1,399</w:t>
            </w:r>
          </w:p>
        </w:tc>
      </w:tr>
      <w:tr>
        <w:trPr>
          <w:trHeight w:val="167"/>
        </w:trPr>
        <w:tc>
          <w:tcPr>
            <w:tcW w:w="908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Net loss on asset sales and impairment</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w:t>
            </w:r>
          </w:p>
        </w:tc>
      </w:tr>
      <w:tr>
        <w:trPr>
          <w:trHeight w:val="161"/>
        </w:trPr>
        <w:tc>
          <w:tcPr>
            <w:tcW w:w="9080" w:type="dxa"/>
            <w:vAlign w:val="bottom"/>
            <w:gridSpan w:val="2"/>
          </w:tcPr>
          <w:p>
            <w:pPr>
              <w:ind w:left="580"/>
              <w:spacing w:after="0"/>
              <w:rPr>
                <w:sz w:val="20"/>
                <w:szCs w:val="20"/>
                <w:color w:val="auto"/>
              </w:rPr>
            </w:pPr>
            <w:r>
              <w:rPr>
                <w:rFonts w:ascii="Arial" w:cs="Arial" w:eastAsia="Arial" w:hAnsi="Arial"/>
                <w:sz w:val="12"/>
                <w:szCs w:val="12"/>
                <w:color w:val="auto"/>
              </w:rPr>
              <w:t>Changes in operating assets and liabilities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7"/>
        </w:trPr>
        <w:tc>
          <w:tcPr>
            <w:tcW w:w="908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Accounts receivable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46,628</w:t>
            </w:r>
          </w:p>
        </w:tc>
      </w:tr>
      <w:tr>
        <w:trPr>
          <w:trHeight w:val="161"/>
        </w:trPr>
        <w:tc>
          <w:tcPr>
            <w:tcW w:w="9080" w:type="dxa"/>
            <w:vAlign w:val="bottom"/>
            <w:gridSpan w:val="2"/>
          </w:tcPr>
          <w:p>
            <w:pPr>
              <w:ind w:left="960"/>
              <w:spacing w:after="0"/>
              <w:rPr>
                <w:sz w:val="20"/>
                <w:szCs w:val="20"/>
                <w:color w:val="auto"/>
              </w:rPr>
            </w:pPr>
            <w:r>
              <w:rPr>
                <w:rFonts w:ascii="Arial" w:cs="Arial" w:eastAsia="Arial" w:hAnsi="Arial"/>
                <w:sz w:val="12"/>
                <w:szCs w:val="12"/>
                <w:color w:val="auto"/>
              </w:rPr>
              <w:t>Lease and well equipment inventory</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(868)</w:t>
            </w:r>
          </w:p>
        </w:tc>
      </w:tr>
      <w:tr>
        <w:trPr>
          <w:trHeight w:val="167"/>
        </w:trPr>
        <w:tc>
          <w:tcPr>
            <w:tcW w:w="908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(1,610)</w:t>
            </w:r>
          </w:p>
        </w:tc>
      </w:tr>
      <w:tr>
        <w:trPr>
          <w:trHeight w:val="161"/>
        </w:trPr>
        <w:tc>
          <w:tcPr>
            <w:tcW w:w="9080" w:type="dxa"/>
            <w:vAlign w:val="bottom"/>
            <w:gridSpan w:val="2"/>
          </w:tcPr>
          <w:p>
            <w:pPr>
              <w:ind w:left="960"/>
              <w:spacing w:after="0"/>
              <w:rPr>
                <w:sz w:val="20"/>
                <w:szCs w:val="20"/>
                <w:color w:val="auto"/>
              </w:rPr>
            </w:pPr>
            <w:r>
              <w:rPr>
                <w:rFonts w:ascii="Arial" w:cs="Arial" w:eastAsia="Arial" w:hAnsi="Arial"/>
                <w:sz w:val="12"/>
                <w:szCs w:val="12"/>
                <w:color w:val="auto"/>
              </w:rPr>
              <w:t>Other long-term assets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1,806</w:t>
            </w:r>
          </w:p>
        </w:tc>
      </w:tr>
      <w:tr>
        <w:trPr>
          <w:trHeight w:val="167"/>
        </w:trPr>
        <w:tc>
          <w:tcPr>
            <w:tcW w:w="908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Accounts payable, accrued liabilities and other current liabilities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(52,351)</w:t>
            </w:r>
          </w:p>
        </w:tc>
      </w:tr>
      <w:tr>
        <w:trPr>
          <w:trHeight w:val="161"/>
        </w:trPr>
        <w:tc>
          <w:tcPr>
            <w:tcW w:w="9080" w:type="dxa"/>
            <w:vAlign w:val="bottom"/>
            <w:gridSpan w:val="2"/>
          </w:tcPr>
          <w:p>
            <w:pPr>
              <w:ind w:left="960"/>
              <w:spacing w:after="0"/>
              <w:rPr>
                <w:sz w:val="20"/>
                <w:szCs w:val="20"/>
                <w:color w:val="auto"/>
              </w:rPr>
            </w:pPr>
            <w:r>
              <w:rPr>
                <w:rFonts w:ascii="Arial" w:cs="Arial" w:eastAsia="Arial" w:hAnsi="Arial"/>
                <w:sz w:val="12"/>
                <w:szCs w:val="12"/>
                <w:color w:val="auto"/>
              </w:rPr>
              <w:t>Royalties payable</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16,207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(24,198)</w:t>
            </w:r>
          </w:p>
        </w:tc>
      </w:tr>
      <w:tr>
        <w:trPr>
          <w:trHeight w:val="167"/>
        </w:trPr>
        <w:tc>
          <w:tcPr>
            <w:tcW w:w="908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Advances from joint interest owners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5,094</w:t>
            </w:r>
          </w:p>
        </w:tc>
      </w:tr>
      <w:tr>
        <w:trPr>
          <w:trHeight w:val="161"/>
        </w:trPr>
        <w:tc>
          <w:tcPr>
            <w:tcW w:w="9080" w:type="dxa"/>
            <w:vAlign w:val="bottom"/>
            <w:tcBorders>
              <w:bottom w:val="single" w:sz="8" w:color="CCEEFF"/>
            </w:tcBorders>
            <w:gridSpan w:val="2"/>
          </w:tcPr>
          <w:p>
            <w:pPr>
              <w:ind w:left="960"/>
              <w:spacing w:after="0"/>
              <w:rPr>
                <w:sz w:val="20"/>
                <w:szCs w:val="20"/>
                <w:color w:val="auto"/>
              </w:rPr>
            </w:pPr>
            <w:r>
              <w:rPr>
                <w:rFonts w:ascii="Arial" w:cs="Arial" w:eastAsia="Arial" w:hAnsi="Arial"/>
                <w:sz w:val="12"/>
                <w:szCs w:val="12"/>
                <w:color w:val="auto"/>
              </w:rPr>
              <w:t>Other long-term liabilities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w:t>
            </w:r>
          </w:p>
        </w:tc>
      </w:tr>
      <w:tr>
        <w:trPr>
          <w:trHeight w:val="159"/>
        </w:trPr>
        <w:tc>
          <w:tcPr>
            <w:tcW w:w="1100" w:type="dxa"/>
            <w:vAlign w:val="bottom"/>
            <w:shd w:val="clear" w:color="auto" w:fill="CCEEFF"/>
          </w:tcPr>
          <w:p>
            <w:pPr>
              <w:spacing w:after="0"/>
              <w:rPr>
                <w:sz w:val="13"/>
                <w:szCs w:val="13"/>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cash provided by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427,595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210,385</w:t>
            </w:r>
          </w:p>
        </w:tc>
      </w:tr>
      <w:tr>
        <w:trPr>
          <w:trHeight w:val="161"/>
        </w:trPr>
        <w:tc>
          <w:tcPr>
            <w:tcW w:w="9080" w:type="dxa"/>
            <w:vAlign w:val="bottom"/>
            <w:gridSpan w:val="2"/>
          </w:tcPr>
          <w:p>
            <w:pPr>
              <w:spacing w:after="0"/>
              <w:rPr>
                <w:sz w:val="20"/>
                <w:szCs w:val="20"/>
                <w:color w:val="auto"/>
              </w:rPr>
            </w:pPr>
            <w:r>
              <w:rPr>
                <w:rFonts w:ascii="Arial" w:cs="Arial" w:eastAsia="Arial" w:hAnsi="Arial"/>
                <w:sz w:val="12"/>
                <w:szCs w:val="12"/>
                <w:color w:val="auto"/>
              </w:rPr>
              <w:t>Investing activities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Drilling, completion and equipping capital expenditures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(210,725)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(283,362)</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Acquisition of oil and natural gas properties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(15,356)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(51,736)</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Midstream capital expenditures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(25,092)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(123,338)</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Expenditures for other property and equipment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(1,381)</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Proceeds from sale of assets</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1,056</w:t>
            </w:r>
          </w:p>
        </w:tc>
      </w:tr>
      <w:tr>
        <w:trPr>
          <w:trHeight w:val="152"/>
        </w:trPr>
        <w:tc>
          <w:tcPr>
            <w:tcW w:w="1100" w:type="dxa"/>
            <w:vAlign w:val="bottom"/>
          </w:tcPr>
          <w:p>
            <w:pPr>
              <w:spacing w:after="0"/>
              <w:rPr>
                <w:sz w:val="13"/>
                <w:szCs w:val="13"/>
                <w:color w:val="auto"/>
              </w:rPr>
            </w:pPr>
          </w:p>
        </w:tc>
        <w:tc>
          <w:tcPr>
            <w:tcW w:w="7980" w:type="dxa"/>
            <w:vAlign w:val="bottom"/>
          </w:tcPr>
          <w:p>
            <w:pPr>
              <w:ind w:left="140"/>
              <w:spacing w:after="0"/>
              <w:rPr>
                <w:sz w:val="20"/>
                <w:szCs w:val="20"/>
                <w:color w:val="auto"/>
              </w:rPr>
            </w:pPr>
            <w:r>
              <w:rPr>
                <w:rFonts w:ascii="Arial" w:cs="Arial" w:eastAsia="Arial" w:hAnsi="Arial"/>
                <w:sz w:val="12"/>
                <w:szCs w:val="12"/>
                <w:color w:val="auto"/>
              </w:rPr>
              <w:t>Net cash used in investing activities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(251,122)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(458,761)</w:t>
            </w:r>
          </w:p>
        </w:tc>
      </w:tr>
      <w:tr>
        <w:trPr>
          <w:trHeight w:val="167"/>
        </w:trPr>
        <w:tc>
          <w:tcPr>
            <w:tcW w:w="9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Repayments of borrowings under Credit Agreement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(240,000)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Borrowings under Credit Agreement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130,000</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Repayments of borrowings under San Mateo Credit Facility</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(34,000)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Borrowings under San Mateo Credit Facility</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32,000</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Cost to amend credit facilities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(830)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(660)</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Dividends paid</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Contributions related to formation of San Mateo</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31,626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14,700</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Contributions from non-controlling interest owners of less-than-wholly-owned subsidiaries</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67,172</w:t>
            </w:r>
          </w:p>
        </w:tc>
      </w:tr>
      <w:tr>
        <w:trPr>
          <w:trHeight w:val="161"/>
        </w:trPr>
        <w:tc>
          <w:tcPr>
            <w:tcW w:w="9080" w:type="dxa"/>
            <w:vAlign w:val="bottom"/>
            <w:gridSpan w:val="2"/>
          </w:tcPr>
          <w:p>
            <w:pPr>
              <w:ind w:left="300"/>
              <w:spacing w:after="0"/>
              <w:rPr>
                <w:sz w:val="20"/>
                <w:szCs w:val="20"/>
                <w:color w:val="auto"/>
              </w:rPr>
            </w:pPr>
            <w:r>
              <w:rPr>
                <w:rFonts w:ascii="Arial" w:cs="Arial" w:eastAsia="Arial" w:hAnsi="Arial"/>
                <w:sz w:val="12"/>
                <w:szCs w:val="12"/>
                <w:color w:val="auto"/>
              </w:rPr>
              <w:t>Distributions to non-controlling interest owners of less-than-wholly-owned subsidiaries</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(28,910)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(22,050)</w:t>
            </w:r>
          </w:p>
        </w:tc>
      </w:tr>
      <w:tr>
        <w:trPr>
          <w:trHeight w:val="167"/>
        </w:trPr>
        <w:tc>
          <w:tcPr>
            <w:tcW w:w="90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Taxes paid related to net share settlement of stock-based compensation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(1,493)</w:t>
            </w:r>
          </w:p>
        </w:tc>
      </w:tr>
      <w:tr>
        <w:trPr>
          <w:trHeight w:val="161"/>
        </w:trPr>
        <w:tc>
          <w:tcPr>
            <w:tcW w:w="9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7,087</w:t>
            </w:r>
          </w:p>
        </w:tc>
      </w:tr>
      <w:tr>
        <w:trPr>
          <w:trHeight w:val="159"/>
        </w:trPr>
        <w:tc>
          <w:tcPr>
            <w:tcW w:w="1100" w:type="dxa"/>
            <w:vAlign w:val="bottom"/>
            <w:shd w:val="clear" w:color="auto" w:fill="CCEEFF"/>
          </w:tcPr>
          <w:p>
            <w:pPr>
              <w:spacing w:after="0"/>
              <w:rPr>
                <w:sz w:val="13"/>
                <w:szCs w:val="13"/>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cash (used in)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(188,648)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226,756</w:t>
            </w:r>
          </w:p>
        </w:tc>
      </w:tr>
      <w:tr>
        <w:trPr>
          <w:trHeight w:val="152"/>
        </w:trPr>
        <w:tc>
          <w:tcPr>
            <w:tcW w:w="9080" w:type="dxa"/>
            <w:vAlign w:val="bottom"/>
            <w:gridSpan w:val="2"/>
          </w:tcPr>
          <w:p>
            <w:pPr>
              <w:spacing w:after="0"/>
              <w:rPr>
                <w:sz w:val="20"/>
                <w:szCs w:val="20"/>
                <w:color w:val="auto"/>
              </w:rPr>
            </w:pPr>
            <w:r>
              <w:rPr>
                <w:rFonts w:ascii="Arial" w:cs="Arial" w:eastAsia="Arial" w:hAnsi="Arial"/>
                <w:sz w:val="12"/>
                <w:szCs w:val="12"/>
                <w:color w:val="auto"/>
              </w:rPr>
              <w:t>Decrease in cash and restricted cash</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(12,175)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(21,620)</w:t>
            </w:r>
          </w:p>
        </w:tc>
      </w:tr>
      <w:tr>
        <w:trPr>
          <w:trHeight w:val="167"/>
        </w:trPr>
        <w:tc>
          <w:tcPr>
            <w:tcW w:w="9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restricted cash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91,383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65,128</w:t>
            </w:r>
          </w:p>
        </w:tc>
      </w:tr>
      <w:tr>
        <w:trPr>
          <w:trHeight w:val="152"/>
        </w:trPr>
        <w:tc>
          <w:tcPr>
            <w:tcW w:w="9080" w:type="dxa"/>
            <w:vAlign w:val="bottom"/>
            <w:gridSpan w:val="2"/>
          </w:tcPr>
          <w:p>
            <w:pPr>
              <w:spacing w:after="0"/>
              <w:rPr>
                <w:sz w:val="20"/>
                <w:szCs w:val="20"/>
                <w:color w:val="auto"/>
              </w:rPr>
            </w:pPr>
            <w:r>
              <w:rPr>
                <w:rFonts w:ascii="Arial" w:cs="Arial" w:eastAsia="Arial" w:hAnsi="Arial"/>
                <w:sz w:val="12"/>
                <w:szCs w:val="12"/>
                <w:color w:val="auto"/>
              </w:rPr>
              <w:t>Cash and restricted cash at end of period</w:t>
            </w: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79,208</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43,508</w:t>
            </w: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 (Note 10)</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NATURE OF OPERATIONS</w:t>
      </w:r>
    </w:p>
    <w:p>
      <w:pPr>
        <w:spacing w:after="0" w:line="101" w:lineRule="exact"/>
        <w:rPr>
          <w:sz w:val="20"/>
          <w:szCs w:val="20"/>
          <w:color w:val="auto"/>
        </w:rPr>
      </w:pPr>
    </w:p>
    <w:p>
      <w:pPr>
        <w:ind w:right="40" w:firstLine="387"/>
        <w:spacing w:after="0" w:line="267" w:lineRule="auto"/>
        <w:rPr>
          <w:sz w:val="20"/>
          <w:szCs w:val="20"/>
          <w:color w:val="auto"/>
        </w:rPr>
      </w:pPr>
      <w:r>
        <w:rPr>
          <w:rFonts w:ascii="Arial" w:cs="Arial" w:eastAsia="Arial" w:hAnsi="Arial"/>
          <w:sz w:val="15"/>
          <w:szCs w:val="15"/>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(collectively with its subsidiaries, “San Mateo”),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Interim Financial Statements, Basis of Presentation, Consolidation and Significant Estimates</w:t>
      </w:r>
    </w:p>
    <w:p>
      <w:pPr>
        <w:spacing w:after="0" w:line="97" w:lineRule="exact"/>
        <w:rPr>
          <w:sz w:val="20"/>
          <w:szCs w:val="20"/>
          <w:color w:val="auto"/>
        </w:rPr>
      </w:pPr>
    </w:p>
    <w:p>
      <w:pPr>
        <w:ind w:firstLine="387"/>
        <w:spacing w:after="0" w:line="310" w:lineRule="auto"/>
        <w:rPr>
          <w:sz w:val="20"/>
          <w:szCs w:val="20"/>
          <w:color w:val="auto"/>
        </w:rPr>
      </w:pPr>
      <w:r>
        <w:rPr>
          <w:rFonts w:ascii="Arial" w:cs="Arial" w:eastAsia="Arial" w:hAnsi="Arial"/>
          <w:sz w:val="13"/>
          <w:szCs w:val="13"/>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2020 filed with the SEC on February 26, 2021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Arial" w:cs="Arial" w:eastAsia="Arial" w:hAnsi="Arial"/>
          <w:sz w:val="13"/>
          <w:szCs w:val="13"/>
          <w:i w:val="1"/>
          <w:iCs w:val="1"/>
          <w:color w:val="auto"/>
        </w:rPr>
        <w:t>Consolidation (Topic 810)</w:t>
      </w:r>
      <w:r>
        <w:rPr>
          <w:rFonts w:ascii="Arial" w:cs="Arial" w:eastAsia="Arial" w:hAnsi="Arial"/>
          <w:sz w:val="13"/>
          <w:szCs w:val="13"/>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June 30, 2021. Amounts as of December 31, 2020 are derived from the Company’s audited consolidated financial statements included in the Annual Report.</w:t>
      </w:r>
    </w:p>
    <w:p>
      <w:pPr>
        <w:spacing w:after="0" w:line="231" w:lineRule="exact"/>
        <w:rPr>
          <w:sz w:val="20"/>
          <w:szCs w:val="20"/>
          <w:color w:val="auto"/>
        </w:rPr>
      </w:pPr>
    </w:p>
    <w:p>
      <w:pPr>
        <w:ind w:right="40" w:firstLine="387"/>
        <w:spacing w:after="0" w:line="314"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UNAUDITED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Revenues</w:t>
      </w:r>
    </w:p>
    <w:p>
      <w:pPr>
        <w:spacing w:after="0" w:line="97" w:lineRule="exact"/>
        <w:rPr>
          <w:sz w:val="20"/>
          <w:szCs w:val="20"/>
          <w:color w:val="auto"/>
        </w:rPr>
      </w:pPr>
    </w:p>
    <w:p>
      <w:pPr>
        <w:ind w:right="100" w:firstLine="387"/>
        <w:spacing w:after="0" w:line="264" w:lineRule="auto"/>
        <w:rPr>
          <w:sz w:val="20"/>
          <w:szCs w:val="20"/>
          <w:color w:val="auto"/>
        </w:rPr>
      </w:pPr>
      <w:r>
        <w:rPr>
          <w:rFonts w:ascii="Arial" w:cs="Arial" w:eastAsia="Arial" w:hAnsi="Arial"/>
          <w:sz w:val="16"/>
          <w:szCs w:val="16"/>
          <w:color w:val="auto"/>
        </w:rPr>
        <w:t>The following table summarizes the Company’s total revenues and revenues from contracts with customers on a disaggregated basis for the three and six months ended June 30, 2021 and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16"/>
                <w:szCs w:val="16"/>
                <w:color w:val="auto"/>
              </w:rPr>
            </w:pPr>
          </w:p>
        </w:tc>
      </w:tr>
      <w:tr>
        <w:trPr>
          <w:trHeight w:val="199"/>
        </w:trPr>
        <w:tc>
          <w:tcPr>
            <w:tcW w:w="5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1"/>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w w:val="84"/>
              </w:rPr>
              <w:t>2020</w:t>
            </w:r>
          </w:p>
        </w:tc>
      </w:tr>
      <w:tr>
        <w:trPr>
          <w:trHeight w:val="191"/>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contracts with customers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442,842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779,023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371,704</w:t>
            </w:r>
          </w:p>
        </w:tc>
      </w:tr>
      <w:tr>
        <w:trPr>
          <w:trHeight w:val="199"/>
        </w:trPr>
        <w:tc>
          <w:tcPr>
            <w:tcW w:w="5220" w:type="dxa"/>
            <w:vAlign w:val="bottom"/>
          </w:tcPr>
          <w:p>
            <w:pPr>
              <w:spacing w:after="0"/>
              <w:rPr>
                <w:sz w:val="20"/>
                <w:szCs w:val="20"/>
                <w:color w:val="auto"/>
              </w:rPr>
            </w:pPr>
            <w:r>
              <w:rPr>
                <w:rFonts w:ascii="Arial" w:cs="Arial" w:eastAsia="Arial" w:hAnsi="Arial"/>
                <w:sz w:val="16"/>
                <w:szCs w:val="16"/>
                <w:color w:val="auto"/>
              </w:rPr>
              <w:t>Lease bonus - mineral acreage</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4,062</w:t>
            </w:r>
          </w:p>
        </w:tc>
      </w:tr>
      <w:tr>
        <w:trPr>
          <w:trHeight w:val="19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Realized (loss) gain on derivatives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54,977</w:t>
            </w:r>
          </w:p>
        </w:tc>
      </w:tr>
      <w:tr>
        <w:trPr>
          <w:trHeight w:val="199"/>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Unrealized (loss) gain on derivatives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w:t>
            </w:r>
          </w:p>
        </w:tc>
      </w:tr>
      <w:tr>
        <w:trPr>
          <w:trHeight w:val="216"/>
        </w:trPr>
        <w:tc>
          <w:tcPr>
            <w:tcW w:w="5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357,427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624,272</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434,505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16"/>
                <w:szCs w:val="16"/>
                <w:color w:val="auto"/>
              </w:rPr>
            </w:pPr>
          </w:p>
        </w:tc>
      </w:tr>
      <w:tr>
        <w:trPr>
          <w:trHeight w:val="199"/>
        </w:trPr>
        <w:tc>
          <w:tcPr>
            <w:tcW w:w="5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1"/>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w w:val="84"/>
              </w:rPr>
              <w:t>2020</w:t>
            </w:r>
          </w:p>
        </w:tc>
      </w:tr>
      <w:tr>
        <w:trPr>
          <w:trHeight w:val="191"/>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Oil revenues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315,114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528,393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263,759</w:t>
            </w:r>
          </w:p>
        </w:tc>
      </w:tr>
      <w:tr>
        <w:trPr>
          <w:trHeight w:val="199"/>
        </w:trPr>
        <w:tc>
          <w:tcPr>
            <w:tcW w:w="5220" w:type="dxa"/>
            <w:vAlign w:val="bottom"/>
          </w:tcPr>
          <w:p>
            <w:pPr>
              <w:spacing w:after="0"/>
              <w:rPr>
                <w:sz w:val="20"/>
                <w:szCs w:val="20"/>
                <w:color w:val="auto"/>
              </w:rPr>
            </w:pPr>
            <w:r>
              <w:rPr>
                <w:rFonts w:ascii="Arial" w:cs="Arial" w:eastAsia="Arial" w:hAnsi="Arial"/>
                <w:sz w:val="16"/>
                <w:szCs w:val="16"/>
                <w:color w:val="auto"/>
              </w:rPr>
              <w:t>Natural gas revenues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96,960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199,914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52,922</w:t>
            </w:r>
          </w:p>
        </w:tc>
      </w:tr>
      <w:tr>
        <w:trPr>
          <w:trHeight w:val="199"/>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Third-party midstream services revenues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30,498</w:t>
            </w:r>
          </w:p>
        </w:tc>
      </w:tr>
      <w:tr>
        <w:trPr>
          <w:trHeight w:val="199"/>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Sales of purchased natural gas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15,428</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24,525</w:t>
            </w:r>
          </w:p>
        </w:tc>
      </w:tr>
      <w:tr>
        <w:trPr>
          <w:trHeight w:val="216"/>
        </w:trPr>
        <w:tc>
          <w:tcPr>
            <w:tcW w:w="5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 from contracts with customers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442,842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779,023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Property and Equipment</w:t>
      </w:r>
    </w:p>
    <w:p>
      <w:pPr>
        <w:spacing w:after="0" w:line="97" w:lineRule="exact"/>
        <w:rPr>
          <w:sz w:val="20"/>
          <w:szCs w:val="20"/>
          <w:color w:val="auto"/>
        </w:rPr>
      </w:pPr>
    </w:p>
    <w:p>
      <w:pPr>
        <w:ind w:right="40" w:firstLine="387"/>
        <w:spacing w:after="0" w:line="314" w:lineRule="auto"/>
        <w:rPr>
          <w:sz w:val="20"/>
          <w:szCs w:val="20"/>
          <w:color w:val="auto"/>
        </w:rPr>
      </w:pPr>
      <w:r>
        <w:rPr>
          <w:rFonts w:ascii="Arial" w:cs="Arial" w:eastAsia="Arial" w:hAnsi="Arial"/>
          <w:sz w:val="13"/>
          <w:szCs w:val="13"/>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the three and six months ended June 30, 2021, the cost center ceiling was higher than the capitalized costs of oil and natural gas properties, and, as a result, no impairment charge was necessary. At June 30, 2020, the Company’s net capitalized costs less related deferred income taxes exceeded the full-cost ceiling by $243.9 million. As a result, the Company recorded an impairment charge of $324.0 million to its net capitalized costs and a deferred income tax benefit of $80.1 million at June 30, 2020. These charges are reflected in the Company’s interim condensed consolidated statements of operations for the three and six months ended June 30, 2020.</w:t>
      </w:r>
    </w:p>
    <w:p>
      <w:pPr>
        <w:spacing w:after="0" w:line="37" w:lineRule="exact"/>
        <w:rPr>
          <w:sz w:val="20"/>
          <w:szCs w:val="20"/>
          <w:color w:val="auto"/>
        </w:rPr>
      </w:pPr>
    </w:p>
    <w:p>
      <w:pPr>
        <w:ind w:right="140" w:firstLine="387"/>
        <w:spacing w:after="0" w:line="279" w:lineRule="auto"/>
        <w:rPr>
          <w:sz w:val="20"/>
          <w:szCs w:val="20"/>
          <w:color w:val="auto"/>
        </w:rPr>
      </w:pPr>
      <w:r>
        <w:rPr>
          <w:rFonts w:ascii="Arial" w:cs="Arial" w:eastAsia="Arial" w:hAnsi="Arial"/>
          <w:sz w:val="15"/>
          <w:szCs w:val="15"/>
          <w:color w:val="auto"/>
        </w:rPr>
        <w:t>The Company capitalized approximately $9.2 million and $8.1 million of its general and administrative costs and approximately $1.9 million and $1.8 million of its interest expense for the three months ended June 30, 2021 and 2020, respectively. The Company capitalized approximately $18.7 million and $16.3 million of its general and administrative costs and approximately $2.5 million and $3.2 million of its interest expense for the six months ended June 30, 2021 and 2020,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Earnings Per Common Share</w:t>
      </w:r>
    </w:p>
    <w:p>
      <w:pPr>
        <w:spacing w:after="0" w:line="97" w:lineRule="exact"/>
        <w:rPr>
          <w:sz w:val="20"/>
          <w:szCs w:val="20"/>
          <w:color w:val="auto"/>
        </w:rPr>
      </w:pPr>
    </w:p>
    <w:p>
      <w:pPr>
        <w:ind w:right="60" w:firstLine="387"/>
        <w:spacing w:after="0" w:line="297" w:lineRule="auto"/>
        <w:rPr>
          <w:sz w:val="20"/>
          <w:szCs w:val="20"/>
          <w:color w:val="auto"/>
        </w:rPr>
      </w:pPr>
      <w:r>
        <w:rPr>
          <w:rFonts w:ascii="Arial" w:cs="Arial" w:eastAsia="Arial" w:hAnsi="Arial"/>
          <w:sz w:val="15"/>
          <w:szCs w:val="15"/>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9" w:name="page10"/>
    <w:bookmarkEnd w:id="9"/>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6"/>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6"/>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ind w:left="4566"/>
        <w:spacing w:after="0"/>
        <w:rPr>
          <w:sz w:val="20"/>
          <w:szCs w:val="20"/>
          <w:color w:val="auto"/>
        </w:rPr>
      </w:pPr>
      <w:r>
        <w:rPr>
          <w:rFonts w:ascii="Arial" w:cs="Arial" w:eastAsia="Arial" w:hAnsi="Arial"/>
          <w:sz w:val="16"/>
          <w:szCs w:val="16"/>
          <w:b w:val="1"/>
          <w:bCs w:val="1"/>
          <w:color w:val="auto"/>
        </w:rPr>
        <w:t>UNAUDITED — CONTINUED</w:t>
      </w:r>
    </w:p>
    <w:p>
      <w:pPr>
        <w:spacing w:after="0" w:line="19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2 — SUMMARY OF SIGNIFICANT ACCOUNTING POLICIES — Continued</w:t>
      </w:r>
    </w:p>
    <w:p>
      <w:pPr>
        <w:spacing w:after="0" w:line="394" w:lineRule="exact"/>
        <w:rPr>
          <w:sz w:val="20"/>
          <w:szCs w:val="20"/>
          <w:color w:val="auto"/>
        </w:rPr>
      </w:pPr>
    </w:p>
    <w:p>
      <w:pPr>
        <w:ind w:left="6" w:right="480" w:firstLine="387"/>
        <w:spacing w:after="0" w:line="264" w:lineRule="auto"/>
        <w:rPr>
          <w:sz w:val="20"/>
          <w:szCs w:val="20"/>
          <w:color w:val="auto"/>
        </w:rPr>
      </w:pPr>
      <w:r>
        <w:rPr>
          <w:rFonts w:ascii="Arial" w:cs="Arial" w:eastAsia="Arial" w:hAnsi="Arial"/>
          <w:sz w:val="16"/>
          <w:szCs w:val="16"/>
          <w:color w:val="auto"/>
        </w:rPr>
        <w:t>The following table sets forth the computation of diluted weighted average common shares outstanding for the three and six months ended June 30, 2021 and 2020 (in thousands).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0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Three Months Ended</w:t>
            </w:r>
          </w:p>
        </w:tc>
        <w:tc>
          <w:tcPr>
            <w:tcW w:w="2100" w:type="dxa"/>
            <w:vAlign w:val="bottom"/>
            <w:gridSpan w:val="3"/>
          </w:tcPr>
          <w:p>
            <w:pPr>
              <w:jc w:val="center"/>
              <w:ind w:left="762"/>
              <w:spacing w:after="0"/>
              <w:rPr>
                <w:sz w:val="20"/>
                <w:szCs w:val="20"/>
                <w:color w:val="auto"/>
              </w:rPr>
            </w:pPr>
            <w:r>
              <w:rPr>
                <w:rFonts w:ascii="Arial" w:cs="Arial" w:eastAsia="Arial" w:hAnsi="Arial"/>
                <w:sz w:val="16"/>
                <w:szCs w:val="16"/>
                <w:b w:val="1"/>
                <w:bCs w:val="1"/>
                <w:color w:val="auto"/>
                <w:w w:val="87"/>
              </w:rPr>
              <w:t>Six Months Ended</w:t>
            </w:r>
          </w:p>
        </w:tc>
        <w:tc>
          <w:tcPr>
            <w:tcW w:w="880" w:type="dxa"/>
            <w:vAlign w:val="bottom"/>
          </w:tcPr>
          <w:p>
            <w:pPr>
              <w:spacing w:after="0"/>
              <w:rPr>
                <w:sz w:val="16"/>
                <w:szCs w:val="16"/>
                <w:color w:val="auto"/>
              </w:rPr>
            </w:pPr>
          </w:p>
        </w:tc>
      </w:tr>
      <w:tr>
        <w:trPr>
          <w:trHeight w:val="199"/>
        </w:trPr>
        <w:tc>
          <w:tcPr>
            <w:tcW w:w="5220" w:type="dxa"/>
            <w:vAlign w:val="bottom"/>
          </w:tcPr>
          <w:p>
            <w:pPr>
              <w:spacing w:after="0"/>
              <w:rPr>
                <w:sz w:val="17"/>
                <w:szCs w:val="17"/>
                <w:color w:val="auto"/>
              </w:rPr>
            </w:pPr>
          </w:p>
        </w:tc>
        <w:tc>
          <w:tcPr>
            <w:tcW w:w="1920" w:type="dxa"/>
            <w:vAlign w:val="bottom"/>
            <w:tcBorders>
              <w:bottom w:val="single" w:sz="8" w:color="auto"/>
            </w:tcBorders>
            <w:gridSpan w:val="3"/>
          </w:tcPr>
          <w:p>
            <w:pPr>
              <w:jc w:val="center"/>
              <w:ind w:left="962"/>
              <w:spacing w:after="0"/>
              <w:rPr>
                <w:sz w:val="20"/>
                <w:szCs w:val="20"/>
                <w:color w:val="auto"/>
              </w:rPr>
            </w:pPr>
            <w:r>
              <w:rPr>
                <w:rFonts w:ascii="Arial" w:cs="Arial" w:eastAsia="Arial" w:hAnsi="Arial"/>
                <w:sz w:val="16"/>
                <w:szCs w:val="16"/>
                <w:b w:val="1"/>
                <w:bCs w:val="1"/>
                <w:color w:val="auto"/>
                <w:w w:val="87"/>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3"/>
          </w:tcPr>
          <w:p>
            <w:pPr>
              <w:jc w:val="center"/>
              <w:ind w:left="802"/>
              <w:spacing w:after="0"/>
              <w:rPr>
                <w:sz w:val="20"/>
                <w:szCs w:val="20"/>
                <w:color w:val="auto"/>
              </w:rPr>
            </w:pPr>
            <w:r>
              <w:rPr>
                <w:rFonts w:ascii="Arial" w:cs="Arial" w:eastAsia="Arial" w:hAnsi="Arial"/>
                <w:sz w:val="16"/>
                <w:szCs w:val="16"/>
                <w:b w:val="1"/>
                <w:bCs w:val="1"/>
                <w:color w:val="auto"/>
                <w:w w:val="84"/>
              </w:rPr>
              <w:t>June 30,</w:t>
            </w:r>
          </w:p>
        </w:tc>
        <w:tc>
          <w:tcPr>
            <w:tcW w:w="880" w:type="dxa"/>
            <w:vAlign w:val="bottom"/>
            <w:tcBorders>
              <w:bottom w:val="single" w:sz="8" w:color="auto"/>
            </w:tcBorders>
          </w:tcPr>
          <w:p>
            <w:pPr>
              <w:spacing w:after="0"/>
              <w:rPr>
                <w:sz w:val="17"/>
                <w:szCs w:val="17"/>
                <w:color w:val="auto"/>
              </w:rPr>
            </w:pPr>
          </w:p>
        </w:tc>
      </w:tr>
      <w:tr>
        <w:trPr>
          <w:trHeight w:val="202"/>
        </w:trPr>
        <w:tc>
          <w:tcPr>
            <w:tcW w:w="5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w w:val="84"/>
              </w:rPr>
              <w:t>2020</w:t>
            </w:r>
          </w:p>
        </w:tc>
      </w:tr>
      <w:tr>
        <w:trPr>
          <w:trHeight w:val="180"/>
        </w:trPr>
        <w:tc>
          <w:tcPr>
            <w:tcW w:w="52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Weighted average common shares outstanding</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9"/>
        </w:trPr>
        <w:tc>
          <w:tcPr>
            <w:tcW w:w="5220" w:type="dxa"/>
            <w:vAlign w:val="bottom"/>
          </w:tcPr>
          <w:p>
            <w:pPr>
              <w:ind w:left="300"/>
              <w:spacing w:after="0"/>
              <w:rPr>
                <w:sz w:val="20"/>
                <w:szCs w:val="20"/>
                <w:color w:val="auto"/>
              </w:rPr>
            </w:pPr>
            <w:r>
              <w:rPr>
                <w:rFonts w:ascii="Arial" w:cs="Arial" w:eastAsia="Arial" w:hAnsi="Arial"/>
                <w:sz w:val="16"/>
                <w:szCs w:val="16"/>
                <w:color w:val="auto"/>
              </w:rPr>
              <w:t>Basic</w:t>
            </w:r>
          </w:p>
        </w:tc>
        <w:tc>
          <w:tcPr>
            <w:tcW w:w="1420" w:type="dxa"/>
            <w:vAlign w:val="bottom"/>
          </w:tcPr>
          <w:p>
            <w:pPr>
              <w:jc w:val="right"/>
              <w:spacing w:after="0"/>
              <w:rPr>
                <w:sz w:val="20"/>
                <w:szCs w:val="20"/>
                <w:color w:val="auto"/>
              </w:rPr>
            </w:pPr>
            <w:r>
              <w:rPr>
                <w:rFonts w:ascii="Arial" w:cs="Arial" w:eastAsia="Arial" w:hAnsi="Arial"/>
                <w:sz w:val="16"/>
                <w:szCs w:val="16"/>
                <w:color w:val="auto"/>
              </w:rPr>
              <w:t>116,801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116,071</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116,804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115,977</w:t>
            </w:r>
          </w:p>
        </w:tc>
      </w:tr>
      <w:tr>
        <w:trPr>
          <w:trHeight w:val="199"/>
        </w:trPr>
        <w:tc>
          <w:tcPr>
            <w:tcW w:w="5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Dilutive effect of options and restricted stock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220" w:type="dxa"/>
            <w:vAlign w:val="bottom"/>
          </w:tcPr>
          <w:p>
            <w:pPr>
              <w:ind w:left="460"/>
              <w:spacing w:after="0"/>
              <w:rPr>
                <w:sz w:val="20"/>
                <w:szCs w:val="20"/>
                <w:color w:val="auto"/>
              </w:rPr>
            </w:pPr>
            <w:r>
              <w:rPr>
                <w:rFonts w:ascii="Arial" w:cs="Arial" w:eastAsia="Arial" w:hAnsi="Arial"/>
                <w:sz w:val="16"/>
                <w:szCs w:val="16"/>
                <w:color w:val="auto"/>
              </w:rPr>
              <w:t>Diluted weighted average common shares outstanding</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118,993</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116,071</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118,617</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115,977</w:t>
            </w: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6" w:right="20" w:firstLine="387"/>
        <w:spacing w:after="0" w:line="320" w:lineRule="auto"/>
        <w:rPr>
          <w:sz w:val="20"/>
          <w:szCs w:val="20"/>
          <w:color w:val="auto"/>
        </w:rPr>
      </w:pPr>
      <w:r>
        <w:rPr>
          <w:rFonts w:ascii="Arial" w:cs="Arial" w:eastAsia="Arial" w:hAnsi="Arial"/>
          <w:sz w:val="13"/>
          <w:szCs w:val="13"/>
          <w:color w:val="auto"/>
        </w:rPr>
        <w:t>A total of 0.5 million and 1.5 million options to purchase shares of Matador’s common stock were excluded from the diluted weighted average common shares outstanding for the three and six months ended June 30, 2021, respectively, because their effects were anti-dilutive. A total of 2.5 million and 2.6 million options to purchase shares of Matador’s common stock were excluded from the diluted weighted average common shares outstanding for the three and six months ended June 30, 2020, respectively, because their effects were anti-dilutive. Additionally, 0.5 million and 0.6 million restricted shares, which are participating securities, were excluded from the calculations above for the three and six months ended June 30, 2020, respectively, as the security holders do not have the obligation to share in the losses of the Company.</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10280" w:type="dxa"/>
            <w:vAlign w:val="bottom"/>
          </w:tcPr>
          <w:p>
            <w:pPr>
              <w:spacing w:after="0"/>
              <w:rPr>
                <w:sz w:val="20"/>
                <w:szCs w:val="20"/>
                <w:color w:val="auto"/>
              </w:rPr>
            </w:pPr>
            <w:r>
              <w:rPr>
                <w:rFonts w:ascii="Arial" w:cs="Arial" w:eastAsia="Arial" w:hAnsi="Arial"/>
                <w:sz w:val="16"/>
                <w:szCs w:val="16"/>
                <w:b w:val="1"/>
                <w:bCs w:val="1"/>
                <w:color w:val="auto"/>
              </w:rPr>
              <w:t>NOTE 3 — ASSET RETIREMENT OBLIGATIONS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81"/>
        </w:trPr>
        <w:tc>
          <w:tcPr>
            <w:tcW w:w="10280" w:type="dxa"/>
            <w:vAlign w:val="bottom"/>
          </w:tcPr>
          <w:p>
            <w:pPr>
              <w:ind w:left="380"/>
              <w:spacing w:after="0"/>
              <w:rPr>
                <w:sz w:val="20"/>
                <w:szCs w:val="20"/>
                <w:color w:val="auto"/>
              </w:rPr>
            </w:pPr>
            <w:r>
              <w:rPr>
                <w:rFonts w:ascii="Arial" w:cs="Arial" w:eastAsia="Arial" w:hAnsi="Arial"/>
                <w:sz w:val="16"/>
                <w:szCs w:val="16"/>
                <w:color w:val="auto"/>
                <w:w w:val="95"/>
              </w:rPr>
              <w:t>The following table summarizes the changes in the Company’s asset retirement obligations for the six months ended June 30, 2021 (in thousands).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1"/>
        </w:trPr>
        <w:tc>
          <w:tcPr>
            <w:tcW w:w="10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9"/>
        </w:trPr>
        <w:tc>
          <w:tcPr>
            <w:tcW w:w="10280" w:type="dxa"/>
            <w:vAlign w:val="bottom"/>
            <w:shd w:val="clear" w:color="auto" w:fill="CCEEFF"/>
          </w:tcPr>
          <w:p>
            <w:pPr>
              <w:spacing w:after="0"/>
              <w:rPr>
                <w:sz w:val="20"/>
                <w:szCs w:val="20"/>
                <w:color w:val="auto"/>
              </w:rPr>
            </w:pPr>
            <w:r>
              <w:rPr>
                <w:rFonts w:ascii="Arial" w:cs="Arial" w:eastAsia="Arial" w:hAnsi="Arial"/>
                <w:sz w:val="16"/>
                <w:szCs w:val="16"/>
                <w:color w:val="auto"/>
              </w:rPr>
              <w:t>Beginning asset retirement obligations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38,542</w:t>
            </w:r>
          </w:p>
        </w:tc>
      </w:tr>
      <w:tr>
        <w:trPr>
          <w:trHeight w:val="199"/>
        </w:trPr>
        <w:tc>
          <w:tcPr>
            <w:tcW w:w="10280" w:type="dxa"/>
            <w:vAlign w:val="bottom"/>
          </w:tcPr>
          <w:p>
            <w:pPr>
              <w:ind w:left="120"/>
              <w:spacing w:after="0"/>
              <w:rPr>
                <w:sz w:val="20"/>
                <w:szCs w:val="20"/>
                <w:color w:val="auto"/>
              </w:rPr>
            </w:pPr>
            <w:r>
              <w:rPr>
                <w:rFonts w:ascii="Arial" w:cs="Arial" w:eastAsia="Arial" w:hAnsi="Arial"/>
                <w:sz w:val="16"/>
                <w:szCs w:val="16"/>
                <w:color w:val="auto"/>
              </w:rPr>
              <w:t>Liabilities incurred during period</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635</w:t>
            </w:r>
          </w:p>
        </w:tc>
      </w:tr>
      <w:tr>
        <w:trPr>
          <w:trHeight w:val="199"/>
        </w:trPr>
        <w:tc>
          <w:tcPr>
            <w:tcW w:w="10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Liabilities settled during period</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199"/>
        </w:trPr>
        <w:tc>
          <w:tcPr>
            <w:tcW w:w="10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Accretion expense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r>
      <w:tr>
        <w:trPr>
          <w:trHeight w:val="191"/>
        </w:trPr>
        <w:tc>
          <w:tcPr>
            <w:tcW w:w="102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Ending asset retirement obligations</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39,948</w:t>
            </w:r>
          </w:p>
        </w:tc>
      </w:tr>
      <w:tr>
        <w:trPr>
          <w:trHeight w:val="199"/>
        </w:trPr>
        <w:tc>
          <w:tcPr>
            <w:tcW w:w="10280" w:type="dxa"/>
            <w:vAlign w:val="bottom"/>
            <w:tcBorders>
              <w:bottom w:val="single" w:sz="8" w:color="CCEEFF"/>
            </w:tcBorders>
          </w:tcPr>
          <w:p>
            <w:pPr>
              <w:spacing w:after="0" w:line="199" w:lineRule="exact"/>
              <w:rPr>
                <w:sz w:val="20"/>
                <w:szCs w:val="20"/>
                <w:color w:val="auto"/>
              </w:rPr>
            </w:pPr>
            <w:r>
              <w:rPr>
                <w:rFonts w:ascii="Arial" w:cs="Arial" w:eastAsia="Arial" w:hAnsi="Arial"/>
                <w:sz w:val="16"/>
                <w:szCs w:val="16"/>
                <w:color w:val="auto"/>
              </w:rPr>
              <w:t>Less: current asset retirement obligations</w:t>
            </w:r>
            <w:r>
              <w:rPr>
                <w:rFonts w:ascii="Arial" w:cs="Arial" w:eastAsia="Arial" w:hAnsi="Arial"/>
                <w:sz w:val="20"/>
                <w:szCs w:val="20"/>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16"/>
        </w:trPr>
        <w:tc>
          <w:tcPr>
            <w:tcW w:w="1028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Long-term asset retirement obligations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39,737</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6"/>
        <w:spacing w:after="0"/>
        <w:rPr>
          <w:sz w:val="20"/>
          <w:szCs w:val="20"/>
          <w:color w:val="auto"/>
        </w:rPr>
      </w:pPr>
      <w:r>
        <w:rPr>
          <w:rFonts w:ascii="Arial" w:cs="Arial" w:eastAsia="Arial" w:hAnsi="Arial"/>
          <w:sz w:val="14"/>
          <w:szCs w:val="14"/>
          <w:b w:val="1"/>
          <w:bCs w:val="1"/>
          <w:color w:val="auto"/>
        </w:rPr>
        <w:t>_______________</w:t>
      </w:r>
    </w:p>
    <w:p>
      <w:pPr>
        <w:spacing w:after="0" w:line="93" w:lineRule="exact"/>
        <w:rPr>
          <w:sz w:val="20"/>
          <w:szCs w:val="20"/>
          <w:color w:val="auto"/>
        </w:rPr>
      </w:pPr>
    </w:p>
    <w:p>
      <w:pPr>
        <w:ind w:left="266" w:hanging="266"/>
        <w:spacing w:after="0"/>
        <w:tabs>
          <w:tab w:leader="none" w:pos="266"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Included in accrued liabilities in the Company’s interim unaudited condensed consolidated balance sheet at June 30, 2021.</w:t>
      </w:r>
    </w:p>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4 — DEBT</w:t>
      </w:r>
    </w:p>
    <w:p>
      <w:pPr>
        <w:spacing w:after="0" w:line="101" w:lineRule="exact"/>
        <w:rPr>
          <w:sz w:val="20"/>
          <w:szCs w:val="20"/>
          <w:color w:val="auto"/>
        </w:rPr>
      </w:pPr>
    </w:p>
    <w:p>
      <w:pPr>
        <w:ind w:left="6" w:right="300" w:firstLine="387"/>
        <w:spacing w:after="0" w:line="254" w:lineRule="auto"/>
        <w:rPr>
          <w:sz w:val="20"/>
          <w:szCs w:val="20"/>
          <w:color w:val="auto"/>
        </w:rPr>
      </w:pPr>
      <w:r>
        <w:rPr>
          <w:rFonts w:ascii="Arial" w:cs="Arial" w:eastAsia="Arial" w:hAnsi="Arial"/>
          <w:sz w:val="16"/>
          <w:szCs w:val="16"/>
          <w:color w:val="auto"/>
        </w:rPr>
        <w:t>At June 30, 2021, the Company had (i) $1.05 billion of outstanding senior notes due 2026 (the “Notes”), (ii) $240.0 million in borrowings outstanding under its reserves-based revolving credit facility (the “Credit Agreement”), (iii) approximately $45.8 million in outstanding letters of credit issued pursuant to the Credit Agreement and (iv) $7.5 million outstanding under an unsecured U.S. Small Business Administration loan.</w:t>
      </w:r>
    </w:p>
    <w:p>
      <w:pPr>
        <w:spacing w:after="0" w:line="72" w:lineRule="exact"/>
        <w:rPr>
          <w:sz w:val="20"/>
          <w:szCs w:val="20"/>
          <w:color w:val="auto"/>
        </w:rPr>
      </w:pPr>
    </w:p>
    <w:p>
      <w:pPr>
        <w:ind w:left="6" w:right="200" w:firstLine="387"/>
        <w:spacing w:after="0" w:line="254" w:lineRule="auto"/>
        <w:rPr>
          <w:sz w:val="20"/>
          <w:szCs w:val="20"/>
          <w:color w:val="auto"/>
        </w:rPr>
      </w:pPr>
      <w:r>
        <w:rPr>
          <w:rFonts w:ascii="Arial" w:cs="Arial" w:eastAsia="Arial" w:hAnsi="Arial"/>
          <w:sz w:val="16"/>
          <w:szCs w:val="16"/>
          <w:color w:val="auto"/>
        </w:rPr>
        <w:t>At June 30, 2021, San Mateo had $352.5 million in borrowings outstanding under its revolving credit facility (the “San Mateo Credit Facility”) and approximately $9.0 million in outstanding letters of credit issued pursuant to the San Mateo Credit Facility. Between June 30, 2021 and July 27, 2021, San Mateo repaid $25.0 million of borrowings under the San Mateo Credit Facility.</w:t>
      </w:r>
    </w:p>
    <w:p>
      <w:pPr>
        <w:spacing w:after="0" w:line="200" w:lineRule="exact"/>
        <w:rPr>
          <w:sz w:val="20"/>
          <w:szCs w:val="20"/>
          <w:color w:val="auto"/>
        </w:rPr>
      </w:pP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DEBT — Continued</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Credit Agreements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MRC Energy Company</w:t>
      </w:r>
    </w:p>
    <w:p>
      <w:pPr>
        <w:spacing w:after="0" w:line="97" w:lineRule="exact"/>
        <w:rPr>
          <w:sz w:val="20"/>
          <w:szCs w:val="20"/>
          <w:color w:val="auto"/>
        </w:rPr>
      </w:pPr>
    </w:p>
    <w:p>
      <w:pPr>
        <w:ind w:right="180" w:firstLine="387"/>
        <w:spacing w:after="0" w:line="314" w:lineRule="auto"/>
        <w:rPr>
          <w:sz w:val="20"/>
          <w:szCs w:val="20"/>
          <w:color w:val="auto"/>
        </w:rPr>
      </w:pPr>
      <w:r>
        <w:rPr>
          <w:rFonts w:ascii="Arial" w:cs="Arial" w:eastAsia="Arial" w:hAnsi="Arial"/>
          <w:sz w:val="13"/>
          <w:szCs w:val="13"/>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2021, the lenders completed their review of the Company’s proved oil and natural gas reserves, and, as a result, the borrowing base was reaffirmed at $900.0 million. The Company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2023.</w:t>
      </w:r>
    </w:p>
    <w:p>
      <w:pPr>
        <w:spacing w:after="0" w:line="37" w:lineRule="exact"/>
        <w:rPr>
          <w:sz w:val="20"/>
          <w:szCs w:val="20"/>
          <w:color w:val="auto"/>
        </w:rPr>
      </w:pPr>
    </w:p>
    <w:p>
      <w:pPr>
        <w:ind w:right="420" w:firstLine="387"/>
        <w:spacing w:after="0" w:line="254" w:lineRule="auto"/>
        <w:rPr>
          <w:sz w:val="20"/>
          <w:szCs w:val="20"/>
          <w:color w:val="auto"/>
        </w:rPr>
      </w:pPr>
      <w:r>
        <w:rPr>
          <w:rFonts w:ascii="Arial" w:cs="Arial" w:eastAsia="Arial" w:hAnsi="Arial"/>
          <w:sz w:val="16"/>
          <w:szCs w:val="16"/>
          <w:color w:val="auto"/>
        </w:rPr>
        <w:t>The Credit Agreement requires the Company to maintain a debt to EBITDA ratio, which is defined as debt outstanding (net of up to $50.0 million of cash or cash equivalents), divided by a rolling four quarter EBITDA calculation, of 4.0 or less. The Company believes that it was in compliance with the terms of the Credit Agreement at June 30, 2021.</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San Mateo Midstream, LLC</w:t>
      </w:r>
    </w:p>
    <w:p>
      <w:pPr>
        <w:spacing w:after="0" w:line="97" w:lineRule="exact"/>
        <w:rPr>
          <w:sz w:val="20"/>
          <w:szCs w:val="20"/>
          <w:color w:val="auto"/>
        </w:rPr>
      </w:pPr>
    </w:p>
    <w:p>
      <w:pPr>
        <w:ind w:right="40" w:firstLine="387"/>
        <w:spacing w:after="0" w:line="270" w:lineRule="auto"/>
        <w:rPr>
          <w:sz w:val="20"/>
          <w:szCs w:val="20"/>
          <w:color w:val="auto"/>
        </w:rPr>
      </w:pPr>
      <w:r>
        <w:rPr>
          <w:rFonts w:ascii="Arial" w:cs="Arial" w:eastAsia="Arial" w:hAnsi="Arial"/>
          <w:sz w:val="15"/>
          <w:szCs w:val="15"/>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19, 2023 and was amended in June 2021 to increase the lender commitments under the revolving credit facility from $375.0 million to $450.0 million (subject to San Mateo’s compliance with the covenants noted below) and to increase the borrowing rate for a base rate loan or a Eurodollar loan under such facility by 0.50%. The San Mateo Credit Facility includes an accordion feature, which, after the aforementioned amendment, provides for potential increases in lender commitments to up to $700.0 million.</w:t>
      </w:r>
    </w:p>
    <w:p>
      <w:pPr>
        <w:spacing w:after="0" w:line="61" w:lineRule="exact"/>
        <w:rPr>
          <w:sz w:val="20"/>
          <w:szCs w:val="20"/>
          <w:color w:val="auto"/>
        </w:rPr>
      </w:pPr>
    </w:p>
    <w:p>
      <w:pPr>
        <w:ind w:firstLine="387"/>
        <w:spacing w:after="0" w:line="320" w:lineRule="auto"/>
        <w:rPr>
          <w:sz w:val="20"/>
          <w:szCs w:val="20"/>
          <w:color w:val="auto"/>
        </w:rPr>
      </w:pPr>
      <w:r>
        <w:rPr>
          <w:rFonts w:ascii="Arial" w:cs="Arial" w:eastAsia="Arial" w:hAnsi="Arial"/>
          <w:sz w:val="13"/>
          <w:szCs w:val="13"/>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Senior Unsecured Notes</w:t>
      </w:r>
    </w:p>
    <w:p>
      <w:pPr>
        <w:spacing w:after="0" w:line="97" w:lineRule="exact"/>
        <w:rPr>
          <w:sz w:val="20"/>
          <w:szCs w:val="20"/>
          <w:color w:val="auto"/>
        </w:rPr>
      </w:pPr>
    </w:p>
    <w:p>
      <w:pPr>
        <w:ind w:right="80" w:firstLine="387"/>
        <w:spacing w:after="0" w:line="373" w:lineRule="auto"/>
        <w:rPr>
          <w:sz w:val="20"/>
          <w:szCs w:val="20"/>
          <w:color w:val="auto"/>
        </w:rPr>
      </w:pPr>
      <w:r>
        <w:rPr>
          <w:rFonts w:ascii="Arial" w:cs="Arial" w:eastAsia="Arial" w:hAnsi="Arial"/>
          <w:sz w:val="13"/>
          <w:szCs w:val="13"/>
          <w:color w:val="auto"/>
        </w:rPr>
        <w:t>At June 30, 2021, the Company had $1.05 billion of outstanding Notes, which have a 5.875% coupon rate. The Notes mature September 15, 2026, and interest is payable on the Notes semi-annually in arrears on each March 15 and September 15. The Notes are guaranteed on a senior unsecured basis by certain subsidiaries of the Company.</w:t>
      </w:r>
    </w:p>
    <w:p>
      <w:pPr>
        <w:spacing w:after="0"/>
        <w:rPr>
          <w:sz w:val="20"/>
          <w:szCs w:val="20"/>
          <w:color w:val="auto"/>
        </w:rPr>
      </w:pPr>
      <w:r>
        <w:rPr>
          <w:rFonts w:ascii="Arial" w:cs="Arial" w:eastAsia="Arial" w:hAnsi="Arial"/>
          <w:sz w:val="16"/>
          <w:szCs w:val="16"/>
          <w:b w:val="1"/>
          <w:bCs w:val="1"/>
          <w:color w:val="auto"/>
        </w:rPr>
        <w:t>NOTE 5 — INCOME TAXES</w:t>
      </w:r>
    </w:p>
    <w:p>
      <w:pPr>
        <w:spacing w:after="0" w:line="101" w:lineRule="exact"/>
        <w:rPr>
          <w:sz w:val="20"/>
          <w:szCs w:val="20"/>
          <w:color w:val="auto"/>
        </w:rPr>
      </w:pPr>
    </w:p>
    <w:p>
      <w:pPr>
        <w:ind w:right="80" w:firstLine="387"/>
        <w:spacing w:after="0" w:line="320" w:lineRule="auto"/>
        <w:rPr>
          <w:sz w:val="20"/>
          <w:szCs w:val="20"/>
          <w:color w:val="auto"/>
        </w:rPr>
      </w:pPr>
      <w:r>
        <w:rPr>
          <w:rFonts w:ascii="Arial" w:cs="Arial" w:eastAsia="Arial" w:hAnsi="Arial"/>
          <w:sz w:val="13"/>
          <w:szCs w:val="13"/>
          <w:color w:val="auto"/>
        </w:rPr>
        <w:t>The Company recorded an income tax provision of $5.3 million and $8.2 million for the three and six months ended June 30, 2021, respectively, which resulted in an effective tax rate of 5% in each period. The effective tax rate differed from amounts computed by applying the U.S. federal statutory rate to the pre-tax income due primarily to recording a net deferred tax liability for state taxes, primarily in New Mexico, and continuing to recognize a valuation allowance against its U.S. federal net deferred tax assets. As a result of the full-cost ceiling impairments recorded in 2020, the Company recognized a valuation allowance against its net deferred tax assets for the year ended December 31, 2020. The valuation allowance will continue to be recognized until the future deferred tax benefits are more likely than not to become utilized.</w:t>
      </w:r>
    </w:p>
    <w:p>
      <w:pPr>
        <w:spacing w:after="0" w:line="35" w:lineRule="exact"/>
        <w:rPr>
          <w:sz w:val="20"/>
          <w:szCs w:val="20"/>
          <w:color w:val="auto"/>
        </w:rPr>
      </w:pPr>
    </w:p>
    <w:p>
      <w:pPr>
        <w:ind w:right="340" w:firstLine="387"/>
        <w:spacing w:after="0" w:line="254" w:lineRule="auto"/>
        <w:rPr>
          <w:sz w:val="20"/>
          <w:szCs w:val="20"/>
          <w:color w:val="auto"/>
        </w:rPr>
      </w:pPr>
      <w:r>
        <w:rPr>
          <w:rFonts w:ascii="Arial" w:cs="Arial" w:eastAsia="Arial" w:hAnsi="Arial"/>
          <w:sz w:val="16"/>
          <w:szCs w:val="16"/>
          <w:color w:val="auto"/>
        </w:rPr>
        <w:t>The Company’s effective tax rates for the three and six months ended June 30, 2020 were 24% and 23%, respectively. The Company’s total income tax provision for the three and six months ended June 30, 2020 differed from amounts computed by applying the U.S. federal statutory tax rates to pre-tax income due to the impact of permanent differences between book and tax income, as well as state taxes, primarily in New Mexico.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EQUITY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Common Stock Dividend</w:t>
      </w:r>
    </w:p>
    <w:p>
      <w:pPr>
        <w:spacing w:after="0" w:line="97" w:lineRule="exact"/>
        <w:rPr>
          <w:sz w:val="20"/>
          <w:szCs w:val="20"/>
          <w:color w:val="auto"/>
        </w:rPr>
      </w:pPr>
    </w:p>
    <w:p>
      <w:pPr>
        <w:jc w:val="both"/>
        <w:ind w:right="80" w:firstLine="351"/>
        <w:spacing w:after="0" w:line="254" w:lineRule="auto"/>
        <w:rPr>
          <w:sz w:val="20"/>
          <w:szCs w:val="20"/>
          <w:color w:val="auto"/>
        </w:rPr>
      </w:pPr>
      <w:r>
        <w:rPr>
          <w:rFonts w:ascii="Arial" w:cs="Arial" w:eastAsia="Arial" w:hAnsi="Arial"/>
          <w:sz w:val="16"/>
          <w:szCs w:val="16"/>
          <w:color w:val="auto"/>
        </w:rPr>
        <w:t>The Company’s Board of Directors (the “Board”) declared a quarterly cash dividend of $0.025 per share of common stock in both the first and second quarters of 2021. The dividend, which totaled $2.9 million in each quarter, was paid on March 31, 2021 and June 3, 2021. In July 2021, the Board declared a quarterly cash dividend of $0.025 per share of common stock payable on September 3, 2021 to shareholders of record as of August 12,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San Mateo Distributions and Contributions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three months ended June 30, 2021 and 2020, San Mateo distributed $15.3 million and $11.0 million, respectively, to the Company and $14.7 million and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$10.5 million, respectively, to a subsidiary of Five Point Energy LLC, the Company’s joint venture partner (“Five Point”). During the six months ended June 30, 2021 and 2020,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San Mateo distributed $30.1 million and $23.0 million, respectively, to the Company and $28.9 million and $22.1 million, respectively, to Five Point.</w:t>
      </w:r>
    </w:p>
    <w:p>
      <w:pPr>
        <w:spacing w:after="0" w:line="86" w:lineRule="exact"/>
        <w:rPr>
          <w:sz w:val="20"/>
          <w:szCs w:val="20"/>
          <w:color w:val="auto"/>
        </w:rPr>
      </w:pPr>
    </w:p>
    <w:p>
      <w:pPr>
        <w:ind w:firstLine="351"/>
        <w:spacing w:after="0" w:line="268" w:lineRule="auto"/>
        <w:rPr>
          <w:sz w:val="20"/>
          <w:szCs w:val="20"/>
          <w:color w:val="auto"/>
        </w:rPr>
      </w:pPr>
      <w:r>
        <w:rPr>
          <w:rFonts w:ascii="Arial" w:cs="Arial" w:eastAsia="Arial" w:hAnsi="Arial"/>
          <w:sz w:val="15"/>
          <w:szCs w:val="15"/>
          <w:color w:val="auto"/>
        </w:rPr>
        <w:t>During the three and six months ended June 30, 2021, there were no contributions to San Mateo by either the Company or Five Point. During the three months ended June 30, 2020, the Company contributed $15.4 million and Five Point contributed $17.2 million of cash to San Mateo, of which $2.5 million was paid to carry Matador’s proportionate interest in San Mateo. During the six months ended June 30, 2020, the Company contributed $22.9 million and Five Point contributed $67.2 million of cash to San Mateo, of which $23.1 million was paid to carry Matador’s proportionate interest in San Mateo. The portion of the amount contributed by Five Point to carry Matador’s proportionate interest was recorded in “Additional paid-in capital” in the Company’s interim unaudited condensed consolidated balance sheets for the three and six months ended June 30, 2020, net of the $0.5 million and $4.8 million, respectively, deferred tax impact to Matador related to this equity contribution.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Performance Incentives</w:t>
      </w:r>
    </w:p>
    <w:p>
      <w:pPr>
        <w:spacing w:after="0" w:line="97" w:lineRule="exact"/>
        <w:rPr>
          <w:sz w:val="20"/>
          <w:szCs w:val="20"/>
          <w:color w:val="auto"/>
        </w:rPr>
      </w:pPr>
    </w:p>
    <w:p>
      <w:pPr>
        <w:ind w:firstLine="387"/>
        <w:spacing w:after="0" w:line="268" w:lineRule="auto"/>
        <w:rPr>
          <w:sz w:val="20"/>
          <w:szCs w:val="20"/>
          <w:color w:val="auto"/>
        </w:rPr>
      </w:pPr>
      <w:r>
        <w:rPr>
          <w:rFonts w:ascii="Arial" w:cs="Arial" w:eastAsia="Arial" w:hAnsi="Arial"/>
          <w:sz w:val="15"/>
          <w:szCs w:val="15"/>
          <w:color w:val="auto"/>
        </w:rPr>
        <w:t>Five Point paid to the Company $16.3 million in performance incentives during the three months ended June 30, 2021. No performance incentives were paid by Five Point to the Company during the three months ended June 30, 2020. Five Point paid to the Company $31.6 million and $14.7 million in performance incentives during the six months ended June 30, 2021 and 2020, respectively. These performance incentives are recorded when received, net of the $3.1 million deferred tax impact to Matador during the three months ended March 31, 2020, in “Additional paid-in capital” in the Company’s interim unaudited condensed consolidated balance sheets. These performance incentives for the three and six months ended June 30, 2021 and 2020 are also denoted as “Contributions related to formation of San Mateo” under “Financing activities” in the Company’s interim unaudited condensed consolidated statements of cash flows and changes in shareholders’ equity.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DERIVATIVE FINANCIAL INSTRUMENTS</w:t>
      </w:r>
    </w:p>
    <w:p>
      <w:pPr>
        <w:spacing w:after="0" w:line="101" w:lineRule="exact"/>
        <w:rPr>
          <w:sz w:val="20"/>
          <w:szCs w:val="20"/>
          <w:color w:val="auto"/>
        </w:rPr>
      </w:pPr>
    </w:p>
    <w:p>
      <w:pPr>
        <w:ind w:right="160" w:firstLine="387"/>
        <w:spacing w:after="0" w:line="340" w:lineRule="auto"/>
        <w:rPr>
          <w:sz w:val="20"/>
          <w:szCs w:val="20"/>
          <w:color w:val="auto"/>
        </w:rPr>
      </w:pPr>
      <w:r>
        <w:rPr>
          <w:rFonts w:ascii="Arial" w:cs="Arial" w:eastAsia="Arial" w:hAnsi="Arial"/>
          <w:sz w:val="13"/>
          <w:szCs w:val="13"/>
          <w:color w:val="auto"/>
        </w:rPr>
        <w:t>At June 30, 2021,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June 30, 2021, each contract was set to expire at varying times during 2021 and 2022. The Company had no open contracts associated with natural gas liquids (“NGL”) prices at June 30,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UNAUDITED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DERIVATIVE FINANCIAL INSTRUMENTS — Continued</w:t>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Company’s open costless collar contracts for oil and natural gas at June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87"/>
              </w:rPr>
              <w:t>Weighted Average</w:t>
            </w:r>
          </w:p>
        </w:tc>
        <w:tc>
          <w:tcPr>
            <w:tcW w:w="13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1"/>
              </w:rPr>
              <w:t>Weighted Average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 of</w:t>
            </w: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0"/>
              </w:rPr>
              <w:t>Notional Quantity (Bbl or</w:t>
            </w:r>
          </w:p>
        </w:tc>
        <w:tc>
          <w:tcPr>
            <w:tcW w:w="1480" w:type="dxa"/>
            <w:vAlign w:val="bottom"/>
            <w:gridSpan w:val="5"/>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82"/>
              </w:rPr>
              <w:t>Asset</w:t>
            </w:r>
          </w:p>
        </w:tc>
        <w:tc>
          <w:tcPr>
            <w:tcW w:w="0" w:type="dxa"/>
            <w:vAlign w:val="bottom"/>
          </w:tcPr>
          <w:p>
            <w:pPr>
              <w:spacing w:after="0"/>
              <w:rPr>
                <w:sz w:val="1"/>
                <w:szCs w:val="1"/>
                <w:color w:val="auto"/>
              </w:rPr>
            </w:pPr>
          </w:p>
        </w:tc>
      </w:tr>
      <w:tr>
        <w:trPr>
          <w:trHeight w:val="152"/>
        </w:trPr>
        <w:tc>
          <w:tcPr>
            <w:tcW w:w="2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Commodity</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vMerge w:val="continue"/>
          </w:tcPr>
          <w:p>
            <w:pPr>
              <w:spacing w:after="0"/>
              <w:rPr>
                <w:sz w:val="13"/>
                <w:szCs w:val="13"/>
                <w:color w:val="auto"/>
              </w:rPr>
            </w:pPr>
          </w:p>
        </w:tc>
        <w:tc>
          <w:tcPr>
            <w:tcW w:w="1480" w:type="dxa"/>
            <w:vAlign w:val="bottom"/>
            <w:gridSpan w:val="5"/>
          </w:tcPr>
          <w:p>
            <w:pPr>
              <w:jc w:val="center"/>
              <w:ind w:right="100"/>
              <w:spacing w:after="0" w:line="152" w:lineRule="exact"/>
              <w:rPr>
                <w:sz w:val="20"/>
                <w:szCs w:val="20"/>
                <w:color w:val="auto"/>
              </w:rPr>
            </w:pPr>
            <w:r>
              <w:rPr>
                <w:rFonts w:ascii="Arial" w:cs="Arial" w:eastAsia="Arial" w:hAnsi="Arial"/>
                <w:sz w:val="16"/>
                <w:szCs w:val="16"/>
                <w:b w:val="1"/>
                <w:bCs w:val="1"/>
                <w:color w:val="auto"/>
                <w:w w:val="89"/>
              </w:rPr>
              <w:t>Price Floor ($/Bbl</w:t>
            </w:r>
          </w:p>
        </w:tc>
        <w:tc>
          <w:tcPr>
            <w:tcW w:w="1380" w:type="dxa"/>
            <w:vAlign w:val="bottom"/>
            <w:gridSpan w:val="3"/>
          </w:tcPr>
          <w:p>
            <w:pPr>
              <w:ind w:left="40"/>
              <w:spacing w:after="0" w:line="152" w:lineRule="exact"/>
              <w:rPr>
                <w:sz w:val="20"/>
                <w:szCs w:val="20"/>
                <w:color w:val="auto"/>
              </w:rPr>
            </w:pPr>
            <w:r>
              <w:rPr>
                <w:rFonts w:ascii="Arial" w:cs="Arial" w:eastAsia="Arial" w:hAnsi="Arial"/>
                <w:sz w:val="16"/>
                <w:szCs w:val="16"/>
                <w:b w:val="1"/>
                <w:bCs w:val="1"/>
                <w:color w:val="auto"/>
                <w:w w:val="90"/>
              </w:rPr>
              <w:t>Price Ceiling ($/Bbl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20"/>
              <w:spacing w:after="0" w:line="152" w:lineRule="exact"/>
              <w:rPr>
                <w:sz w:val="20"/>
                <w:szCs w:val="20"/>
                <w:color w:val="auto"/>
              </w:rPr>
            </w:pPr>
            <w:r>
              <w:rPr>
                <w:rFonts w:ascii="Arial" w:cs="Arial" w:eastAsia="Arial" w:hAnsi="Arial"/>
                <w:sz w:val="16"/>
                <w:szCs w:val="16"/>
                <w:b w:val="1"/>
                <w:bCs w:val="1"/>
                <w:color w:val="auto"/>
                <w:w w:val="95"/>
              </w:rPr>
              <w:t>(Liability)</w:t>
            </w:r>
          </w:p>
        </w:tc>
        <w:tc>
          <w:tcPr>
            <w:tcW w:w="0" w:type="dxa"/>
            <w:vAlign w:val="bottom"/>
          </w:tcPr>
          <w:p>
            <w:pPr>
              <w:spacing w:after="0"/>
              <w:rPr>
                <w:sz w:val="1"/>
                <w:szCs w:val="1"/>
                <w:color w:val="auto"/>
              </w:rPr>
            </w:pPr>
          </w:p>
        </w:tc>
      </w:tr>
      <w:tr>
        <w:trPr>
          <w:trHeight w:val="199"/>
        </w:trPr>
        <w:tc>
          <w:tcPr>
            <w:tcW w:w="2180" w:type="dxa"/>
            <w:vAlign w:val="bottom"/>
            <w:gridSpan w:val="2"/>
            <w:vMerge w:val="continue"/>
          </w:tcPr>
          <w:p>
            <w:pPr>
              <w:spacing w:after="0"/>
              <w:rPr>
                <w:sz w:val="17"/>
                <w:szCs w:val="17"/>
                <w:color w:val="auto"/>
              </w:rPr>
            </w:pPr>
          </w:p>
        </w:tc>
        <w:tc>
          <w:tcPr>
            <w:tcW w:w="3220" w:type="dxa"/>
            <w:vAlign w:val="bottom"/>
            <w:gridSpan w:val="5"/>
          </w:tcPr>
          <w:p>
            <w:pPr>
              <w:ind w:left="580"/>
              <w:spacing w:after="0"/>
              <w:rPr>
                <w:sz w:val="20"/>
                <w:szCs w:val="20"/>
                <w:color w:val="auto"/>
              </w:rPr>
            </w:pPr>
            <w:r>
              <w:rPr>
                <w:rFonts w:ascii="Arial" w:cs="Arial" w:eastAsia="Arial" w:hAnsi="Arial"/>
                <w:sz w:val="16"/>
                <w:szCs w:val="16"/>
                <w:b w:val="1"/>
                <w:bCs w:val="1"/>
                <w:color w:val="auto"/>
              </w:rPr>
              <w:t>Calculation Period</w:t>
            </w:r>
          </w:p>
        </w:tc>
        <w:tc>
          <w:tcPr>
            <w:tcW w:w="1480" w:type="dxa"/>
            <w:vAlign w:val="bottom"/>
            <w:gridSpan w:val="4"/>
          </w:tcPr>
          <w:p>
            <w:pPr>
              <w:jc w:val="center"/>
              <w:ind w:right="800"/>
              <w:spacing w:after="0"/>
              <w:rPr>
                <w:sz w:val="20"/>
                <w:szCs w:val="20"/>
                <w:color w:val="auto"/>
              </w:rPr>
            </w:pPr>
            <w:r>
              <w:rPr>
                <w:rFonts w:ascii="Arial" w:cs="Arial" w:eastAsia="Arial" w:hAnsi="Arial"/>
                <w:sz w:val="16"/>
                <w:szCs w:val="16"/>
                <w:b w:val="1"/>
                <w:bCs w:val="1"/>
                <w:color w:val="auto"/>
              </w:rPr>
              <w:t>MMBtu)</w:t>
            </w:r>
          </w:p>
        </w:tc>
        <w:tc>
          <w:tcPr>
            <w:tcW w:w="1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7"/>
              </w:rPr>
              <w:t>or $/MMBtu)</w:t>
            </w: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or $/MMBtu)</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191"/>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Oil</w:t>
            </w:r>
          </w:p>
        </w:tc>
        <w:tc>
          <w:tcPr>
            <w:tcW w:w="1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gridSpan w:val="3"/>
            <w:shd w:val="clear" w:color="auto" w:fill="CCEEFF"/>
          </w:tcPr>
          <w:p>
            <w:pPr>
              <w:jc w:val="right"/>
              <w:ind w:right="762"/>
              <w:spacing w:after="0"/>
              <w:rPr>
                <w:sz w:val="20"/>
                <w:szCs w:val="20"/>
                <w:color w:val="auto"/>
              </w:rPr>
            </w:pPr>
            <w:r>
              <w:rPr>
                <w:rFonts w:ascii="Arial" w:cs="Arial" w:eastAsia="Arial" w:hAnsi="Arial"/>
                <w:sz w:val="16"/>
                <w:szCs w:val="16"/>
                <w:color w:val="auto"/>
                <w:w w:val="88"/>
              </w:rPr>
              <w:t>07/01/2021 - 12/31/2021</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4,740,000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ind w:right="74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42.06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w:t>
            </w: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(80,256)</w:t>
            </w:r>
          </w:p>
        </w:tc>
        <w:tc>
          <w:tcPr>
            <w:tcW w:w="0" w:type="dxa"/>
            <w:vAlign w:val="bottom"/>
          </w:tcPr>
          <w:p>
            <w:pPr>
              <w:spacing w:after="0"/>
              <w:rPr>
                <w:sz w:val="1"/>
                <w:szCs w:val="1"/>
                <w:color w:val="auto"/>
              </w:rPr>
            </w:pPr>
          </w:p>
        </w:tc>
      </w:tr>
      <w:tr>
        <w:trPr>
          <w:trHeight w:val="199"/>
        </w:trPr>
        <w:tc>
          <w:tcPr>
            <w:tcW w:w="2180" w:type="dxa"/>
            <w:vAlign w:val="bottom"/>
            <w:gridSpan w:val="2"/>
          </w:tcPr>
          <w:p>
            <w:pPr>
              <w:spacing w:after="0"/>
              <w:rPr>
                <w:sz w:val="20"/>
                <w:szCs w:val="20"/>
                <w:color w:val="auto"/>
              </w:rPr>
            </w:pPr>
            <w:r>
              <w:rPr>
                <w:rFonts w:ascii="Arial" w:cs="Arial" w:eastAsia="Arial" w:hAnsi="Arial"/>
                <w:sz w:val="16"/>
                <w:szCs w:val="16"/>
                <w:color w:val="auto"/>
              </w:rPr>
              <w:t>Natural Gas</w:t>
            </w:r>
          </w:p>
        </w:tc>
        <w:tc>
          <w:tcPr>
            <w:tcW w:w="2400" w:type="dxa"/>
            <w:vAlign w:val="bottom"/>
            <w:gridSpan w:val="3"/>
          </w:tcPr>
          <w:p>
            <w:pPr>
              <w:jc w:val="right"/>
              <w:ind w:right="762"/>
              <w:spacing w:after="0"/>
              <w:rPr>
                <w:sz w:val="20"/>
                <w:szCs w:val="20"/>
                <w:color w:val="auto"/>
              </w:rPr>
            </w:pPr>
            <w:r>
              <w:rPr>
                <w:rFonts w:ascii="Arial" w:cs="Arial" w:eastAsia="Arial" w:hAnsi="Arial"/>
                <w:sz w:val="16"/>
                <w:szCs w:val="16"/>
                <w:color w:val="auto"/>
                <w:w w:val="88"/>
              </w:rPr>
              <w:t>07/01/2021 - 12/31/2021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21,200,000</w:t>
            </w:r>
          </w:p>
        </w:tc>
        <w:tc>
          <w:tcPr>
            <w:tcW w:w="100" w:type="dxa"/>
            <w:vAlign w:val="bottom"/>
          </w:tcPr>
          <w:p>
            <w:pPr>
              <w:spacing w:after="0"/>
              <w:rPr>
                <w:sz w:val="17"/>
                <w:szCs w:val="17"/>
                <w:color w:val="auto"/>
              </w:rPr>
            </w:pPr>
          </w:p>
        </w:tc>
        <w:tc>
          <w:tcPr>
            <w:tcW w:w="940" w:type="dxa"/>
            <w:vAlign w:val="bottom"/>
          </w:tcPr>
          <w:p>
            <w:pPr>
              <w:jc w:val="center"/>
              <w:ind w:right="742"/>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Oil</w:t>
            </w:r>
          </w:p>
        </w:tc>
        <w:tc>
          <w:tcPr>
            <w:tcW w:w="2400" w:type="dxa"/>
            <w:vAlign w:val="bottom"/>
            <w:gridSpan w:val="3"/>
            <w:shd w:val="clear" w:color="auto" w:fill="CCEEFF"/>
          </w:tcPr>
          <w:p>
            <w:pPr>
              <w:jc w:val="right"/>
              <w:ind w:right="762"/>
              <w:spacing w:after="0"/>
              <w:rPr>
                <w:sz w:val="20"/>
                <w:szCs w:val="20"/>
                <w:color w:val="auto"/>
              </w:rPr>
            </w:pPr>
            <w:r>
              <w:rPr>
                <w:rFonts w:ascii="Arial" w:cs="Arial" w:eastAsia="Arial" w:hAnsi="Arial"/>
                <w:sz w:val="16"/>
                <w:szCs w:val="16"/>
                <w:color w:val="auto"/>
                <w:w w:val="88"/>
              </w:rPr>
              <w:t>01/01/2022 - 12/31/2022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2,040,000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742"/>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Natural Gas</w:t>
            </w:r>
          </w:p>
        </w:tc>
        <w:tc>
          <w:tcPr>
            <w:tcW w:w="2400" w:type="dxa"/>
            <w:vAlign w:val="bottom"/>
            <w:tcBorders>
              <w:bottom w:val="single" w:sz="8" w:color="CCEEFF"/>
            </w:tcBorders>
            <w:gridSpan w:val="3"/>
          </w:tcPr>
          <w:p>
            <w:pPr>
              <w:jc w:val="right"/>
              <w:ind w:right="762"/>
              <w:spacing w:after="0"/>
              <w:rPr>
                <w:sz w:val="20"/>
                <w:szCs w:val="20"/>
                <w:color w:val="auto"/>
              </w:rPr>
            </w:pPr>
            <w:r>
              <w:rPr>
                <w:rFonts w:ascii="Arial" w:cs="Arial" w:eastAsia="Arial" w:hAnsi="Arial"/>
                <w:sz w:val="16"/>
                <w:szCs w:val="16"/>
                <w:color w:val="auto"/>
                <w:w w:val="88"/>
              </w:rPr>
              <w:t>01/01/2022 - 03/31/2022</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center"/>
              <w:ind w:right="7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7"/>
            <w:shd w:val="clear" w:color="auto" w:fill="CCEEFF"/>
          </w:tcPr>
          <w:p>
            <w:pPr>
              <w:ind w:left="300"/>
              <w:spacing w:after="0" w:line="179" w:lineRule="exact"/>
              <w:rPr>
                <w:sz w:val="20"/>
                <w:szCs w:val="20"/>
                <w:color w:val="auto"/>
              </w:rPr>
            </w:pPr>
            <w:r>
              <w:rPr>
                <w:rFonts w:ascii="Arial" w:cs="Arial" w:eastAsia="Arial" w:hAnsi="Arial"/>
                <w:sz w:val="16"/>
                <w:szCs w:val="16"/>
                <w:color w:val="auto"/>
              </w:rPr>
              <w:t>Total open costless collar contracts</w:t>
            </w: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(94,122)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11"/>
            <w:vMerge w:val="restart"/>
          </w:tcPr>
          <w:p>
            <w:pPr>
              <w:ind w:left="380"/>
              <w:spacing w:after="0"/>
              <w:rPr>
                <w:sz w:val="20"/>
                <w:szCs w:val="20"/>
                <w:color w:val="auto"/>
              </w:rPr>
            </w:pPr>
            <w:r>
              <w:rPr>
                <w:rFonts w:ascii="Arial" w:cs="Arial" w:eastAsia="Arial" w:hAnsi="Arial"/>
                <w:sz w:val="16"/>
                <w:szCs w:val="16"/>
                <w:color w:val="auto"/>
              </w:rPr>
              <w:t>The following is a summary of the Company’s open swap contracts for oil at June 30, 2021.</w:t>
            </w: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80" w:type="dxa"/>
            <w:vAlign w:val="bottom"/>
            <w:gridSpan w:val="11"/>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Fair Value of</w:t>
            </w: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Fixed Price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82"/>
              </w:rPr>
              <w:t>Asset</w:t>
            </w:r>
          </w:p>
        </w:tc>
        <w:tc>
          <w:tcPr>
            <w:tcW w:w="0" w:type="dxa"/>
            <w:vAlign w:val="bottom"/>
          </w:tcPr>
          <w:p>
            <w:pPr>
              <w:spacing w:after="0"/>
              <w:rPr>
                <w:sz w:val="1"/>
                <w:szCs w:val="1"/>
                <w:color w:val="auto"/>
              </w:rPr>
            </w:pPr>
          </w:p>
        </w:tc>
      </w:tr>
      <w:tr>
        <w:trPr>
          <w:trHeight w:val="152"/>
        </w:trPr>
        <w:tc>
          <w:tcPr>
            <w:tcW w:w="2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Commodity</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vMerge w:val="restart"/>
          </w:tcPr>
          <w:p>
            <w:pPr>
              <w:jc w:val="center"/>
              <w:ind w:left="402"/>
              <w:spacing w:after="0"/>
              <w:rPr>
                <w:sz w:val="20"/>
                <w:szCs w:val="20"/>
                <w:color w:val="auto"/>
              </w:rPr>
            </w:pPr>
            <w:r>
              <w:rPr>
                <w:rFonts w:ascii="Arial" w:cs="Arial" w:eastAsia="Arial" w:hAnsi="Arial"/>
                <w:sz w:val="16"/>
                <w:szCs w:val="16"/>
                <w:b w:val="1"/>
                <w:bCs w:val="1"/>
                <w:color w:val="auto"/>
                <w:w w:val="88"/>
              </w:rPr>
              <w:t>Calculation Period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Notional Quantity (Bbl)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5"/>
              </w:rPr>
              <w:t>(Liability)</w:t>
            </w:r>
          </w:p>
        </w:tc>
        <w:tc>
          <w:tcPr>
            <w:tcW w:w="0" w:type="dxa"/>
            <w:vAlign w:val="bottom"/>
          </w:tcPr>
          <w:p>
            <w:pPr>
              <w:spacing w:after="0"/>
              <w:rPr>
                <w:sz w:val="1"/>
                <w:szCs w:val="1"/>
                <w:color w:val="auto"/>
              </w:rPr>
            </w:pPr>
          </w:p>
        </w:tc>
      </w:tr>
      <w:tr>
        <w:trPr>
          <w:trHeight w:val="199"/>
        </w:trPr>
        <w:tc>
          <w:tcPr>
            <w:tcW w:w="218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($/Bbl)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191"/>
        </w:trPr>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Oil</w:t>
            </w: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gridSpan w:val="4"/>
            <w:shd w:val="clear" w:color="auto" w:fill="CCEEFF"/>
          </w:tcPr>
          <w:p>
            <w:pPr>
              <w:jc w:val="right"/>
              <w:ind w:right="282"/>
              <w:spacing w:after="0"/>
              <w:rPr>
                <w:sz w:val="20"/>
                <w:szCs w:val="20"/>
                <w:color w:val="auto"/>
              </w:rPr>
            </w:pPr>
            <w:r>
              <w:rPr>
                <w:rFonts w:ascii="Arial" w:cs="Arial" w:eastAsia="Arial" w:hAnsi="Arial"/>
                <w:sz w:val="16"/>
                <w:szCs w:val="16"/>
                <w:color w:val="auto"/>
              </w:rPr>
              <w:t>07/01/2021 - 12/31/2021</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1,020,000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spacing w:after="0"/>
              <w:rPr>
                <w:sz w:val="20"/>
                <w:szCs w:val="20"/>
                <w:color w:val="auto"/>
              </w:rPr>
            </w:pPr>
            <w:r>
              <w:rPr>
                <w:rFonts w:ascii="Arial" w:cs="Arial" w:eastAsia="Arial" w:hAnsi="Arial"/>
                <w:sz w:val="16"/>
                <w:szCs w:val="16"/>
                <w:color w:val="auto"/>
              </w:rPr>
              <w:t>Total open swap contracts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is a summary of the Company’s open basis swap contracts for oil at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b w:val="1"/>
                <w:bCs w:val="1"/>
                <w:color w:val="auto"/>
                <w:w w:val="97"/>
              </w:rPr>
              <w:t>Fair Value of</w:t>
            </w: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rPr>
              <w:t>Fixed Price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482"/>
              <w:spacing w:after="0" w:line="152" w:lineRule="exact"/>
              <w:rPr>
                <w:sz w:val="20"/>
                <w:szCs w:val="20"/>
                <w:color w:val="auto"/>
              </w:rPr>
            </w:pPr>
            <w:r>
              <w:rPr>
                <w:rFonts w:ascii="Arial" w:cs="Arial" w:eastAsia="Arial" w:hAnsi="Arial"/>
                <w:sz w:val="16"/>
                <w:szCs w:val="16"/>
                <w:b w:val="1"/>
                <w:bCs w:val="1"/>
                <w:color w:val="auto"/>
              </w:rPr>
              <w:t>Asset</w:t>
            </w:r>
          </w:p>
        </w:tc>
        <w:tc>
          <w:tcPr>
            <w:tcW w:w="0" w:type="dxa"/>
            <w:vAlign w:val="bottom"/>
          </w:tcPr>
          <w:p>
            <w:pPr>
              <w:spacing w:after="0"/>
              <w:rPr>
                <w:sz w:val="1"/>
                <w:szCs w:val="1"/>
                <w:color w:val="auto"/>
              </w:rPr>
            </w:pPr>
          </w:p>
        </w:tc>
      </w:tr>
      <w:tr>
        <w:trPr>
          <w:trHeight w:val="152"/>
        </w:trPr>
        <w:tc>
          <w:tcPr>
            <w:tcW w:w="3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Commodity</w:t>
            </w: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Calculation Period</w:t>
            </w:r>
          </w:p>
        </w:tc>
        <w:tc>
          <w:tcPr>
            <w:tcW w:w="19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Notional Quantity (Bbl)</w:t>
            </w:r>
          </w:p>
        </w:tc>
        <w:tc>
          <w:tcPr>
            <w:tcW w:w="13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322"/>
              <w:spacing w:after="0" w:line="152" w:lineRule="exact"/>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199"/>
        </w:trPr>
        <w:tc>
          <w:tcPr>
            <w:tcW w:w="3600" w:type="dxa"/>
            <w:vAlign w:val="bottom"/>
            <w:gridSpan w:val="2"/>
            <w:vMerge w:val="continue"/>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320" w:type="dxa"/>
            <w:vAlign w:val="bottom"/>
          </w:tcPr>
          <w:p>
            <w:pPr>
              <w:jc w:val="right"/>
              <w:ind w:right="145"/>
              <w:spacing w:after="0"/>
              <w:rPr>
                <w:sz w:val="20"/>
                <w:szCs w:val="20"/>
                <w:color w:val="auto"/>
              </w:rPr>
            </w:pPr>
            <w:r>
              <w:rPr>
                <w:rFonts w:ascii="Arial" w:cs="Arial" w:eastAsia="Arial" w:hAnsi="Arial"/>
                <w:sz w:val="16"/>
                <w:szCs w:val="16"/>
                <w:b w:val="1"/>
                <w:bCs w:val="1"/>
                <w:color w:val="auto"/>
              </w:rPr>
              <w:t>($/Bbl)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42"/>
              <w:spacing w:after="0"/>
              <w:rPr>
                <w:sz w:val="20"/>
                <w:szCs w:val="20"/>
                <w:color w:val="auto"/>
              </w:rPr>
            </w:pPr>
            <w:r>
              <w:rPr>
                <w:rFonts w:ascii="Arial" w:cs="Arial" w:eastAsia="Arial" w:hAnsi="Arial"/>
                <w:sz w:val="16"/>
                <w:szCs w:val="16"/>
                <w:b w:val="1"/>
                <w:bCs w:val="1"/>
                <w:color w:val="auto"/>
                <w:w w:val="98"/>
              </w:rPr>
              <w:t>(thousands)</w:t>
            </w:r>
          </w:p>
        </w:tc>
        <w:tc>
          <w:tcPr>
            <w:tcW w:w="0" w:type="dxa"/>
            <w:vAlign w:val="bottom"/>
          </w:tcPr>
          <w:p>
            <w:pPr>
              <w:spacing w:after="0"/>
              <w:rPr>
                <w:sz w:val="1"/>
                <w:szCs w:val="1"/>
                <w:color w:val="auto"/>
              </w:rPr>
            </w:pPr>
          </w:p>
        </w:tc>
      </w:tr>
      <w:tr>
        <w:trPr>
          <w:trHeight w:val="191"/>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Oil Basis</w:t>
            </w:r>
          </w:p>
        </w:tc>
        <w:tc>
          <w:tcPr>
            <w:tcW w:w="1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07/01/2021 - 12/31/2021</w:t>
            </w: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4,200,000</w:t>
            </w: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1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199"/>
        </w:trPr>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Oil Basis</w:t>
            </w:r>
          </w:p>
        </w:tc>
        <w:tc>
          <w:tcPr>
            <w:tcW w:w="2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01/01/2022 - 12/31/2022</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5,520,000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right"/>
              <w:ind w:right="11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open basis swap contracts</w:t>
            </w:r>
          </w:p>
        </w:tc>
        <w:tc>
          <w:tcPr>
            <w:tcW w:w="2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June 30, 2021, the aggregate liability value for the Company’s open derivative financial instruments was $122.1 million.</w:t>
      </w:r>
    </w:p>
    <w:p>
      <w:pPr>
        <w:spacing w:after="0" w:line="97" w:lineRule="exact"/>
        <w:rPr>
          <w:sz w:val="20"/>
          <w:szCs w:val="20"/>
          <w:color w:val="auto"/>
        </w:rPr>
      </w:pPr>
    </w:p>
    <w:p>
      <w:pPr>
        <w:jc w:val="both"/>
        <w:ind w:right="320" w:firstLine="387"/>
        <w:spacing w:after="0" w:line="254" w:lineRule="auto"/>
        <w:rPr>
          <w:sz w:val="20"/>
          <w:szCs w:val="20"/>
          <w:color w:val="auto"/>
        </w:rPr>
      </w:pPr>
      <w:r>
        <w:rPr>
          <w:rFonts w:ascii="Arial" w:cs="Arial" w:eastAsia="Arial" w:hAnsi="Arial"/>
          <w:sz w:val="16"/>
          <w:szCs w:val="16"/>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UNAUDITED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DERIVATIVE FINANCIAL INSTRUMENTS — Continued</w:t>
      </w:r>
    </w:p>
    <w:p>
      <w:pPr>
        <w:spacing w:after="0" w:line="394" w:lineRule="exact"/>
        <w:rPr>
          <w:sz w:val="20"/>
          <w:szCs w:val="20"/>
          <w:color w:val="auto"/>
        </w:rPr>
      </w:pPr>
    </w:p>
    <w:p>
      <w:pPr>
        <w:ind w:right="100" w:firstLine="387"/>
        <w:spacing w:after="0" w:line="264"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June 30, 2021 and December 31,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5"/>
              </w:rPr>
              <w:t>Gross amounts</w:t>
            </w:r>
          </w:p>
        </w:tc>
        <w:tc>
          <w:tcPr>
            <w:tcW w:w="180" w:type="dxa"/>
            <w:vAlign w:val="bottom"/>
          </w:tcPr>
          <w:p>
            <w:pPr>
              <w:spacing w:after="0"/>
              <w:rPr>
                <w:sz w:val="16"/>
                <w:szCs w:val="16"/>
                <w:color w:val="auto"/>
              </w:rPr>
            </w:pP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w w:val="88"/>
              </w:rPr>
              <w:t>Net amounts</w:t>
            </w:r>
          </w:p>
        </w:tc>
        <w:tc>
          <w:tcPr>
            <w:tcW w:w="0" w:type="dxa"/>
            <w:vAlign w:val="bottom"/>
          </w:tcPr>
          <w:p>
            <w:pPr>
              <w:spacing w:after="0"/>
              <w:rPr>
                <w:sz w:val="1"/>
                <w:szCs w:val="1"/>
                <w:color w:val="auto"/>
              </w:rPr>
            </w:pPr>
          </w:p>
        </w:tc>
      </w:tr>
      <w:tr>
        <w:trPr>
          <w:trHeight w:val="152"/>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122"/>
              <w:spacing w:after="0" w:line="152" w:lineRule="exact"/>
              <w:rPr>
                <w:sz w:val="20"/>
                <w:szCs w:val="20"/>
                <w:color w:val="auto"/>
              </w:rPr>
            </w:pPr>
            <w:r>
              <w:rPr>
                <w:rFonts w:ascii="Arial" w:cs="Arial" w:eastAsia="Arial" w:hAnsi="Arial"/>
                <w:sz w:val="16"/>
                <w:szCs w:val="16"/>
                <w:b w:val="1"/>
                <w:bCs w:val="1"/>
                <w:color w:val="auto"/>
                <w:w w:val="85"/>
              </w:rPr>
              <w:t>presented in the</w:t>
            </w:r>
          </w:p>
        </w:tc>
        <w:tc>
          <w:tcPr>
            <w:tcW w:w="0" w:type="dxa"/>
            <w:vAlign w:val="bottom"/>
          </w:tcPr>
          <w:p>
            <w:pPr>
              <w:spacing w:after="0"/>
              <w:rPr>
                <w:sz w:val="1"/>
                <w:szCs w:val="1"/>
                <w:color w:val="auto"/>
              </w:rPr>
            </w:pPr>
          </w:p>
        </w:tc>
      </w:tr>
      <w:tr>
        <w:trPr>
          <w:trHeight w:val="152"/>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760" w:type="dxa"/>
            <w:vAlign w:val="bottom"/>
            <w:gridSpan w:val="3"/>
          </w:tcPr>
          <w:p>
            <w:pPr>
              <w:jc w:val="center"/>
              <w:ind w:right="120"/>
              <w:spacing w:after="0" w:line="152" w:lineRule="exact"/>
              <w:rPr>
                <w:sz w:val="20"/>
                <w:szCs w:val="20"/>
                <w:color w:val="auto"/>
              </w:rPr>
            </w:pPr>
            <w:r>
              <w:rPr>
                <w:rFonts w:ascii="Arial" w:cs="Arial" w:eastAsia="Arial" w:hAnsi="Arial"/>
                <w:sz w:val="16"/>
                <w:szCs w:val="16"/>
                <w:b w:val="1"/>
                <w:bCs w:val="1"/>
                <w:color w:val="auto"/>
                <w:w w:val="84"/>
              </w:rPr>
              <w:t>netted in the condensed</w:t>
            </w:r>
          </w:p>
        </w:tc>
        <w:tc>
          <w:tcPr>
            <w:tcW w:w="180" w:type="dxa"/>
            <w:vAlign w:val="bottom"/>
          </w:tcPr>
          <w:p>
            <w:pPr>
              <w:spacing w:after="0"/>
              <w:rPr>
                <w:sz w:val="13"/>
                <w:szCs w:val="13"/>
                <w:color w:val="auto"/>
              </w:rPr>
            </w:pPr>
          </w:p>
        </w:tc>
        <w:tc>
          <w:tcPr>
            <w:tcW w:w="1460" w:type="dxa"/>
            <w:vAlign w:val="bottom"/>
          </w:tcPr>
          <w:p>
            <w:pPr>
              <w:jc w:val="center"/>
              <w:ind w:right="122"/>
              <w:spacing w:after="0" w:line="152" w:lineRule="exact"/>
              <w:rPr>
                <w:sz w:val="20"/>
                <w:szCs w:val="20"/>
                <w:color w:val="auto"/>
              </w:rPr>
            </w:pPr>
            <w:r>
              <w:rPr>
                <w:rFonts w:ascii="Arial" w:cs="Arial" w:eastAsia="Arial" w:hAnsi="Arial"/>
                <w:sz w:val="16"/>
                <w:szCs w:val="16"/>
                <w:b w:val="1"/>
                <w:bCs w:val="1"/>
                <w:color w:val="auto"/>
                <w:w w:val="82"/>
              </w:rPr>
              <w:t>condensed</w:t>
            </w:r>
          </w:p>
        </w:tc>
        <w:tc>
          <w:tcPr>
            <w:tcW w:w="0" w:type="dxa"/>
            <w:vAlign w:val="bottom"/>
          </w:tcPr>
          <w:p>
            <w:pPr>
              <w:spacing w:after="0"/>
              <w:rPr>
                <w:sz w:val="1"/>
                <w:szCs w:val="1"/>
                <w:color w:val="auto"/>
              </w:rPr>
            </w:pPr>
          </w:p>
        </w:tc>
      </w:tr>
      <w:tr>
        <w:trPr>
          <w:trHeight w:val="152"/>
        </w:trPr>
        <w:tc>
          <w:tcPr>
            <w:tcW w:w="6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Derivative Instruments</w:t>
            </w:r>
          </w:p>
        </w:tc>
        <w:tc>
          <w:tcPr>
            <w:tcW w:w="280" w:type="dxa"/>
            <w:vAlign w:val="bottom"/>
          </w:tcPr>
          <w:p>
            <w:pPr>
              <w:spacing w:after="0"/>
              <w:rPr>
                <w:sz w:val="13"/>
                <w:szCs w:val="13"/>
                <w:color w:val="auto"/>
              </w:rPr>
            </w:pPr>
          </w:p>
        </w:tc>
        <w:tc>
          <w:tcPr>
            <w:tcW w:w="1460" w:type="dxa"/>
            <w:vAlign w:val="bottom"/>
            <w:gridSpan w:val="2"/>
          </w:tcPr>
          <w:p>
            <w:pPr>
              <w:jc w:val="center"/>
              <w:ind w:right="380"/>
              <w:spacing w:after="0" w:line="152" w:lineRule="exact"/>
              <w:rPr>
                <w:sz w:val="20"/>
                <w:szCs w:val="20"/>
                <w:color w:val="auto"/>
              </w:rPr>
            </w:pPr>
            <w:r>
              <w:rPr>
                <w:rFonts w:ascii="Arial" w:cs="Arial" w:eastAsia="Arial" w:hAnsi="Arial"/>
                <w:sz w:val="16"/>
                <w:szCs w:val="16"/>
                <w:b w:val="1"/>
                <w:bCs w:val="1"/>
                <w:color w:val="auto"/>
                <w:w w:val="83"/>
              </w:rPr>
              <w:t>amounts</w:t>
            </w:r>
          </w:p>
        </w:tc>
        <w:tc>
          <w:tcPr>
            <w:tcW w:w="220" w:type="dxa"/>
            <w:vAlign w:val="bottom"/>
          </w:tcPr>
          <w:p>
            <w:pPr>
              <w:spacing w:after="0"/>
              <w:rPr>
                <w:sz w:val="13"/>
                <w:szCs w:val="13"/>
                <w:color w:val="auto"/>
              </w:rPr>
            </w:pPr>
          </w:p>
        </w:tc>
        <w:tc>
          <w:tcPr>
            <w:tcW w:w="1540" w:type="dxa"/>
            <w:vAlign w:val="bottom"/>
            <w:gridSpan w:val="2"/>
          </w:tcPr>
          <w:p>
            <w:pPr>
              <w:jc w:val="center"/>
              <w:ind w:right="340"/>
              <w:spacing w:after="0" w:line="152" w:lineRule="exact"/>
              <w:rPr>
                <w:sz w:val="20"/>
                <w:szCs w:val="20"/>
                <w:color w:val="auto"/>
              </w:rPr>
            </w:pPr>
            <w:r>
              <w:rPr>
                <w:rFonts w:ascii="Arial" w:cs="Arial" w:eastAsia="Arial" w:hAnsi="Arial"/>
                <w:sz w:val="16"/>
                <w:szCs w:val="16"/>
                <w:b w:val="1"/>
                <w:bCs w:val="1"/>
                <w:color w:val="auto"/>
                <w:w w:val="85"/>
              </w:rPr>
              <w:t>consolidated</w:t>
            </w:r>
          </w:p>
        </w:tc>
        <w:tc>
          <w:tcPr>
            <w:tcW w:w="180" w:type="dxa"/>
            <w:vAlign w:val="bottom"/>
          </w:tcPr>
          <w:p>
            <w:pPr>
              <w:spacing w:after="0"/>
              <w:rPr>
                <w:sz w:val="13"/>
                <w:szCs w:val="13"/>
                <w:color w:val="auto"/>
              </w:rPr>
            </w:pPr>
          </w:p>
        </w:tc>
        <w:tc>
          <w:tcPr>
            <w:tcW w:w="1460" w:type="dxa"/>
            <w:vAlign w:val="bottom"/>
          </w:tcPr>
          <w:p>
            <w:pPr>
              <w:jc w:val="center"/>
              <w:ind w:right="122"/>
              <w:spacing w:after="0" w:line="152" w:lineRule="exact"/>
              <w:rPr>
                <w:sz w:val="20"/>
                <w:szCs w:val="20"/>
                <w:color w:val="auto"/>
              </w:rPr>
            </w:pPr>
            <w:r>
              <w:rPr>
                <w:rFonts w:ascii="Arial" w:cs="Arial" w:eastAsia="Arial" w:hAnsi="Arial"/>
                <w:sz w:val="16"/>
                <w:szCs w:val="16"/>
                <w:b w:val="1"/>
                <w:bCs w:val="1"/>
                <w:color w:val="auto"/>
                <w:w w:val="83"/>
              </w:rPr>
              <w:t>consolidated</w:t>
            </w:r>
          </w:p>
        </w:tc>
        <w:tc>
          <w:tcPr>
            <w:tcW w:w="0" w:type="dxa"/>
            <w:vAlign w:val="bottom"/>
          </w:tcPr>
          <w:p>
            <w:pPr>
              <w:spacing w:after="0"/>
              <w:rPr>
                <w:sz w:val="1"/>
                <w:szCs w:val="1"/>
                <w:color w:val="auto"/>
              </w:rPr>
            </w:pPr>
          </w:p>
        </w:tc>
      </w:tr>
      <w:tr>
        <w:trPr>
          <w:trHeight w:val="199"/>
        </w:trPr>
        <w:tc>
          <w:tcPr>
            <w:tcW w:w="6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5"/>
              </w:rPr>
              <w:t>recognized</w:t>
            </w:r>
          </w:p>
        </w:tc>
        <w:tc>
          <w:tcPr>
            <w:tcW w:w="22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balance sheets</w:t>
            </w:r>
          </w:p>
        </w:tc>
        <w:tc>
          <w:tcPr>
            <w:tcW w:w="180" w:type="dxa"/>
            <w:vAlign w:val="bottom"/>
          </w:tcPr>
          <w:p>
            <w:pPr>
              <w:spacing w:after="0"/>
              <w:rPr>
                <w:sz w:val="17"/>
                <w:szCs w:val="17"/>
                <w:color w:val="auto"/>
              </w:rPr>
            </w:pP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w w:val="81"/>
              </w:rPr>
              <w:t>balance sheets</w:t>
            </w:r>
          </w:p>
        </w:tc>
        <w:tc>
          <w:tcPr>
            <w:tcW w:w="0" w:type="dxa"/>
            <w:vAlign w:val="bottom"/>
          </w:tcPr>
          <w:p>
            <w:pPr>
              <w:spacing w:after="0"/>
              <w:rPr>
                <w:sz w:val="1"/>
                <w:szCs w:val="1"/>
                <w:color w:val="auto"/>
              </w:rPr>
            </w:pPr>
          </w:p>
        </w:tc>
      </w:tr>
      <w:tr>
        <w:trPr>
          <w:trHeight w:val="191"/>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Current assets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365,741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(359,570)</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6,171</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199"/>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(487,257)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359,570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(127,687)</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(107,311)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104,287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191"/>
        </w:trPr>
        <w:tc>
          <w:tcPr>
            <w:tcW w:w="61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(122,116)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(122,116)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December 31, 2020</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Current assets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382,328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(375,601)</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199"/>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(420,787)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375,601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(45,186)</w:t>
            </w:r>
          </w:p>
        </w:tc>
        <w:tc>
          <w:tcPr>
            <w:tcW w:w="0" w:type="dxa"/>
            <w:vAlign w:val="bottom"/>
          </w:tcPr>
          <w:p>
            <w:pPr>
              <w:spacing w:after="0"/>
              <w:rPr>
                <w:sz w:val="1"/>
                <w:szCs w:val="1"/>
                <w:color w:val="auto"/>
              </w:rPr>
            </w:pPr>
          </w:p>
        </w:tc>
      </w:tr>
      <w:tr>
        <w:trPr>
          <w:trHeight w:val="199"/>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1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60" w:firstLine="387"/>
        <w:spacing w:after="0" w:line="297" w:lineRule="auto"/>
        <w:rPr>
          <w:sz w:val="20"/>
          <w:szCs w:val="20"/>
          <w:color w:val="auto"/>
        </w:rPr>
      </w:pPr>
      <w:r>
        <w:rPr>
          <w:rFonts w:ascii="Arial" w:cs="Arial" w:eastAsia="Arial" w:hAnsi="Arial"/>
          <w:sz w:val="15"/>
          <w:szCs w:val="15"/>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840" w:type="dxa"/>
            <w:vAlign w:val="bottom"/>
            <w:gridSpan w:val="4"/>
          </w:tcPr>
          <w:p>
            <w:pPr>
              <w:jc w:val="right"/>
              <w:ind w:right="484"/>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Type of Instrument</w:t>
            </w:r>
          </w:p>
        </w:tc>
        <w:tc>
          <w:tcPr>
            <w:tcW w:w="3220" w:type="dxa"/>
            <w:vAlign w:val="bottom"/>
          </w:tcPr>
          <w:p>
            <w:pPr>
              <w:ind w:left="1220"/>
              <w:spacing w:after="0" w:line="100" w:lineRule="exact"/>
              <w:rPr>
                <w:sz w:val="20"/>
                <w:szCs w:val="20"/>
                <w:color w:val="auto"/>
              </w:rPr>
            </w:pPr>
            <w:r>
              <w:rPr>
                <w:rFonts w:ascii="Arial" w:cs="Arial" w:eastAsia="Arial" w:hAnsi="Arial"/>
                <w:sz w:val="11"/>
                <w:szCs w:val="11"/>
                <w:b w:val="1"/>
                <w:bCs w:val="1"/>
                <w:color w:val="auto"/>
              </w:rPr>
              <w:t>Location in Condensed Consolidated</w:t>
            </w: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right"/>
              <w:ind w:right="32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restart"/>
          </w:tcPr>
          <w:p>
            <w:pPr>
              <w:jc w:val="right"/>
              <w:ind w:right="344"/>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restart"/>
          </w:tcPr>
          <w:p>
            <w:pPr>
              <w:jc w:val="right"/>
              <w:ind w:right="327"/>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restart"/>
          </w:tcPr>
          <w:p>
            <w:pPr>
              <w:jc w:val="right"/>
              <w:ind w:right="264"/>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3"/>
        </w:trPr>
        <w:tc>
          <w:tcPr>
            <w:tcW w:w="2300" w:type="dxa"/>
            <w:vAlign w:val="bottom"/>
            <w:gridSpan w:val="2"/>
            <w:vMerge w:val="continue"/>
          </w:tcPr>
          <w:p>
            <w:pPr>
              <w:spacing w:after="0"/>
              <w:rPr>
                <w:sz w:val="14"/>
                <w:szCs w:val="14"/>
                <w:color w:val="auto"/>
              </w:rPr>
            </w:pPr>
          </w:p>
        </w:tc>
        <w:tc>
          <w:tcPr>
            <w:tcW w:w="3220" w:type="dxa"/>
            <w:vAlign w:val="bottom"/>
          </w:tcPr>
          <w:p>
            <w:pPr>
              <w:ind w:left="1560"/>
              <w:spacing w:after="0"/>
              <w:rPr>
                <w:sz w:val="20"/>
                <w:szCs w:val="20"/>
                <w:color w:val="auto"/>
              </w:rPr>
            </w:pPr>
            <w:r>
              <w:rPr>
                <w:rFonts w:ascii="Arial" w:cs="Arial" w:eastAsia="Arial" w:hAnsi="Arial"/>
                <w:sz w:val="12"/>
                <w:szCs w:val="12"/>
                <w:b w:val="1"/>
                <w:bCs w:val="1"/>
                <w:color w:val="auto"/>
              </w:rPr>
              <w:t>Statement of Operations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Derivative Instrument</w:t>
            </w:r>
          </w:p>
        </w:tc>
        <w:tc>
          <w:tcPr>
            <w:tcW w:w="12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00" w:type="dxa"/>
            <w:vAlign w:val="bottom"/>
            <w:gridSpan w:val="2"/>
          </w:tcPr>
          <w:p>
            <w:pPr>
              <w:ind w:left="300"/>
              <w:spacing w:after="0"/>
              <w:rPr>
                <w:sz w:val="20"/>
                <w:szCs w:val="20"/>
                <w:color w:val="auto"/>
              </w:rPr>
            </w:pPr>
            <w:r>
              <w:rPr>
                <w:rFonts w:ascii="Arial" w:cs="Arial" w:eastAsia="Arial" w:hAnsi="Arial"/>
                <w:sz w:val="16"/>
                <w:szCs w:val="16"/>
                <w:color w:val="auto"/>
              </w:rPr>
              <w:t>Oil</w:t>
            </w:r>
          </w:p>
        </w:tc>
        <w:tc>
          <w:tcPr>
            <w:tcW w:w="3220" w:type="dxa"/>
            <w:vAlign w:val="bottom"/>
          </w:tcPr>
          <w:p>
            <w:pPr>
              <w:spacing w:after="0"/>
              <w:rPr>
                <w:sz w:val="20"/>
                <w:szCs w:val="20"/>
                <w:color w:val="auto"/>
              </w:rPr>
            </w:pPr>
            <w:r>
              <w:rPr>
                <w:rFonts w:ascii="Arial" w:cs="Arial" w:eastAsia="Arial" w:hAnsi="Arial"/>
                <w:sz w:val="16"/>
                <w:szCs w:val="16"/>
                <w:color w:val="auto"/>
                <w:w w:val="98"/>
              </w:rPr>
              <w:t>Revenues: Realized (loss) gain on derivatives</w:t>
            </w:r>
          </w:p>
        </w:tc>
        <w:tc>
          <w:tcPr>
            <w:tcW w:w="1560" w:type="dxa"/>
            <w:vAlign w:val="bottom"/>
            <w:gridSpan w:val="3"/>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(42,611)</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44,110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(68,686)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54,977</w:t>
            </w:r>
          </w:p>
        </w:tc>
        <w:tc>
          <w:tcPr>
            <w:tcW w:w="0" w:type="dxa"/>
            <w:vAlign w:val="bottom"/>
          </w:tcPr>
          <w:p>
            <w:pPr>
              <w:spacing w:after="0"/>
              <w:rPr>
                <w:sz w:val="1"/>
                <w:szCs w:val="1"/>
                <w:color w:val="auto"/>
              </w:rPr>
            </w:pPr>
          </w:p>
        </w:tc>
      </w:tr>
      <w:tr>
        <w:trPr>
          <w:trHeight w:val="199"/>
        </w:trPr>
        <w:tc>
          <w:tcPr>
            <w:tcW w:w="23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Natural Gas</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Revenues: Realized gain on derivatives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520" w:type="dxa"/>
            <w:vAlign w:val="bottom"/>
            <w:tcBorders>
              <w:bottom w:val="single" w:sz="8" w:color="CCEEFF"/>
            </w:tcBorders>
            <w:gridSpan w:val="3"/>
          </w:tcPr>
          <w:p>
            <w:pPr>
              <w:ind w:left="460"/>
              <w:spacing w:after="0" w:line="179" w:lineRule="exact"/>
              <w:rPr>
                <w:sz w:val="20"/>
                <w:szCs w:val="20"/>
                <w:color w:val="auto"/>
              </w:rPr>
            </w:pPr>
            <w:r>
              <w:rPr>
                <w:rFonts w:ascii="Arial" w:cs="Arial" w:eastAsia="Arial" w:hAnsi="Arial"/>
                <w:sz w:val="16"/>
                <w:szCs w:val="16"/>
                <w:color w:val="auto"/>
              </w:rPr>
              <w:t>Realized (loss) gain on derivatives</w:t>
            </w: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(42,611)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44,110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54,977</w:t>
            </w:r>
          </w:p>
        </w:tc>
        <w:tc>
          <w:tcPr>
            <w:tcW w:w="0" w:type="dxa"/>
            <w:vAlign w:val="bottom"/>
          </w:tcPr>
          <w:p>
            <w:pPr>
              <w:spacing w:after="0"/>
              <w:rPr>
                <w:sz w:val="1"/>
                <w:szCs w:val="1"/>
                <w:color w:val="auto"/>
              </w:rPr>
            </w:pPr>
          </w:p>
        </w:tc>
      </w:tr>
      <w:tr>
        <w:trPr>
          <w:trHeight w:val="191"/>
        </w:trPr>
        <w:tc>
          <w:tcPr>
            <w:tcW w:w="23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Oil</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w w:val="94"/>
              </w:rPr>
              <w:t>Revenues: Unrealized (loss) gain on derivatives</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199"/>
        </w:trPr>
        <w:tc>
          <w:tcPr>
            <w:tcW w:w="23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Natural Gas</w:t>
            </w:r>
          </w:p>
        </w:tc>
        <w:tc>
          <w:tcPr>
            <w:tcW w:w="3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4"/>
              </w:rPr>
              <w:t>Revenues: Unrealized (loss) gain on derivatives</w:t>
            </w: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191"/>
        </w:trPr>
        <w:tc>
          <w:tcPr>
            <w:tcW w:w="5520" w:type="dxa"/>
            <w:vAlign w:val="bottom"/>
            <w:gridSpan w:val="3"/>
            <w:shd w:val="clear" w:color="auto" w:fill="CCEEFF"/>
          </w:tcPr>
          <w:p>
            <w:pPr>
              <w:ind w:left="460"/>
              <w:spacing w:after="0" w:line="179" w:lineRule="exact"/>
              <w:rPr>
                <w:sz w:val="20"/>
                <w:szCs w:val="20"/>
                <w:color w:val="auto"/>
              </w:rPr>
            </w:pPr>
            <w:r>
              <w:rPr>
                <w:rFonts w:ascii="Arial" w:cs="Arial" w:eastAsia="Arial" w:hAnsi="Arial"/>
                <w:sz w:val="16"/>
                <w:szCs w:val="16"/>
                <w:color w:val="auto"/>
              </w:rPr>
              <w:t>Unrealized (loss) gain on derivatives</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191"/>
        </w:trPr>
        <w:tc>
          <w:tcPr>
            <w:tcW w:w="2300" w:type="dxa"/>
            <w:vAlign w:val="bottom"/>
            <w:gridSpan w:val="2"/>
          </w:tcPr>
          <w:p>
            <w:pPr>
              <w:ind w:left="960"/>
              <w:spacing w:after="0" w:line="179" w:lineRule="exact"/>
              <w:rPr>
                <w:sz w:val="20"/>
                <w:szCs w:val="20"/>
                <w:color w:val="auto"/>
              </w:rPr>
            </w:pPr>
            <w:r>
              <w:rPr>
                <w:rFonts w:ascii="Arial" w:cs="Arial" w:eastAsia="Arial" w:hAnsi="Arial"/>
                <w:sz w:val="16"/>
                <w:szCs w:val="16"/>
                <w:color w:val="auto"/>
              </w:rPr>
              <w:t>Total</w:t>
            </w:r>
          </w:p>
        </w:tc>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(85,415)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(154,751)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20" w:type="dxa"/>
            <w:vAlign w:val="bottom"/>
            <w:vMerge w:val="restart"/>
          </w:tcPr>
          <w:p>
            <w:pPr>
              <w:jc w:val="right"/>
              <w:ind w:right="962"/>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FAIR VALUE MEASUREMENTS</w:t>
      </w:r>
    </w:p>
    <w:p>
      <w:pPr>
        <w:spacing w:after="0" w:line="101" w:lineRule="exact"/>
        <w:rPr>
          <w:sz w:val="20"/>
          <w:szCs w:val="20"/>
          <w:color w:val="auto"/>
        </w:rPr>
      </w:pPr>
    </w:p>
    <w:p>
      <w:pPr>
        <w:jc w:val="both"/>
        <w:ind w:right="40" w:firstLine="387"/>
        <w:spacing w:after="0" w:line="254"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2"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3"/>
          <w:szCs w:val="13"/>
          <w:color w:val="auto"/>
        </w:rPr>
        <w:t>Unadjusted quoted prices for identical, unrestricted assets or liabilities in active markets.</w:t>
      </w:r>
    </w:p>
    <w:p>
      <w:pPr>
        <w:spacing w:after="0" w:line="97" w:lineRule="exact"/>
        <w:rPr>
          <w:sz w:val="20"/>
          <w:szCs w:val="20"/>
          <w:color w:val="auto"/>
        </w:rPr>
      </w:pPr>
    </w:p>
    <w:p>
      <w:pPr>
        <w:ind w:left="560" w:right="20" w:hanging="561"/>
        <w:spacing w:after="0" w:line="249" w:lineRule="auto"/>
        <w:tabs>
          <w:tab w:leader="none" w:pos="540" w:val="left"/>
        </w:tabs>
        <w:rPr>
          <w:sz w:val="20"/>
          <w:szCs w:val="20"/>
          <w:color w:val="auto"/>
        </w:rPr>
      </w:pPr>
      <w:r>
        <w:rPr>
          <w:rFonts w:ascii="Arial" w:cs="Arial" w:eastAsia="Arial" w:hAnsi="Arial"/>
          <w:sz w:val="16"/>
          <w:szCs w:val="16"/>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3"/>
          <w:szCs w:val="13"/>
          <w:color w:val="auto"/>
        </w:rPr>
        <w:t>Unobservable inputs that are not corroborated by market data that reflect a company’s own market assumptions.</w:t>
      </w:r>
    </w:p>
    <w:p>
      <w:pPr>
        <w:spacing w:after="0" w:line="97" w:lineRule="exact"/>
        <w:rPr>
          <w:sz w:val="20"/>
          <w:szCs w:val="20"/>
          <w:color w:val="auto"/>
        </w:rPr>
      </w:pPr>
    </w:p>
    <w:p>
      <w:pPr>
        <w:jc w:val="both"/>
        <w:ind w:right="400" w:firstLine="387"/>
        <w:spacing w:after="0" w:line="254" w:lineRule="auto"/>
        <w:rPr>
          <w:sz w:val="20"/>
          <w:szCs w:val="20"/>
          <w:color w:val="auto"/>
        </w:rPr>
      </w:pPr>
      <w:r>
        <w:rPr>
          <w:rFonts w:ascii="Arial" w:cs="Arial" w:eastAsia="Arial" w:hAnsi="Arial"/>
          <w:sz w:val="16"/>
          <w:szCs w:val="16"/>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2" w:lineRule="exact"/>
        <w:rPr>
          <w:sz w:val="20"/>
          <w:szCs w:val="20"/>
          <w:color w:val="auto"/>
        </w:rPr>
      </w:pPr>
    </w:p>
    <w:p>
      <w:pPr>
        <w:ind w:right="220" w:firstLine="387"/>
        <w:spacing w:after="0" w:line="264" w:lineRule="auto"/>
        <w:rPr>
          <w:sz w:val="20"/>
          <w:szCs w:val="20"/>
          <w:color w:val="auto"/>
        </w:rPr>
      </w:pPr>
      <w:r>
        <w:rPr>
          <w:rFonts w:ascii="Arial" w:cs="Arial" w:eastAsia="Arial" w:hAnsi="Arial"/>
          <w:sz w:val="16"/>
          <w:szCs w:val="16"/>
          <w:color w:val="auto"/>
        </w:rPr>
        <w:t>The following tables summarize the valuation of the Company’s financial assets and liabilities that were accounted for at fair value on a recurring basis in accordance with the classifications provided above as of June 30, 2021 and December 31,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8"/>
              </w:rPr>
              <w:t>Fair Value Measurements at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9"/>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87"/>
              </w:rPr>
              <w:t>June 30, 2021 using</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1"/>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191"/>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Assets (Liabilities)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99"/>
        </w:trPr>
        <w:tc>
          <w:tcPr>
            <w:tcW w:w="6840" w:type="dxa"/>
            <w:vAlign w:val="bottom"/>
            <w:gridSpan w:val="2"/>
          </w:tcPr>
          <w:p>
            <w:pPr>
              <w:ind w:left="120"/>
              <w:spacing w:after="0"/>
              <w:rPr>
                <w:sz w:val="20"/>
                <w:szCs w:val="20"/>
                <w:color w:val="auto"/>
              </w:rPr>
            </w:pPr>
            <w:r>
              <w:rPr>
                <w:rFonts w:ascii="Arial" w:cs="Arial" w:eastAsia="Arial" w:hAnsi="Arial"/>
                <w:sz w:val="16"/>
                <w:szCs w:val="16"/>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(116,016)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(116,016)</w:t>
            </w:r>
          </w:p>
        </w:tc>
      </w:tr>
      <w:tr>
        <w:trPr>
          <w:trHeight w:val="199"/>
        </w:trPr>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Natural gas derivatives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r>
      <w:tr>
        <w:trPr>
          <w:trHeight w:val="191"/>
        </w:trPr>
        <w:tc>
          <w:tcPr>
            <w:tcW w:w="6840" w:type="dxa"/>
            <w:vAlign w:val="bottom"/>
            <w:gridSpan w:val="2"/>
          </w:tcPr>
          <w:p>
            <w:pPr>
              <w:ind w:left="400"/>
              <w:spacing w:after="0" w:line="179"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(122,116)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(122,116)</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60"/>
              <w:spacing w:after="0"/>
              <w:rPr>
                <w:sz w:val="20"/>
                <w:szCs w:val="20"/>
                <w:color w:val="auto"/>
              </w:rPr>
            </w:pPr>
            <w:r>
              <w:rPr>
                <w:rFonts w:ascii="Arial" w:cs="Arial" w:eastAsia="Arial" w:hAnsi="Arial"/>
                <w:sz w:val="16"/>
                <w:szCs w:val="16"/>
                <w:b w:val="1"/>
                <w:bCs w:val="1"/>
                <w:color w:val="auto"/>
                <w:w w:val="95"/>
              </w:rPr>
              <w:t>Fair Value Measurements at</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9"/>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9"/>
              </w:rPr>
              <w:t>December 31, 2020 using</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91"/>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6"/>
                <w:szCs w:val="16"/>
                <w:color w:val="auto"/>
              </w:rPr>
            </w:pPr>
          </w:p>
        </w:tc>
        <w:tc>
          <w:tcPr>
            <w:tcW w:w="880" w:type="dxa"/>
            <w:vAlign w:val="bottom"/>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191"/>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Assets (Liabilities)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199"/>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(41,584)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(41,584)</w:t>
            </w:r>
          </w:p>
        </w:tc>
      </w:tr>
      <w:tr>
        <w:trPr>
          <w:trHeight w:val="199"/>
        </w:trPr>
        <w:tc>
          <w:tcPr>
            <w:tcW w:w="6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Natural gas derivatives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w:t>
            </w:r>
          </w:p>
        </w:tc>
      </w:tr>
      <w:tr>
        <w:trPr>
          <w:trHeight w:val="191"/>
        </w:trPr>
        <w:tc>
          <w:tcPr>
            <w:tcW w:w="6860" w:type="dxa"/>
            <w:vAlign w:val="bottom"/>
            <w:gridSpan w:val="2"/>
          </w:tcPr>
          <w:p>
            <w:pPr>
              <w:ind w:left="400"/>
              <w:spacing w:after="0" w:line="179"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(35,889)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(35,889)</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Additional disclosures related to derivative financial instruments are provided in Note 7.</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Fair Value Measurements</w:t>
      </w:r>
    </w:p>
    <w:p>
      <w:pPr>
        <w:spacing w:after="0" w:line="97" w:lineRule="exact"/>
        <w:rPr>
          <w:sz w:val="20"/>
          <w:szCs w:val="20"/>
          <w:color w:val="auto"/>
        </w:rPr>
      </w:pPr>
    </w:p>
    <w:p>
      <w:pPr>
        <w:ind w:right="80" w:firstLine="387"/>
        <w:spacing w:after="0" w:line="254" w:lineRule="auto"/>
        <w:rPr>
          <w:sz w:val="20"/>
          <w:szCs w:val="20"/>
          <w:color w:val="auto"/>
        </w:rPr>
      </w:pPr>
      <w:r>
        <w:rPr>
          <w:rFonts w:ascii="Arial" w:cs="Arial" w:eastAsia="Arial" w:hAnsi="Arial"/>
          <w:sz w:val="16"/>
          <w:szCs w:val="16"/>
          <w:color w:val="auto"/>
        </w:rPr>
        <w:t>At June 30, 2021 and December 31, 2020,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72" w:lineRule="exact"/>
        <w:rPr>
          <w:sz w:val="20"/>
          <w:szCs w:val="20"/>
          <w:color w:val="auto"/>
        </w:rPr>
      </w:pPr>
    </w:p>
    <w:p>
      <w:pPr>
        <w:ind w:right="200" w:firstLine="387"/>
        <w:spacing w:after="0" w:line="380" w:lineRule="auto"/>
        <w:rPr>
          <w:sz w:val="20"/>
          <w:szCs w:val="20"/>
          <w:color w:val="auto"/>
        </w:rPr>
      </w:pPr>
      <w:r>
        <w:rPr>
          <w:rFonts w:ascii="Arial" w:cs="Arial" w:eastAsia="Arial" w:hAnsi="Arial"/>
          <w:sz w:val="13"/>
          <w:szCs w:val="13"/>
          <w:color w:val="auto"/>
        </w:rPr>
        <w:t>At June 30, 2021 and December 31, 2020,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CONTINUED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FAIR VALUE MEASUREMENTS — Continued</w:t>
      </w:r>
    </w:p>
    <w:p>
      <w:pPr>
        <w:spacing w:after="0" w:line="300" w:lineRule="exact"/>
        <w:rPr>
          <w:sz w:val="20"/>
          <w:szCs w:val="20"/>
          <w:color w:val="auto"/>
        </w:rPr>
      </w:pPr>
    </w:p>
    <w:p>
      <w:pPr>
        <w:ind w:right="100" w:firstLine="387"/>
        <w:spacing w:after="0" w:line="264" w:lineRule="auto"/>
        <w:rPr>
          <w:sz w:val="20"/>
          <w:szCs w:val="20"/>
          <w:color w:val="auto"/>
        </w:rPr>
      </w:pPr>
      <w:r>
        <w:rPr>
          <w:rFonts w:ascii="Arial" w:cs="Arial" w:eastAsia="Arial" w:hAnsi="Arial"/>
          <w:sz w:val="16"/>
          <w:szCs w:val="16"/>
          <w:color w:val="auto"/>
        </w:rPr>
        <w:t>At June 30, 2021 and December 31, 2020, the fair value of the Notes was $1.08 billion and $1.03 billion, respectively, based on quoted market prices, which represent Level 1 inputs in the fair value hierarchy.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COMMITMENTS AND CONTINGENCIES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Processing, Transportation and Produced Water Disposal Commitments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Firm Commitments</w:t>
      </w:r>
    </w:p>
    <w:p>
      <w:pPr>
        <w:spacing w:after="0" w:line="97" w:lineRule="exact"/>
        <w:rPr>
          <w:sz w:val="20"/>
          <w:szCs w:val="20"/>
          <w:color w:val="auto"/>
        </w:rPr>
      </w:pPr>
    </w:p>
    <w:p>
      <w:pPr>
        <w:ind w:right="80" w:firstLine="387"/>
        <w:spacing w:after="0" w:line="316" w:lineRule="auto"/>
        <w:rPr>
          <w:sz w:val="20"/>
          <w:szCs w:val="20"/>
          <w:color w:val="auto"/>
        </w:rPr>
      </w:pPr>
      <w:r>
        <w:rPr>
          <w:rFonts w:ascii="Arial" w:cs="Arial" w:eastAsia="Arial" w:hAnsi="Arial"/>
          <w:sz w:val="13"/>
          <w:szCs w:val="13"/>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$15.1 million and $11.4 million for deliveries under these agreements during the three months ended June 30, 2021 and 2020, respectively, and $27.7 million and $22.4 million for deliveries under these agreements during the six months ended June 30, 2021 and 2020,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June 30, 2021, the total deficiencies required to be paid by the Company under these agreements would be approximately $601.8 million.</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Future Commitments</w:t>
      </w:r>
    </w:p>
    <w:p>
      <w:pPr>
        <w:spacing w:after="0" w:line="97" w:lineRule="exact"/>
        <w:rPr>
          <w:sz w:val="20"/>
          <w:szCs w:val="20"/>
          <w:color w:val="auto"/>
        </w:rPr>
      </w:pPr>
    </w:p>
    <w:p>
      <w:pPr>
        <w:ind w:firstLine="387"/>
        <w:spacing w:after="0" w:line="249" w:lineRule="auto"/>
        <w:rPr>
          <w:sz w:val="20"/>
          <w:szCs w:val="20"/>
          <w:color w:val="auto"/>
        </w:rPr>
      </w:pPr>
      <w:r>
        <w:rPr>
          <w:rFonts w:ascii="Arial" w:cs="Arial" w:eastAsia="Arial" w:hAnsi="Arial"/>
          <w:sz w:val="16"/>
          <w:szCs w:val="16"/>
          <w:color w:val="auto"/>
        </w:rPr>
        <w:t>The Company entered into a 10-year, fixed-fee natural gas transportation agreement whereby the Company committed to deliver a portion of the residue gas production at the tailgate of San Mateo’s cryogenic natural gas processing plant in Eddy County, New Mexico for transportation through the counterparty’s pipeline. The agreement begins when the counterparty’s pipeline is placed in service, which is anticipated to be in the fourth quarter of 2021. Should the pipeline be placed in service, the Company would owe the fees to transport the committed volume whether or not the committed volume is transported through the counterparty’s pipeline, and the minimum contractual obligation would be approximately $30.7 million.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San Mateo Commitments</w:t>
      </w:r>
    </w:p>
    <w:p>
      <w:pPr>
        <w:spacing w:after="0" w:line="97" w:lineRule="exact"/>
        <w:rPr>
          <w:sz w:val="20"/>
          <w:szCs w:val="20"/>
          <w:color w:val="auto"/>
        </w:rPr>
      </w:pPr>
    </w:p>
    <w:p>
      <w:pPr>
        <w:ind w:right="40" w:firstLine="387"/>
        <w:spacing w:after="0" w:line="316" w:lineRule="auto"/>
        <w:rPr>
          <w:sz w:val="20"/>
          <w:szCs w:val="20"/>
          <w:color w:val="auto"/>
        </w:rPr>
      </w:pPr>
      <w:r>
        <w:rPr>
          <w:rFonts w:ascii="Arial" w:cs="Arial" w:eastAsia="Arial" w:hAnsi="Arial"/>
          <w:sz w:val="13"/>
          <w:szCs w:val="13"/>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the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June 30, 2021 was approximately $430.0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Legal Proceedings</w:t>
      </w:r>
    </w:p>
    <w:p>
      <w:pPr>
        <w:spacing w:after="0" w:line="97" w:lineRule="exact"/>
        <w:rPr>
          <w:sz w:val="20"/>
          <w:szCs w:val="20"/>
          <w:color w:val="auto"/>
        </w:rPr>
      </w:pPr>
    </w:p>
    <w:p>
      <w:pPr>
        <w:jc w:val="both"/>
        <w:ind w:right="160" w:firstLine="387"/>
        <w:spacing w:after="0" w:line="254" w:lineRule="auto"/>
        <w:rPr>
          <w:sz w:val="20"/>
          <w:szCs w:val="20"/>
          <w:color w:val="auto"/>
        </w:rPr>
      </w:pPr>
      <w:r>
        <w:rPr>
          <w:rFonts w:ascii="Arial" w:cs="Arial" w:eastAsia="Arial" w:hAnsi="Arial"/>
          <w:sz w:val="16"/>
          <w:szCs w:val="16"/>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SUPPLEMENTAL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Accrued Liabilities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Company’s current accrued liabilities at June 30, 2021 and December 31,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b w:val="1"/>
                <w:bCs w:val="1"/>
                <w:color w:val="auto"/>
                <w:w w:val="94"/>
              </w:rPr>
              <w:t>December 31,</w:t>
            </w:r>
          </w:p>
        </w:tc>
      </w:tr>
      <w:tr>
        <w:trPr>
          <w:trHeight w:val="199"/>
        </w:trPr>
        <w:tc>
          <w:tcPr>
            <w:tcW w:w="8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2020</w:t>
            </w:r>
          </w:p>
        </w:tc>
      </w:tr>
      <w:tr>
        <w:trPr>
          <w:trHeight w:val="191"/>
        </w:trPr>
        <w:tc>
          <w:tcPr>
            <w:tcW w:w="82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Accrued evaluated and unproved and unevaluated property costs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44,012</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Accrued midstream properties costs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12,776</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Accrued lease operating expenses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24,276</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Accrued interest on debt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18,315</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Accrued asset retirement obligations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Accrued partners’ share of joint interest charges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7,407</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Accrued payable related to purchased natural gas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199"/>
        </w:trPr>
        <w:tc>
          <w:tcPr>
            <w:tcW w:w="8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11,331</w:t>
            </w:r>
          </w:p>
        </w:tc>
      </w:tr>
      <w:tr>
        <w:trPr>
          <w:trHeight w:val="216"/>
        </w:trPr>
        <w:tc>
          <w:tcPr>
            <w:tcW w:w="8220" w:type="dxa"/>
            <w:vAlign w:val="bottom"/>
            <w:tcBorders>
              <w:bottom w:val="single" w:sz="8" w:color="CCEEFF"/>
            </w:tcBorders>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accrued liabilities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119,158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Supplemental Cash Flow Information</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supplemental disclosures of cash flow information for the three months ended June 30, 2021 and 2020 (in thousands).</w:t>
      </w:r>
    </w:p>
    <w:p>
      <w:pPr>
        <w:spacing w:after="0" w:line="185"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Six Months Ended</w:t>
      </w:r>
    </w:p>
    <w:p>
      <w:pPr>
        <w:ind w:left="9460"/>
        <w:spacing w:after="0"/>
        <w:rPr>
          <w:sz w:val="20"/>
          <w:szCs w:val="20"/>
          <w:color w:val="auto"/>
        </w:rPr>
      </w:pPr>
      <w:r>
        <w:rPr>
          <w:rFonts w:ascii="Arial" w:cs="Arial" w:eastAsia="Arial" w:hAnsi="Arial"/>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2020</w:t>
            </w:r>
          </w:p>
        </w:tc>
      </w:tr>
      <w:tr>
        <w:trPr>
          <w:trHeight w:val="191"/>
        </w:trPr>
        <w:tc>
          <w:tcPr>
            <w:tcW w:w="82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Cash paid for interest expense, net of amounts capitalized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37,517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38,387</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Increase in asset retirement obligations related to mineral properties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Increase in asset retirement obligations related to midstream properties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Increase in liabilities for drilling, completion and equipping capital expenditures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16,072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6,813</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liabilities for acquisition of oil and natural gas properties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(Decrease) increase in liabilities for midstream properties capital expenditures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(7,634)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9,203</w:t>
            </w:r>
          </w:p>
        </w:tc>
      </w:tr>
      <w:tr>
        <w:trPr>
          <w:trHeight w:val="199"/>
        </w:trPr>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 (benefit) recognized as a liability</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15,489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199"/>
        </w:trPr>
        <w:tc>
          <w:tcPr>
            <w:tcW w:w="8220" w:type="dxa"/>
            <w:vAlign w:val="bottom"/>
          </w:tcPr>
          <w:p>
            <w:pPr>
              <w:spacing w:after="0"/>
              <w:rPr>
                <w:sz w:val="20"/>
                <w:szCs w:val="20"/>
                <w:color w:val="auto"/>
              </w:rPr>
            </w:pPr>
            <w:r>
              <w:rPr>
                <w:rFonts w:ascii="Arial" w:cs="Arial" w:eastAsia="Arial" w:hAnsi="Arial"/>
                <w:sz w:val="16"/>
                <w:szCs w:val="16"/>
                <w:color w:val="auto"/>
              </w:rPr>
              <w:t>Transfer of inventory to oil and natural gas properties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(335)</w:t>
            </w:r>
          </w:p>
        </w:tc>
      </w:tr>
    </w:tbl>
    <w:p>
      <w:pPr>
        <w:spacing w:after="0" w:line="81" w:lineRule="exact"/>
        <w:rPr>
          <w:sz w:val="20"/>
          <w:szCs w:val="20"/>
          <w:color w:val="auto"/>
        </w:rPr>
      </w:pPr>
    </w:p>
    <w:p>
      <w:pPr>
        <w:ind w:right="120" w:firstLine="387"/>
        <w:spacing w:after="0" w:line="264" w:lineRule="auto"/>
        <w:rPr>
          <w:sz w:val="20"/>
          <w:szCs w:val="20"/>
          <w:color w:val="auto"/>
        </w:rPr>
      </w:pPr>
      <w:r>
        <w:rPr>
          <w:rFonts w:ascii="Arial" w:cs="Arial" w:eastAsia="Arial" w:hAnsi="Arial"/>
          <w:sz w:val="16"/>
          <w:szCs w:val="16"/>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63"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Six Months Ended</w:t>
      </w:r>
    </w:p>
    <w:p>
      <w:pPr>
        <w:ind w:left="9460"/>
        <w:spacing w:after="0"/>
        <w:rPr>
          <w:sz w:val="20"/>
          <w:szCs w:val="20"/>
          <w:color w:val="auto"/>
        </w:rPr>
      </w:pPr>
      <w:r>
        <w:rPr>
          <w:rFonts w:ascii="Arial" w:cs="Arial" w:eastAsia="Arial" w:hAnsi="Arial"/>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Cash</w:t>
            </w:r>
          </w:p>
        </w:tc>
        <w:tc>
          <w:tcPr>
            <w:tcW w:w="4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44,632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20,573</w:t>
            </w:r>
          </w:p>
        </w:tc>
        <w:tc>
          <w:tcPr>
            <w:tcW w:w="0" w:type="dxa"/>
            <w:vAlign w:val="bottom"/>
          </w:tcPr>
          <w:p>
            <w:pPr>
              <w:spacing w:after="0"/>
              <w:rPr>
                <w:sz w:val="1"/>
                <w:szCs w:val="1"/>
                <w:color w:val="auto"/>
              </w:rPr>
            </w:pPr>
          </w:p>
        </w:tc>
      </w:tr>
      <w:tr>
        <w:trPr>
          <w:trHeight w:val="199"/>
        </w:trPr>
        <w:tc>
          <w:tcPr>
            <w:tcW w:w="3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w:t>
            </w:r>
          </w:p>
        </w:tc>
        <w:tc>
          <w:tcPr>
            <w:tcW w:w="4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34,576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22,935</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shd w:val="clear" w:color="auto" w:fill="CCEEFF"/>
          </w:tcPr>
          <w:p>
            <w:pPr>
              <w:ind w:left="580"/>
              <w:spacing w:after="0" w:line="179" w:lineRule="exact"/>
              <w:rPr>
                <w:sz w:val="20"/>
                <w:szCs w:val="20"/>
                <w:color w:val="auto"/>
              </w:rPr>
            </w:pPr>
            <w:r>
              <w:rPr>
                <w:rFonts w:ascii="Arial" w:cs="Arial" w:eastAsia="Arial" w:hAnsi="Arial"/>
                <w:sz w:val="16"/>
                <w:szCs w:val="16"/>
                <w:color w:val="auto"/>
              </w:rPr>
              <w:t>Total cash and restricted cash</w:t>
            </w:r>
          </w:p>
        </w:tc>
        <w:tc>
          <w:tcPr>
            <w:tcW w:w="4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79,208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442"/>
              <w:spacing w:after="0"/>
              <w:rPr>
                <w:sz w:val="20"/>
                <w:szCs w:val="20"/>
                <w:color w:val="auto"/>
              </w:rPr>
            </w:pPr>
            <w:r>
              <w:rPr>
                <w:rFonts w:ascii="Arial" w:cs="Arial" w:eastAsia="Arial" w:hAnsi="Arial"/>
                <w:sz w:val="16"/>
                <w:szCs w:val="16"/>
                <w:color w:val="auto"/>
              </w:rPr>
              <w:t>17</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39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98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7" w:name="page18"/>
    <w:bookmarkEnd w:id="17"/>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066"/>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2986"/>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11 — SEGMENT INFORMATION</w:t>
      </w:r>
    </w:p>
    <w:p>
      <w:pPr>
        <w:spacing w:after="0" w:line="101" w:lineRule="exact"/>
        <w:rPr>
          <w:sz w:val="20"/>
          <w:szCs w:val="20"/>
          <w:color w:val="auto"/>
        </w:rPr>
      </w:pPr>
    </w:p>
    <w:p>
      <w:pPr>
        <w:ind w:left="6" w:right="60" w:firstLine="387"/>
        <w:spacing w:after="0" w:line="314" w:lineRule="auto"/>
        <w:rPr>
          <w:sz w:val="20"/>
          <w:szCs w:val="20"/>
          <w:color w:val="auto"/>
        </w:rPr>
      </w:pPr>
      <w:r>
        <w:rPr>
          <w:rFonts w:ascii="Arial" w:cs="Arial" w:eastAsia="Arial" w:hAnsi="Arial"/>
          <w:sz w:val="13"/>
          <w:szCs w:val="13"/>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which comprise most of the Company’s midstream operations, are conducted through San Mateo. San Mateo and its subsidiaries are not guarantors of the Notes.</w:t>
      </w:r>
    </w:p>
    <w:p>
      <w:pPr>
        <w:spacing w:after="0" w:line="37" w:lineRule="exact"/>
        <w:rPr>
          <w:sz w:val="20"/>
          <w:szCs w:val="20"/>
          <w:color w:val="auto"/>
        </w:rPr>
      </w:pPr>
    </w:p>
    <w:p>
      <w:pPr>
        <w:ind w:left="6" w:firstLine="387"/>
        <w:spacing w:after="0" w:line="268" w:lineRule="auto"/>
        <w:rPr>
          <w:sz w:val="20"/>
          <w:szCs w:val="20"/>
          <w:color w:val="auto"/>
        </w:rPr>
      </w:pPr>
      <w:r>
        <w:rPr>
          <w:rFonts w:ascii="Arial" w:cs="Arial" w:eastAsia="Arial" w:hAnsi="Arial"/>
          <w:sz w:val="15"/>
          <w:szCs w:val="15"/>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08"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Exploration and</w:t>
            </w:r>
          </w:p>
        </w:tc>
        <w:tc>
          <w:tcPr>
            <w:tcW w:w="180" w:type="dxa"/>
            <w:vAlign w:val="bottom"/>
          </w:tcPr>
          <w:p>
            <w:pPr>
              <w:spacing w:after="0"/>
              <w:rPr>
                <w:sz w:val="16"/>
                <w:szCs w:val="1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Midstream</w:t>
            </w: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Consolidations and</w:t>
            </w:r>
          </w:p>
        </w:tc>
        <w:tc>
          <w:tcPr>
            <w:tcW w:w="180" w:type="dxa"/>
            <w:vAlign w:val="bottom"/>
          </w:tcPr>
          <w:p>
            <w:pPr>
              <w:spacing w:after="0"/>
              <w:rPr>
                <w:sz w:val="16"/>
                <w:szCs w:val="16"/>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Production</w:t>
            </w: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7"/>
                <w:szCs w:val="17"/>
                <w:color w:val="auto"/>
              </w:rPr>
            </w:pPr>
          </w:p>
        </w:tc>
        <w:tc>
          <w:tcPr>
            <w:tcW w:w="1200" w:type="dxa"/>
            <w:vAlign w:val="bottom"/>
          </w:tcPr>
          <w:p>
            <w:pPr>
              <w:jc w:val="right"/>
              <w:ind w:right="282"/>
              <w:spacing w:after="0"/>
              <w:rPr>
                <w:sz w:val="20"/>
                <w:szCs w:val="20"/>
                <w:color w:val="auto"/>
              </w:rPr>
            </w:pPr>
            <w:r>
              <w:rPr>
                <w:rFonts w:ascii="Arial" w:cs="Arial" w:eastAsia="Arial" w:hAnsi="Arial"/>
                <w:sz w:val="16"/>
                <w:szCs w:val="16"/>
                <w:b w:val="1"/>
                <w:bCs w:val="1"/>
                <w:color w:val="auto"/>
              </w:rPr>
              <w:t>Company</w:t>
            </w:r>
          </w:p>
        </w:tc>
        <w:tc>
          <w:tcPr>
            <w:tcW w:w="0" w:type="dxa"/>
            <w:vAlign w:val="bottom"/>
          </w:tcPr>
          <w:p>
            <w:pPr>
              <w:spacing w:after="0"/>
              <w:rPr>
                <w:sz w:val="1"/>
                <w:szCs w:val="1"/>
                <w:color w:val="auto"/>
              </w:rPr>
            </w:pPr>
          </w:p>
        </w:tc>
      </w:tr>
      <w:tr>
        <w:trPr>
          <w:trHeight w:val="179"/>
        </w:trPr>
        <w:tc>
          <w:tcPr>
            <w:tcW w:w="402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Three Months Ended June 30, 2021</w:t>
            </w: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color w:val="auto"/>
              </w:rPr>
              <w:t>Oil and natural gas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411,134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412,074</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services revenues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0"/>
              </w:rPr>
              <w:t>(39,841)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w:t>
            </w:r>
          </w:p>
        </w:tc>
        <w:tc>
          <w:tcPr>
            <w:tcW w:w="0" w:type="dxa"/>
            <w:vAlign w:val="bottom"/>
          </w:tcPr>
          <w:p>
            <w:pPr>
              <w:spacing w:after="0"/>
              <w:rPr>
                <w:sz w:val="1"/>
                <w:szCs w:val="1"/>
                <w:color w:val="auto"/>
              </w:rPr>
            </w:pP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color w:val="auto"/>
              </w:rPr>
              <w:t>Sales of purchased natural gas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10,918</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 on derivatives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(42,611)</w:t>
            </w:r>
          </w:p>
        </w:tc>
        <w:tc>
          <w:tcPr>
            <w:tcW w:w="0" w:type="dxa"/>
            <w:vAlign w:val="bottom"/>
          </w:tcPr>
          <w:p>
            <w:pPr>
              <w:spacing w:after="0"/>
              <w:rPr>
                <w:sz w:val="1"/>
                <w:szCs w:val="1"/>
                <w:color w:val="auto"/>
              </w:rPr>
            </w:pPr>
          </w:p>
        </w:tc>
      </w:tr>
      <w:tr>
        <w:trPr>
          <w:trHeight w:val="199"/>
        </w:trPr>
        <w:tc>
          <w:tcPr>
            <w:tcW w:w="4020" w:type="dxa"/>
            <w:vAlign w:val="bottom"/>
          </w:tcPr>
          <w:p>
            <w:pPr>
              <w:ind w:left="20"/>
              <w:spacing w:after="0"/>
              <w:rPr>
                <w:sz w:val="20"/>
                <w:szCs w:val="20"/>
                <w:color w:val="auto"/>
              </w:rPr>
            </w:pPr>
            <w:r>
              <w:rPr>
                <w:rFonts w:ascii="Arial" w:cs="Arial" w:eastAsia="Arial" w:hAnsi="Arial"/>
                <w:sz w:val="16"/>
                <w:szCs w:val="16"/>
                <w:color w:val="auto"/>
              </w:rPr>
              <w:t>Unrealized loss on derivatives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(42,804)</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90"/>
              </w:rPr>
              <w:t>(39,841)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212,321</w:t>
            </w:r>
          </w:p>
        </w:tc>
        <w:tc>
          <w:tcPr>
            <w:tcW w:w="0" w:type="dxa"/>
            <w:vAlign w:val="bottom"/>
          </w:tcPr>
          <w:p>
            <w:pPr>
              <w:spacing w:after="0"/>
              <w:rPr>
                <w:sz w:val="1"/>
                <w:szCs w:val="1"/>
                <w:color w:val="auto"/>
              </w:rPr>
            </w:pPr>
          </w:p>
        </w:tc>
      </w:tr>
      <w:tr>
        <w:trPr>
          <w:trHeight w:val="167"/>
        </w:trPr>
        <w:tc>
          <w:tcPr>
            <w:tcW w:w="4020" w:type="dxa"/>
            <w:vAlign w:val="bottom"/>
          </w:tcPr>
          <w:p>
            <w:pPr>
              <w:ind w:left="20"/>
              <w:spacing w:after="0" w:line="167" w:lineRule="exact"/>
              <w:rPr>
                <w:sz w:val="20"/>
                <w:szCs w:val="20"/>
                <w:color w:val="auto"/>
              </w:rPr>
            </w:pPr>
            <w:r>
              <w:rPr>
                <w:rFonts w:ascii="Arial" w:cs="Arial" w:eastAsia="Arial" w:hAnsi="Arial"/>
                <w:sz w:val="15"/>
                <w:szCs w:val="15"/>
                <w:color w:val="auto"/>
              </w:rPr>
              <w:t>Operating income</w:t>
            </w:r>
            <w:r>
              <w:rPr>
                <w:rFonts w:ascii="Arial" w:cs="Arial" w:eastAsia="Arial" w:hAnsi="Arial"/>
                <w:sz w:val="19"/>
                <w:szCs w:val="19"/>
                <w:color w:val="auto"/>
                <w:vertAlign w:val="superscript"/>
              </w:rPr>
              <w:t>(2)</w:t>
            </w:r>
          </w:p>
        </w:tc>
        <w:tc>
          <w:tcPr>
            <w:tcW w:w="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130,712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37,155</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(22,761)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ind w:left="1220"/>
              <w:spacing w:after="0" w:line="16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145,106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2,942,429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803,612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3,834,549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20" w:type="dxa"/>
            <w:vAlign w:val="bottom"/>
          </w:tcPr>
          <w:p>
            <w:pPr>
              <w:ind w:left="20"/>
              <w:spacing w:after="0" w:line="166" w:lineRule="exact"/>
              <w:rPr>
                <w:sz w:val="20"/>
                <w:szCs w:val="20"/>
                <w:color w:val="auto"/>
              </w:rPr>
            </w:pPr>
            <w:r>
              <w:rPr>
                <w:rFonts w:ascii="Arial" w:cs="Arial" w:eastAsia="Arial" w:hAnsi="Arial"/>
                <w:sz w:val="15"/>
                <w:szCs w:val="15"/>
                <w:color w:val="auto"/>
              </w:rPr>
              <w:t>Capital expenditures</w:t>
            </w:r>
            <w:r>
              <w:rPr>
                <w:rFonts w:ascii="Arial" w:cs="Arial" w:eastAsia="Arial" w:hAnsi="Arial"/>
                <w:sz w:val="19"/>
                <w:szCs w:val="19"/>
                <w:color w:val="auto"/>
                <w:vertAlign w:val="superscript"/>
              </w:rPr>
              <w:t>(3)</w:t>
            </w:r>
          </w:p>
        </w:tc>
        <w:tc>
          <w:tcPr>
            <w:tcW w:w="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107,928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7,863</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220"/>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115,903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_____________________</w:t>
      </w:r>
    </w:p>
    <w:p>
      <w:pPr>
        <w:spacing w:after="0" w:line="94" w:lineRule="exact"/>
        <w:rPr>
          <w:sz w:val="20"/>
          <w:szCs w:val="20"/>
          <w:color w:val="auto"/>
        </w:rPr>
      </w:pPr>
    </w:p>
    <w:p>
      <w:pPr>
        <w:ind w:left="286" w:right="20" w:hanging="286"/>
        <w:spacing w:after="0" w:line="278" w:lineRule="auto"/>
        <w:tabs>
          <w:tab w:leader="none" w:pos="279"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depletion, depreciation and amortization expenses of $83.0 million and $7.8 million for the exploration and production and midstream segments, respectively. Also includes corporate depletion, depreciation and amortization expenses of $0.7 million.</w:t>
      </w:r>
    </w:p>
    <w:p>
      <w:pPr>
        <w:spacing w:after="0" w:line="55" w:lineRule="exact"/>
        <w:rPr>
          <w:rFonts w:ascii="Arial" w:cs="Arial" w:eastAsia="Arial" w:hAnsi="Arial"/>
          <w:sz w:val="12"/>
          <w:szCs w:val="12"/>
          <w:color w:val="auto"/>
        </w:rPr>
      </w:pPr>
    </w:p>
    <w:p>
      <w:pPr>
        <w:ind w:left="266" w:hanging="266"/>
        <w:spacing w:after="0"/>
        <w:tabs>
          <w:tab w:leader="none" w:pos="266"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$15.9 million in net income attributable to non-controlling interest in subsidiaries related to the midstream segment.</w:t>
      </w:r>
    </w:p>
    <w:p>
      <w:pPr>
        <w:spacing w:after="0" w:line="96" w:lineRule="exact"/>
        <w:rPr>
          <w:rFonts w:ascii="Arial" w:cs="Arial" w:eastAsia="Arial" w:hAnsi="Arial"/>
          <w:sz w:val="12"/>
          <w:szCs w:val="12"/>
          <w:color w:val="auto"/>
        </w:rPr>
      </w:pPr>
    </w:p>
    <w:p>
      <w:pPr>
        <w:ind w:left="286" w:right="480" w:hanging="286"/>
        <w:spacing w:after="0" w:line="278" w:lineRule="auto"/>
        <w:tabs>
          <w:tab w:leader="none" w:pos="279"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Includes $6.9 million attributable to land and seismic acquisition expenditures related to the exploration and production segment and $3.8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7" w:right="339" w:bottom="1440" w:gutter="0" w:footer="0" w:header="0"/>
        </w:sectPr>
      </w:pPr>
    </w:p>
    <w:bookmarkStart w:id="18" w:name="page19"/>
    <w:bookmarkEnd w:id="18"/>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UNAUDITED — CONTINUED</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NOTE 11 — SEGMENT INFORMATION — Continued</w:t>
      </w:r>
    </w:p>
    <w:p>
      <w:pPr>
        <w:spacing w:after="0" w:line="200" w:lineRule="exact"/>
        <w:rPr>
          <w:sz w:val="20"/>
          <w:szCs w:val="20"/>
          <w:color w:val="auto"/>
        </w:rPr>
      </w:pPr>
    </w:p>
    <w:p>
      <w:pPr>
        <w:spacing w:after="0" w:line="398"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Exploration and</w:t>
            </w:r>
          </w:p>
        </w:tc>
        <w:tc>
          <w:tcPr>
            <w:tcW w:w="180" w:type="dxa"/>
            <w:vAlign w:val="bottom"/>
          </w:tcPr>
          <w:p>
            <w:pPr>
              <w:spacing w:after="0"/>
              <w:rPr>
                <w:sz w:val="16"/>
                <w:szCs w:val="1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Midstream</w:t>
            </w: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Consolidations and</w:t>
            </w:r>
          </w:p>
        </w:tc>
        <w:tc>
          <w:tcPr>
            <w:tcW w:w="180" w:type="dxa"/>
            <w:vAlign w:val="bottom"/>
          </w:tcPr>
          <w:p>
            <w:pPr>
              <w:spacing w:after="0"/>
              <w:rPr>
                <w:sz w:val="16"/>
                <w:szCs w:val="16"/>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199"/>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Production</w:t>
            </w:r>
          </w:p>
        </w:tc>
        <w:tc>
          <w:tcPr>
            <w:tcW w:w="1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7"/>
                <w:szCs w:val="17"/>
                <w:color w:val="auto"/>
              </w:rPr>
            </w:pPr>
          </w:p>
        </w:tc>
        <w:tc>
          <w:tcPr>
            <w:tcW w:w="1200" w:type="dxa"/>
            <w:vAlign w:val="bottom"/>
          </w:tcPr>
          <w:p>
            <w:pPr>
              <w:jc w:val="right"/>
              <w:ind w:right="282"/>
              <w:spacing w:after="0"/>
              <w:rPr>
                <w:sz w:val="20"/>
                <w:szCs w:val="20"/>
                <w:color w:val="auto"/>
              </w:rPr>
            </w:pPr>
            <w:r>
              <w:rPr>
                <w:rFonts w:ascii="Arial" w:cs="Arial" w:eastAsia="Arial" w:hAnsi="Arial"/>
                <w:sz w:val="16"/>
                <w:szCs w:val="16"/>
                <w:b w:val="1"/>
                <w:bCs w:val="1"/>
                <w:color w:val="auto"/>
              </w:rPr>
              <w:t>Company</w:t>
            </w:r>
          </w:p>
        </w:tc>
        <w:tc>
          <w:tcPr>
            <w:tcW w:w="0" w:type="dxa"/>
            <w:vAlign w:val="bottom"/>
          </w:tcPr>
          <w:p>
            <w:pPr>
              <w:spacing w:after="0"/>
              <w:rPr>
                <w:sz w:val="1"/>
                <w:szCs w:val="1"/>
                <w:color w:val="auto"/>
              </w:rPr>
            </w:pPr>
          </w:p>
        </w:tc>
      </w:tr>
      <w:tr>
        <w:trPr>
          <w:trHeight w:val="179"/>
        </w:trPr>
        <w:tc>
          <w:tcPr>
            <w:tcW w:w="38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Three Months Ended June 30, 2020</w:t>
            </w: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6"/>
                <w:szCs w:val="16"/>
                <w:color w:val="auto"/>
              </w:rPr>
              <w:t>Oil and natural gas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118,258</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118,767</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Midstream services revenues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0"/>
              </w:rPr>
              <w:t>(21,566)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14,668</w:t>
            </w:r>
          </w:p>
        </w:tc>
        <w:tc>
          <w:tcPr>
            <w:tcW w:w="0" w:type="dxa"/>
            <w:vAlign w:val="bottom"/>
          </w:tcPr>
          <w:p>
            <w:pPr>
              <w:spacing w:after="0"/>
              <w:rPr>
                <w:sz w:val="1"/>
                <w:szCs w:val="1"/>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6"/>
                <w:szCs w:val="16"/>
                <w:color w:val="auto"/>
              </w:rPr>
              <w:t>Sales of purchased natural gas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13,981</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Lease bonus - mineral acreage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6"/>
                <w:szCs w:val="16"/>
                <w:color w:val="auto"/>
              </w:rPr>
              <w:t>Realized gain on derivatives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44,110</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derivatives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(132,668)</w:t>
            </w:r>
          </w:p>
        </w:tc>
        <w:tc>
          <w:tcPr>
            <w:tcW w:w="0" w:type="dxa"/>
            <w:vAlign w:val="bottom"/>
          </w:tcPr>
          <w:p>
            <w:pPr>
              <w:spacing w:after="0"/>
              <w:rPr>
                <w:sz w:val="1"/>
                <w:szCs w:val="1"/>
                <w:color w:val="auto"/>
              </w:rPr>
            </w:pPr>
          </w:p>
        </w:tc>
      </w:tr>
      <w:tr>
        <w:trPr>
          <w:trHeight w:val="199"/>
        </w:trPr>
        <w:tc>
          <w:tcPr>
            <w:tcW w:w="3880" w:type="dxa"/>
            <w:vAlign w:val="bottom"/>
            <w:tcBorders>
              <w:bottom w:val="single" w:sz="8" w:color="CCEEFF"/>
            </w:tcBorders>
          </w:tcPr>
          <w:p>
            <w:pPr>
              <w:spacing w:after="0" w:line="199" w:lineRule="exact"/>
              <w:rPr>
                <w:sz w:val="20"/>
                <w:szCs w:val="20"/>
                <w:color w:val="auto"/>
              </w:rPr>
            </w:pPr>
            <w:r>
              <w:rPr>
                <w:rFonts w:ascii="Arial" w:cs="Arial" w:eastAsia="Arial" w:hAnsi="Arial"/>
                <w:sz w:val="16"/>
                <w:szCs w:val="16"/>
                <w:color w:val="auto"/>
              </w:rPr>
              <w:t>Expenses</w:t>
            </w:r>
            <w:r>
              <w:rPr>
                <w:rFonts w:ascii="Arial" w:cs="Arial" w:eastAsia="Arial" w:hAnsi="Arial"/>
                <w:sz w:val="20"/>
                <w:szCs w:val="20"/>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w w:val="90"/>
              </w:rPr>
              <w:t>(21,566)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498,230</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Operating (loss) income</w:t>
            </w:r>
            <w:r>
              <w:rPr>
                <w:rFonts w:ascii="Arial" w:cs="Arial" w:eastAsia="Arial" w:hAnsi="Arial"/>
                <w:sz w:val="19"/>
                <w:szCs w:val="19"/>
                <w:color w:val="auto"/>
                <w:vertAlign w:val="superscript"/>
              </w:rPr>
              <w:t>(2)</w:t>
            </w:r>
          </w:p>
        </w:tc>
        <w:tc>
          <w:tcPr>
            <w:tcW w:w="1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(441,723)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18,822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2"/>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(12,409)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220"/>
              <w:spacing w:after="0" w:line="168"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(435,310)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80" w:type="dxa"/>
            <w:vAlign w:val="bottom"/>
          </w:tcPr>
          <w:p>
            <w:pPr>
              <w:spacing w:after="0" w:line="166" w:lineRule="exact"/>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3,159,528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765,034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2"/>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76,571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220"/>
              <w:spacing w:after="0" w:line="16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
              <w:spacing w:after="0" w:line="166"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4,001,133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0"/>
                <w:szCs w:val="20"/>
                <w:color w:val="auto"/>
                <w:vertAlign w:val="superscript"/>
              </w:rPr>
              <w:t>(3)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80" w:right="500" w:hanging="286"/>
        <w:spacing w:after="0" w:line="298" w:lineRule="auto"/>
        <w:tabs>
          <w:tab w:leader="none" w:pos="373"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depletion, depreciation and amortization expenses of $87.8 million and $5.0 million for the exploration and production and midstream segments, respectively. Includes full-cost ceiling impairment of $324.0 million for the exploration and production segment. Also includes corporate depletion, depreciation and amortization expenses of $0.7 million.</w:t>
      </w:r>
    </w:p>
    <w:p>
      <w:pPr>
        <w:spacing w:after="0" w:line="44" w:lineRule="exact"/>
        <w:rPr>
          <w:rFonts w:ascii="Arial" w:cs="Arial" w:eastAsia="Arial" w:hAnsi="Arial"/>
          <w:sz w:val="12"/>
          <w:szCs w:val="12"/>
          <w:color w:val="auto"/>
        </w:rPr>
      </w:pPr>
    </w:p>
    <w:p>
      <w:pPr>
        <w:ind w:left="360" w:hanging="266"/>
        <w:spacing w:after="0"/>
        <w:tabs>
          <w:tab w:leader="none" w:pos="3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$7.5 million in net income attributable to non-controlling interest in subsidiaries related to the midstream segment.</w:t>
      </w:r>
    </w:p>
    <w:p>
      <w:pPr>
        <w:spacing w:after="0" w:line="96" w:lineRule="exact"/>
        <w:rPr>
          <w:rFonts w:ascii="Arial" w:cs="Arial" w:eastAsia="Arial" w:hAnsi="Arial"/>
          <w:sz w:val="12"/>
          <w:szCs w:val="12"/>
          <w:color w:val="auto"/>
        </w:rPr>
      </w:pPr>
    </w:p>
    <w:p>
      <w:pPr>
        <w:ind w:left="380" w:right="320" w:hanging="286"/>
        <w:spacing w:after="0" w:line="278" w:lineRule="auto"/>
        <w:tabs>
          <w:tab w:leader="none" w:pos="373"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Includes $9.6 million attributable to land and seismic acquisition expenditures related to the exploration and production segment and $31.9 million in capital expenditures attributable to non-controlling interest in subsidiaries related to the midstream segment.</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Exploration and</w:t>
            </w: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Midstream</w:t>
            </w:r>
          </w:p>
        </w:tc>
        <w:tc>
          <w:tcPr>
            <w:tcW w:w="128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Corporate</w:t>
            </w:r>
          </w:p>
        </w:tc>
        <w:tc>
          <w:tcPr>
            <w:tcW w:w="1680" w:type="dxa"/>
            <w:vAlign w:val="bottom"/>
            <w:gridSpan w:val="3"/>
          </w:tcPr>
          <w:p>
            <w:pPr>
              <w:ind w:left="60"/>
              <w:spacing w:after="0"/>
              <w:rPr>
                <w:sz w:val="20"/>
                <w:szCs w:val="20"/>
                <w:color w:val="auto"/>
              </w:rPr>
            </w:pPr>
            <w:r>
              <w:rPr>
                <w:rFonts w:ascii="Arial" w:cs="Arial" w:eastAsia="Arial" w:hAnsi="Arial"/>
                <w:sz w:val="16"/>
                <w:szCs w:val="16"/>
                <w:b w:val="1"/>
                <w:bCs w:val="1"/>
                <w:color w:val="auto"/>
              </w:rPr>
              <w:t>Consolidations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Production</w:t>
            </w:r>
          </w:p>
        </w:tc>
        <w:tc>
          <w:tcPr>
            <w:tcW w:w="13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Arial" w:cs="Arial" w:eastAsia="Arial" w:hAnsi="Arial"/>
                <w:sz w:val="16"/>
                <w:szCs w:val="16"/>
                <w:b w:val="1"/>
                <w:bCs w:val="1"/>
                <w:color w:val="auto"/>
              </w:rPr>
              <w:t>Eliminations  Consolidated Company</w:t>
            </w:r>
          </w:p>
        </w:tc>
        <w:tc>
          <w:tcPr>
            <w:tcW w:w="0" w:type="dxa"/>
            <w:vAlign w:val="bottom"/>
          </w:tcPr>
          <w:p>
            <w:pPr>
              <w:spacing w:after="0"/>
              <w:rPr>
                <w:sz w:val="1"/>
                <w:szCs w:val="1"/>
                <w:color w:val="auto"/>
              </w:rPr>
            </w:pPr>
          </w:p>
        </w:tc>
      </w:tr>
      <w:tr>
        <w:trPr>
          <w:trHeight w:val="179"/>
        </w:trPr>
        <w:tc>
          <w:tcPr>
            <w:tcW w:w="100" w:type="dxa"/>
            <w:vAlign w:val="bottom"/>
            <w:vMerge w:val="restart"/>
          </w:tcPr>
          <w:p>
            <w:pPr>
              <w:spacing w:after="0"/>
              <w:rPr>
                <w:sz w:val="20"/>
                <w:szCs w:val="20"/>
                <w:color w:val="auto"/>
              </w:rPr>
            </w:pPr>
            <w:r>
              <w:rPr>
                <w:rFonts w:ascii="Arial" w:cs="Arial" w:eastAsia="Arial" w:hAnsi="Arial"/>
                <w:sz w:val="16"/>
                <w:szCs w:val="16"/>
                <w:color w:val="auto"/>
              </w:rPr>
              <w:t>l</w:t>
            </w:r>
          </w:p>
        </w:tc>
        <w:tc>
          <w:tcPr>
            <w:tcW w:w="27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Months Ended June 30, 2021</w:t>
            </w:r>
          </w:p>
        </w:tc>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and natural gas revenues</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725,780$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2,527$</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728,307</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dstream services revenues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103,600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(68,312)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35,288</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les of purchased natural gas</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6,582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8,846</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15,428</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ase bonus - mineral acreage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alized loss on derivatives</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(68,524)</w:t>
            </w:r>
          </w:p>
        </w:tc>
        <w:tc>
          <w:tcPr>
            <w:tcW w:w="1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(68,524)</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realized loss on derivatives</w:t>
            </w:r>
          </w:p>
        </w:tc>
        <w:tc>
          <w:tcPr>
            <w:tcW w:w="10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(86,227)</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tcPr>
          <w:p>
            <w:pPr>
              <w:spacing w:after="0" w:line="199" w:lineRule="exact"/>
              <w:rPr>
                <w:sz w:val="20"/>
                <w:szCs w:val="20"/>
                <w:color w:val="auto"/>
              </w:rPr>
            </w:pPr>
            <w:r>
              <w:rPr>
                <w:rFonts w:ascii="Arial" w:cs="Arial" w:eastAsia="Arial" w:hAnsi="Arial"/>
                <w:sz w:val="16"/>
                <w:szCs w:val="16"/>
                <w:color w:val="auto"/>
              </w:rPr>
              <w:t>penses</w:t>
            </w:r>
            <w:r>
              <w:rPr>
                <w:rFonts w:ascii="Arial" w:cs="Arial" w:eastAsia="Arial" w:hAnsi="Arial"/>
                <w:sz w:val="20"/>
                <w:szCs w:val="20"/>
                <w:color w:val="auto"/>
                <w:vertAlign w:val="superscript"/>
              </w:rPr>
              <w:t>(1)</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355,571</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56,521</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42,723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(68,312)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386,503</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erating income</w:t>
            </w:r>
            <w:r>
              <w:rPr>
                <w:rFonts w:ascii="Arial" w:cs="Arial" w:eastAsia="Arial" w:hAnsi="Arial"/>
                <w:sz w:val="19"/>
                <w:szCs w:val="19"/>
                <w:color w:val="auto"/>
                <w:vertAlign w:val="superscript"/>
              </w:rPr>
              <w:t>(2)</w:t>
            </w:r>
          </w:p>
        </w:tc>
        <w:tc>
          <w:tcPr>
            <w:tcW w:w="1040" w:type="dxa"/>
            <w:vAlign w:val="bottom"/>
            <w:tcBorders>
              <w:top w:val="single" w:sz="8" w:color="CCEEFF"/>
              <w:bottom w:val="single" w:sz="8" w:color="CCEEFF"/>
            </w:tcBorders>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222,040$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58,452$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(42,723)$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ind w:left="1280"/>
              <w:spacing w:after="0" w:line="168" w:lineRule="exact"/>
              <w:rPr>
                <w:sz w:val="20"/>
                <w:szCs w:val="20"/>
                <w:color w:val="auto"/>
              </w:rPr>
            </w:pPr>
            <w:r>
              <w:rPr>
                <w:rFonts w:ascii="Arial" w:cs="Arial" w:eastAsia="Arial" w:hAnsi="Arial"/>
                <w:sz w:val="16"/>
                <w:szCs w:val="16"/>
                <w:color w:val="auto"/>
                <w:w w:val="80"/>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237,769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2"/>
          </w:tcPr>
          <w:p>
            <w:pPr>
              <w:spacing w:after="0" w:line="166" w:lineRule="exact"/>
              <w:rPr>
                <w:sz w:val="20"/>
                <w:szCs w:val="20"/>
                <w:color w:val="auto"/>
              </w:rPr>
            </w:pPr>
            <w:r>
              <w:rPr>
                <w:rFonts w:ascii="Arial" w:cs="Arial" w:eastAsia="Arial" w:hAnsi="Arial"/>
                <w:sz w:val="16"/>
                <w:szCs w:val="16"/>
                <w:color w:val="auto"/>
              </w:rPr>
              <w:t>tal assets</w:t>
            </w:r>
          </w:p>
        </w:tc>
        <w:tc>
          <w:tcPr>
            <w:tcW w:w="104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2,942,429$</w:t>
            </w:r>
          </w:p>
        </w:tc>
        <w:tc>
          <w:tcPr>
            <w:tcW w:w="10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803,612$</w:t>
            </w:r>
          </w:p>
        </w:tc>
        <w:tc>
          <w:tcPr>
            <w:tcW w:w="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88,508$</w:t>
            </w:r>
          </w:p>
        </w:tc>
        <w:tc>
          <w:tcPr>
            <w:tcW w:w="80" w:type="dxa"/>
            <w:vAlign w:val="bottom"/>
          </w:tcPr>
          <w:p>
            <w:pPr>
              <w:spacing w:after="0"/>
              <w:rPr>
                <w:sz w:val="16"/>
                <w:szCs w:val="16"/>
                <w:color w:val="auto"/>
              </w:rPr>
            </w:pPr>
          </w:p>
        </w:tc>
        <w:tc>
          <w:tcPr>
            <w:tcW w:w="1500" w:type="dxa"/>
            <w:vAlign w:val="bottom"/>
            <w:tcBorders>
              <w:top w:val="single" w:sz="8" w:color="auto"/>
              <w:bottom w:val="single" w:sz="8" w:color="auto"/>
            </w:tcBorders>
          </w:tcPr>
          <w:p>
            <w:pPr>
              <w:ind w:left="1280"/>
              <w:spacing w:after="0" w:line="166" w:lineRule="exact"/>
              <w:rPr>
                <w:sz w:val="20"/>
                <w:szCs w:val="20"/>
                <w:color w:val="auto"/>
              </w:rPr>
            </w:pPr>
            <w:r>
              <w:rPr>
                <w:rFonts w:ascii="Arial" w:cs="Arial" w:eastAsia="Arial" w:hAnsi="Arial"/>
                <w:sz w:val="16"/>
                <w:szCs w:val="16"/>
                <w:color w:val="auto"/>
                <w:w w:val="80"/>
              </w:rPr>
              <w:t>—$</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3,834,549</w:t>
            </w:r>
          </w:p>
        </w:tc>
        <w:tc>
          <w:tcPr>
            <w:tcW w:w="0" w:type="dxa"/>
            <w:vAlign w:val="bottom"/>
          </w:tcPr>
          <w:p>
            <w:pPr>
              <w:spacing w:after="0"/>
              <w:rPr>
                <w:sz w:val="1"/>
                <w:szCs w:val="1"/>
                <w:color w:val="auto"/>
              </w:rPr>
            </w:pPr>
          </w:p>
        </w:tc>
      </w:tr>
      <w:tr>
        <w:trPr>
          <w:trHeight w:val="226"/>
        </w:trPr>
        <w:tc>
          <w:tcPr>
            <w:tcW w:w="2880" w:type="dxa"/>
            <w:vAlign w:val="bottom"/>
            <w:gridSpan w:val="2"/>
          </w:tcPr>
          <w:p>
            <w:pPr>
              <w:spacing w:after="0" w:line="199" w:lineRule="exact"/>
              <w:rPr>
                <w:sz w:val="20"/>
                <w:szCs w:val="20"/>
                <w:color w:val="auto"/>
              </w:rPr>
            </w:pPr>
            <w:r>
              <w:rPr>
                <w:rFonts w:ascii="Arial" w:cs="Arial" w:eastAsia="Arial" w:hAnsi="Arial"/>
                <w:sz w:val="16"/>
                <w:szCs w:val="16"/>
                <w:color w:val="auto"/>
              </w:rPr>
              <w:t>pital expenditures</w:t>
            </w:r>
            <w:r>
              <w:rPr>
                <w:rFonts w:ascii="Arial" w:cs="Arial" w:eastAsia="Arial" w:hAnsi="Arial"/>
                <w:sz w:val="20"/>
                <w:szCs w:val="20"/>
                <w:color w:val="auto"/>
                <w:vertAlign w:val="superscript"/>
              </w:rPr>
              <w:t>(3)</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242,793$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17,636$</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w w:val="80"/>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-966470</wp:posOffset>
            </wp:positionV>
            <wp:extent cx="6957060" cy="126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7060" cy="12636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-170815</wp:posOffset>
            </wp:positionV>
            <wp:extent cx="6957060" cy="156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7060" cy="156210"/>
                    </a:xfrm>
                    <a:prstGeom prst="rect">
                      <a:avLst/>
                    </a:prstGeom>
                    <a:noFill/>
                  </pic:spPr>
                </pic:pic>
              </a:graphicData>
            </a:graphic>
          </wp:anchor>
        </w:drawing>
      </w:r>
    </w:p>
    <w:p>
      <w:pPr>
        <w:spacing w:after="0" w:line="27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_____________________</w:t>
      </w:r>
    </w:p>
    <w:p>
      <w:pPr>
        <w:spacing w:after="0" w:line="94" w:lineRule="exact"/>
        <w:rPr>
          <w:sz w:val="20"/>
          <w:szCs w:val="20"/>
          <w:color w:val="auto"/>
        </w:rPr>
      </w:pPr>
    </w:p>
    <w:p>
      <w:pPr>
        <w:ind w:left="380" w:hanging="286"/>
        <w:spacing w:after="0" w:line="278" w:lineRule="auto"/>
        <w:tabs>
          <w:tab w:leader="none" w:pos="373"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depletion, depreciation and amortization expenses of $149.4 million and $15.6 million for the exploration and production and midstream segments, respectively. Also includes corporate depletion, depreciation and amortization expenses of $1.3 million.</w:t>
      </w:r>
    </w:p>
    <w:p>
      <w:pPr>
        <w:spacing w:after="0" w:line="55" w:lineRule="exact"/>
        <w:rPr>
          <w:rFonts w:ascii="Arial" w:cs="Arial" w:eastAsia="Arial" w:hAnsi="Arial"/>
          <w:sz w:val="12"/>
          <w:szCs w:val="12"/>
          <w:color w:val="auto"/>
        </w:rPr>
      </w:pPr>
    </w:p>
    <w:p>
      <w:pPr>
        <w:ind w:left="360" w:hanging="266"/>
        <w:spacing w:after="0"/>
        <w:tabs>
          <w:tab w:leader="none" w:pos="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$24.8 million in net income attributable to non-controlling interest in subsidiaries related to the midstream segment.</w:t>
      </w:r>
    </w:p>
    <w:p>
      <w:pPr>
        <w:spacing w:after="0" w:line="96" w:lineRule="exact"/>
        <w:rPr>
          <w:rFonts w:ascii="Arial" w:cs="Arial" w:eastAsia="Arial" w:hAnsi="Arial"/>
          <w:sz w:val="12"/>
          <w:szCs w:val="12"/>
          <w:color w:val="auto"/>
        </w:rPr>
      </w:pPr>
    </w:p>
    <w:p>
      <w:pPr>
        <w:ind w:left="380" w:right="320" w:hanging="286"/>
        <w:spacing w:after="0" w:line="278" w:lineRule="auto"/>
        <w:tabs>
          <w:tab w:leader="none" w:pos="373"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$15.6 million attributable to land and seismic acquisition expenditures related to the exploration and production segment and $8.2 million in capital expenditures attributable to non-controlling interest in subsidiaries related to the midstream segment.</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57150</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220" w:top="127" w:right="439" w:bottom="1440" w:gutter="0" w:footer="0" w:header="0"/>
        </w:sectPr>
      </w:pPr>
    </w:p>
    <w:bookmarkStart w:id="19" w:name="page20"/>
    <w:bookmarkEnd w:id="19"/>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Matador Resources Company and Subsidiaries</w:t>
      </w:r>
    </w:p>
    <w:p>
      <w:pPr>
        <w:spacing w:after="0" w:line="70"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NOTES TO CONDENSED CONSOLIDATED FINANCIAL STATEMENTS —</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UNAUDITED — CONTINUED</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NOTE 11 — SEGMENT INFORMATION — Continued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Exploration and</w:t>
            </w: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Midstream</w:t>
            </w:r>
          </w:p>
        </w:tc>
        <w:tc>
          <w:tcPr>
            <w:tcW w:w="128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Corporate</w:t>
            </w:r>
          </w:p>
        </w:tc>
        <w:tc>
          <w:tcPr>
            <w:tcW w:w="1680" w:type="dxa"/>
            <w:vAlign w:val="bottom"/>
            <w:gridSpan w:val="3"/>
          </w:tcPr>
          <w:p>
            <w:pPr>
              <w:ind w:left="60"/>
              <w:spacing w:after="0"/>
              <w:rPr>
                <w:sz w:val="20"/>
                <w:szCs w:val="20"/>
                <w:color w:val="auto"/>
              </w:rPr>
            </w:pPr>
            <w:r>
              <w:rPr>
                <w:rFonts w:ascii="Arial" w:cs="Arial" w:eastAsia="Arial" w:hAnsi="Arial"/>
                <w:sz w:val="16"/>
                <w:szCs w:val="16"/>
                <w:b w:val="1"/>
                <w:bCs w:val="1"/>
                <w:color w:val="auto"/>
              </w:rPr>
              <w:t>Consolidations and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Production</w:t>
            </w:r>
          </w:p>
        </w:tc>
        <w:tc>
          <w:tcPr>
            <w:tcW w:w="13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Arial" w:cs="Arial" w:eastAsia="Arial" w:hAnsi="Arial"/>
                <w:sz w:val="16"/>
                <w:szCs w:val="16"/>
                <w:b w:val="1"/>
                <w:bCs w:val="1"/>
                <w:color w:val="auto"/>
              </w:rPr>
              <w:t>Eliminations  Consolidated Company</w:t>
            </w:r>
          </w:p>
        </w:tc>
        <w:tc>
          <w:tcPr>
            <w:tcW w:w="0" w:type="dxa"/>
            <w:vAlign w:val="bottom"/>
          </w:tcPr>
          <w:p>
            <w:pPr>
              <w:spacing w:after="0"/>
              <w:rPr>
                <w:sz w:val="1"/>
                <w:szCs w:val="1"/>
                <w:color w:val="auto"/>
              </w:rPr>
            </w:pPr>
          </w:p>
        </w:tc>
      </w:tr>
      <w:tr>
        <w:trPr>
          <w:trHeight w:val="179"/>
        </w:trPr>
        <w:tc>
          <w:tcPr>
            <w:tcW w:w="100" w:type="dxa"/>
            <w:vAlign w:val="bottom"/>
            <w:vMerge w:val="restart"/>
          </w:tcPr>
          <w:p>
            <w:pPr>
              <w:spacing w:after="0"/>
              <w:rPr>
                <w:sz w:val="20"/>
                <w:szCs w:val="20"/>
                <w:color w:val="auto"/>
              </w:rPr>
            </w:pPr>
            <w:r>
              <w:rPr>
                <w:rFonts w:ascii="Arial" w:cs="Arial" w:eastAsia="Arial" w:hAnsi="Arial"/>
                <w:sz w:val="16"/>
                <w:szCs w:val="16"/>
                <w:color w:val="auto"/>
              </w:rPr>
              <w:t>l</w:t>
            </w:r>
          </w:p>
        </w:tc>
        <w:tc>
          <w:tcPr>
            <w:tcW w:w="27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Months Ended June 30, 2020</w:t>
            </w:r>
          </w:p>
        </w:tc>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0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and natural gas revenues</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315,053$</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1,628$</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316,681</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dstream services revenues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73,983</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(43,485)</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30,498</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les of purchased natural gas</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11,922</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12,603</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24,525</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ase bonus - mineral acreage</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4,062</w:t>
            </w:r>
          </w:p>
        </w:tc>
        <w:tc>
          <w:tcPr>
            <w:tcW w:w="1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alized gain on derivatives</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54,977</w:t>
            </w:r>
          </w:p>
        </w:tc>
        <w:tc>
          <w:tcPr>
            <w:tcW w:w="1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54,977</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realized gain on derivatives</w:t>
            </w:r>
          </w:p>
        </w:tc>
        <w:tc>
          <w:tcPr>
            <w:tcW w:w="10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780" w:type="dxa"/>
            <w:vAlign w:val="bottom"/>
          </w:tcPr>
          <w:p>
            <w:pPr>
              <w:spacing w:after="0" w:line="199" w:lineRule="exact"/>
              <w:rPr>
                <w:sz w:val="20"/>
                <w:szCs w:val="20"/>
                <w:color w:val="auto"/>
              </w:rPr>
            </w:pPr>
            <w:r>
              <w:rPr>
                <w:rFonts w:ascii="Arial" w:cs="Arial" w:eastAsia="Arial" w:hAnsi="Arial"/>
                <w:sz w:val="16"/>
                <w:szCs w:val="16"/>
                <w:color w:val="auto"/>
              </w:rPr>
              <w:t>penses</w:t>
            </w:r>
            <w:r>
              <w:rPr>
                <w:rFonts w:ascii="Arial" w:cs="Arial" w:eastAsia="Arial" w:hAnsi="Arial"/>
                <w:sz w:val="20"/>
                <w:szCs w:val="20"/>
                <w:color w:val="auto"/>
                <w:vertAlign w:val="superscript"/>
              </w:rPr>
              <w:t>(1)</w:t>
            </w: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645,137</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47,905</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26,726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(43,485)</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676,283</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erating (loss) income</w:t>
            </w:r>
            <w:r>
              <w:rPr>
                <w:rFonts w:ascii="Arial" w:cs="Arial" w:eastAsia="Arial" w:hAnsi="Arial"/>
                <w:sz w:val="19"/>
                <w:szCs w:val="19"/>
                <w:color w:val="auto"/>
                <w:vertAlign w:val="superscript"/>
              </w:rPr>
              <w:t>(2)</w:t>
            </w:r>
          </w:p>
        </w:tc>
        <w:tc>
          <w:tcPr>
            <w:tcW w:w="1040" w:type="dxa"/>
            <w:vAlign w:val="bottom"/>
            <w:tcBorders>
              <w:top w:val="single" w:sz="8" w:color="CCEEFF"/>
              <w:bottom w:val="single" w:sz="8" w:color="CCEEFF"/>
            </w:tcBorders>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(255,361)$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40,309$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(26,726)$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ind w:left="1280"/>
              <w:spacing w:after="0" w:line="168" w:lineRule="exact"/>
              <w:rPr>
                <w:sz w:val="20"/>
                <w:szCs w:val="20"/>
                <w:color w:val="auto"/>
              </w:rPr>
            </w:pPr>
            <w:r>
              <w:rPr>
                <w:rFonts w:ascii="Arial" w:cs="Arial" w:eastAsia="Arial" w:hAnsi="Arial"/>
                <w:sz w:val="16"/>
                <w:szCs w:val="16"/>
                <w:color w:val="auto"/>
                <w:w w:val="80"/>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(241,778)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vMerge w:val="restart"/>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2"/>
          </w:tcPr>
          <w:p>
            <w:pPr>
              <w:spacing w:after="0" w:line="166" w:lineRule="exact"/>
              <w:rPr>
                <w:sz w:val="20"/>
                <w:szCs w:val="20"/>
                <w:color w:val="auto"/>
              </w:rPr>
            </w:pPr>
            <w:r>
              <w:rPr>
                <w:rFonts w:ascii="Arial" w:cs="Arial" w:eastAsia="Arial" w:hAnsi="Arial"/>
                <w:sz w:val="16"/>
                <w:szCs w:val="16"/>
                <w:color w:val="auto"/>
              </w:rPr>
              <w:t>tal assets</w:t>
            </w:r>
          </w:p>
        </w:tc>
        <w:tc>
          <w:tcPr>
            <w:tcW w:w="1040" w:type="dxa"/>
            <w:vAlign w:val="bottom"/>
            <w:tcBorders>
              <w:top w:val="single" w:sz="8" w:color="CCEEFF"/>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3,159,528$</w:t>
            </w:r>
          </w:p>
        </w:tc>
        <w:tc>
          <w:tcPr>
            <w:tcW w:w="10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765,034$</w:t>
            </w:r>
          </w:p>
        </w:tc>
        <w:tc>
          <w:tcPr>
            <w:tcW w:w="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76,571$</w:t>
            </w:r>
          </w:p>
        </w:tc>
        <w:tc>
          <w:tcPr>
            <w:tcW w:w="80" w:type="dxa"/>
            <w:vAlign w:val="bottom"/>
          </w:tcPr>
          <w:p>
            <w:pPr>
              <w:spacing w:after="0"/>
              <w:rPr>
                <w:sz w:val="16"/>
                <w:szCs w:val="16"/>
                <w:color w:val="auto"/>
              </w:rPr>
            </w:pPr>
          </w:p>
        </w:tc>
        <w:tc>
          <w:tcPr>
            <w:tcW w:w="1500" w:type="dxa"/>
            <w:vAlign w:val="bottom"/>
            <w:tcBorders>
              <w:top w:val="single" w:sz="8" w:color="auto"/>
              <w:bottom w:val="single" w:sz="8" w:color="auto"/>
            </w:tcBorders>
          </w:tcPr>
          <w:p>
            <w:pPr>
              <w:ind w:left="1280"/>
              <w:spacing w:after="0" w:line="166" w:lineRule="exact"/>
              <w:rPr>
                <w:sz w:val="20"/>
                <w:szCs w:val="20"/>
                <w:color w:val="auto"/>
              </w:rPr>
            </w:pPr>
            <w:r>
              <w:rPr>
                <w:rFonts w:ascii="Arial" w:cs="Arial" w:eastAsia="Arial" w:hAnsi="Arial"/>
                <w:sz w:val="16"/>
                <w:szCs w:val="16"/>
                <w:color w:val="auto"/>
                <w:w w:val="80"/>
              </w:rPr>
              <w:t>—$</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4,001,133</w:t>
            </w:r>
          </w:p>
        </w:tc>
        <w:tc>
          <w:tcPr>
            <w:tcW w:w="0" w:type="dxa"/>
            <w:vAlign w:val="bottom"/>
          </w:tcPr>
          <w:p>
            <w:pPr>
              <w:spacing w:after="0"/>
              <w:rPr>
                <w:sz w:val="1"/>
                <w:szCs w:val="1"/>
                <w:color w:val="auto"/>
              </w:rPr>
            </w:pPr>
          </w:p>
        </w:tc>
      </w:tr>
      <w:tr>
        <w:trPr>
          <w:trHeight w:val="226"/>
        </w:trPr>
        <w:tc>
          <w:tcPr>
            <w:tcW w:w="2880" w:type="dxa"/>
            <w:vAlign w:val="bottom"/>
            <w:gridSpan w:val="2"/>
          </w:tcPr>
          <w:p>
            <w:pPr>
              <w:spacing w:after="0" w:line="199" w:lineRule="exact"/>
              <w:rPr>
                <w:sz w:val="20"/>
                <w:szCs w:val="20"/>
                <w:color w:val="auto"/>
              </w:rPr>
            </w:pPr>
            <w:r>
              <w:rPr>
                <w:rFonts w:ascii="Arial" w:cs="Arial" w:eastAsia="Arial" w:hAnsi="Arial"/>
                <w:sz w:val="16"/>
                <w:szCs w:val="16"/>
                <w:color w:val="auto"/>
              </w:rPr>
              <w:t>pital expenditures</w:t>
            </w:r>
            <w:r>
              <w:rPr>
                <w:rFonts w:ascii="Arial" w:cs="Arial" w:eastAsia="Arial" w:hAnsi="Arial"/>
                <w:sz w:val="20"/>
                <w:szCs w:val="20"/>
                <w:color w:val="auto"/>
                <w:vertAlign w:val="superscript"/>
              </w:rPr>
              <w:t>(3)</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340,444$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132,729$</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80" w:type="dxa"/>
            <w:vAlign w:val="bottom"/>
          </w:tcPr>
          <w:p>
            <w:pPr>
              <w:spacing w:after="0"/>
              <w:rPr>
                <w:sz w:val="19"/>
                <w:szCs w:val="19"/>
                <w:color w:val="auto"/>
              </w:rPr>
            </w:pPr>
          </w:p>
        </w:tc>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w w:val="80"/>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-966470</wp:posOffset>
            </wp:positionV>
            <wp:extent cx="6957060" cy="12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7060" cy="12636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-170815</wp:posOffset>
            </wp:positionV>
            <wp:extent cx="6957060" cy="156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57060" cy="156210"/>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_____________________</w:t>
      </w:r>
    </w:p>
    <w:p>
      <w:pPr>
        <w:spacing w:after="0" w:line="94" w:lineRule="exact"/>
        <w:rPr>
          <w:sz w:val="20"/>
          <w:szCs w:val="20"/>
          <w:color w:val="auto"/>
        </w:rPr>
      </w:pPr>
    </w:p>
    <w:p>
      <w:pPr>
        <w:ind w:left="380" w:right="240" w:hanging="286"/>
        <w:spacing w:after="0" w:line="278" w:lineRule="auto"/>
        <w:tabs>
          <w:tab w:leader="none" w:pos="373"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depletion, depreciation and amortization expenses of $172.9 million and $9.8 million for the exploration and production and midstream segments, respectively. Includes full-cost ceiling impairment of $324.0 million for the exploration and production segment. Also includes corporate depletion, depreciation and amortization expenses of $1.4 million.</w:t>
      </w:r>
    </w:p>
    <w:p>
      <w:pPr>
        <w:spacing w:after="0" w:line="55" w:lineRule="exact"/>
        <w:rPr>
          <w:rFonts w:ascii="Arial" w:cs="Arial" w:eastAsia="Arial" w:hAnsi="Arial"/>
          <w:sz w:val="12"/>
          <w:szCs w:val="12"/>
          <w:color w:val="auto"/>
        </w:rPr>
      </w:pPr>
    </w:p>
    <w:p>
      <w:pPr>
        <w:ind w:left="360" w:hanging="266"/>
        <w:spacing w:after="0"/>
        <w:tabs>
          <w:tab w:leader="none" w:pos="3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$16.8 million in net income attributable to non-controlling interest in subsidiaries related to the midstream segment.</w:t>
      </w:r>
    </w:p>
    <w:p>
      <w:pPr>
        <w:spacing w:after="0" w:line="96" w:lineRule="exact"/>
        <w:rPr>
          <w:rFonts w:ascii="Arial" w:cs="Arial" w:eastAsia="Arial" w:hAnsi="Arial"/>
          <w:sz w:val="12"/>
          <w:szCs w:val="12"/>
          <w:color w:val="auto"/>
        </w:rPr>
      </w:pPr>
    </w:p>
    <w:p>
      <w:pPr>
        <w:ind w:left="380" w:right="60" w:hanging="286"/>
        <w:spacing w:after="0" w:line="278" w:lineRule="auto"/>
        <w:tabs>
          <w:tab w:leader="none" w:pos="373"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$49.3 million attributable to land and seismic acquisition expenditures related to the exploration and production segment and $79.4 million in capital expenditures attributable to non-controlling interest in subsidiaries related to the midstream segment.</w:t>
      </w:r>
    </w:p>
    <w:p>
      <w:pPr>
        <w:spacing w:after="0" w:line="200" w:lineRule="exact"/>
        <w:rPr>
          <w:sz w:val="20"/>
          <w:szCs w:val="20"/>
          <w:color w:val="auto"/>
        </w:rPr>
      </w:pP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57150</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040"/>
          </w:cols>
          <w:pgMar w:left="220" w:top="127" w:right="6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01" w:lineRule="exact"/>
        <w:rPr>
          <w:sz w:val="20"/>
          <w:szCs w:val="20"/>
          <w:color w:val="auto"/>
        </w:rPr>
      </w:pPr>
    </w:p>
    <w:p>
      <w:pPr>
        <w:ind w:right="20" w:firstLine="387"/>
        <w:spacing w:after="0" w:line="314" w:lineRule="auto"/>
        <w:rPr>
          <w:sz w:val="20"/>
          <w:szCs w:val="20"/>
          <w:color w:val="auto"/>
        </w:rPr>
      </w:pPr>
      <w:r>
        <w:rPr>
          <w:rFonts w:ascii="Arial" w:cs="Arial" w:eastAsia="Arial" w:hAnsi="Arial"/>
          <w:sz w:val="13"/>
          <w:szCs w:val="13"/>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2020 (the “Annual Report”) filed with the Securities and Exchange Commission (the “SEC”) on February 26, 2021, along with Management’s Discussion and Analysis of Financial Condition and Results of Operations contained in the Annual Report. The Annual Report is accessible on the SEC’s website at </w:t>
      </w:r>
      <w:r>
        <w:rPr>
          <w:rFonts w:ascii="Arial" w:cs="Arial" w:eastAsia="Arial" w:hAnsi="Arial"/>
          <w:sz w:val="13"/>
          <w:szCs w:val="13"/>
          <w:i w:val="1"/>
          <w:iCs w:val="1"/>
          <w:u w:val="single" w:color="auto"/>
          <w:color w:val="auto"/>
        </w:rPr>
        <w:t>www.sec.gov</w:t>
      </w:r>
      <w:r>
        <w:rPr>
          <w:rFonts w:ascii="Arial" w:cs="Arial" w:eastAsia="Arial" w:hAnsi="Arial"/>
          <w:sz w:val="13"/>
          <w:szCs w:val="13"/>
          <w:i w:val="1"/>
          <w:iCs w:val="1"/>
          <w:color w:val="auto"/>
        </w:rPr>
        <w:t xml:space="preserve"> and on our website at </w:t>
      </w:r>
      <w:r>
        <w:rPr>
          <w:rFonts w:ascii="Arial" w:cs="Arial" w:eastAsia="Arial" w:hAnsi="Arial"/>
          <w:sz w:val="13"/>
          <w:szCs w:val="13"/>
          <w:i w:val="1"/>
          <w:iCs w:val="1"/>
          <w:u w:val="single" w:color="auto"/>
          <w:color w:val="auto"/>
        </w:rPr>
        <w:t>www.matadorresources.com</w:t>
      </w:r>
      <w:r>
        <w:rPr>
          <w:rFonts w:ascii="Arial" w:cs="Arial" w:eastAsia="Arial" w:hAnsi="Arial"/>
          <w:sz w:val="13"/>
          <w:szCs w:val="13"/>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37" w:lineRule="exact"/>
        <w:rPr>
          <w:sz w:val="20"/>
          <w:szCs w:val="20"/>
          <w:color w:val="auto"/>
        </w:rPr>
      </w:pPr>
    </w:p>
    <w:p>
      <w:pPr>
        <w:ind w:firstLine="387"/>
        <w:spacing w:after="0" w:line="251" w:lineRule="auto"/>
        <w:rPr>
          <w:sz w:val="20"/>
          <w:szCs w:val="20"/>
          <w:color w:val="auto"/>
        </w:rPr>
      </w:pPr>
      <w:r>
        <w:rPr>
          <w:rFonts w:ascii="Arial" w:cs="Arial" w:eastAsia="Arial" w:hAnsi="Arial"/>
          <w:sz w:val="16"/>
          <w:szCs w:val="16"/>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1" w:lineRule="exact"/>
        <w:rPr>
          <w:sz w:val="20"/>
          <w:szCs w:val="20"/>
          <w:color w:val="auto"/>
        </w:rPr>
      </w:pPr>
    </w:p>
    <w:p>
      <w:pPr>
        <w:ind w:right="120" w:firstLine="387"/>
        <w:spacing w:after="0" w:line="270" w:lineRule="auto"/>
        <w:rPr>
          <w:sz w:val="20"/>
          <w:szCs w:val="20"/>
          <w:color w:val="auto"/>
        </w:rPr>
      </w:pPr>
      <w:r>
        <w:rPr>
          <w:rFonts w:ascii="Arial" w:cs="Arial" w:eastAsia="Arial" w:hAnsi="Arial"/>
          <w:sz w:val="15"/>
          <w:szCs w:val="15"/>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61" w:lineRule="exact"/>
        <w:rPr>
          <w:sz w:val="20"/>
          <w:szCs w:val="20"/>
          <w:color w:val="auto"/>
        </w:rPr>
      </w:pPr>
    </w:p>
    <w:p>
      <w:pPr>
        <w:ind w:firstLine="387"/>
        <w:spacing w:after="0" w:line="309" w:lineRule="auto"/>
        <w:rPr>
          <w:sz w:val="20"/>
          <w:szCs w:val="20"/>
          <w:color w:val="auto"/>
        </w:rPr>
      </w:pPr>
      <w:r>
        <w:rPr>
          <w:rFonts w:ascii="Arial" w:cs="Arial" w:eastAsia="Arial" w:hAnsi="Arial"/>
          <w:sz w:val="13"/>
          <w:szCs w:val="13"/>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3"/>
          <w:szCs w:val="13"/>
          <w:color w:val="0A0A0A"/>
        </w:rPr>
        <w:t>general economic conditions; our ability to execute our business plan, including whether our drilling program is</w:t>
      </w:r>
      <w:r>
        <w:rPr>
          <w:rFonts w:ascii="Arial" w:cs="Arial" w:eastAsia="Arial" w:hAnsi="Arial"/>
          <w:sz w:val="13"/>
          <w:szCs w:val="13"/>
          <w:color w:val="auto"/>
        </w:rPr>
        <w:t xml:space="preserve"> </w:t>
      </w:r>
      <w:r>
        <w:rPr>
          <w:rFonts w:ascii="Arial" w:cs="Arial" w:eastAsia="Arial" w:hAnsi="Arial"/>
          <w:sz w:val="13"/>
          <w:szCs w:val="13"/>
          <w:color w:val="0A0A0A"/>
        </w:rPr>
        <w:t xml:space="preserve">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San Mateo’s Black River cryogenic natural gas processing plant; the timing and operating results of the buildout by San Mateo of oil, natural gas and water gathering and transportation systems and the drilling of any additional salt water disposal wells; </w:t>
      </w:r>
      <w:r>
        <w:rPr>
          <w:rFonts w:ascii="Arial" w:cs="Arial" w:eastAsia="Arial" w:hAnsi="Arial"/>
          <w:sz w:val="13"/>
          <w:szCs w:val="13"/>
          <w:color w:val="000000"/>
        </w:rPr>
        <w:t>and the other factors discussed below and elsewhere in this Quarterly Report and in</w:t>
      </w:r>
      <w:r>
        <w:rPr>
          <w:rFonts w:ascii="Arial" w:cs="Arial" w:eastAsia="Arial" w:hAnsi="Arial"/>
          <w:sz w:val="13"/>
          <w:szCs w:val="13"/>
          <w:color w:val="0A0A0A"/>
        </w:rPr>
        <w:t xml:space="preserve"> </w:t>
      </w:r>
      <w:r>
        <w:rPr>
          <w:rFonts w:ascii="Arial" w:cs="Arial" w:eastAsia="Arial" w:hAnsi="Arial"/>
          <w:sz w:val="13"/>
          <w:szCs w:val="13"/>
          <w:color w:val="000000"/>
        </w:rPr>
        <w:t>other documents that we file with or furnish to the SEC, all of which are difficult to predict. Forward-looking statements may include statements about:</w:t>
      </w:r>
    </w:p>
    <w:p>
      <w:pPr>
        <w:spacing w:after="0" w:line="231" w:lineRule="exact"/>
        <w:rPr>
          <w:sz w:val="20"/>
          <w:szCs w:val="20"/>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strategy;</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estimated future reserves and the present value thereof, including whether or not a full-cost ceiling impairment could be realized;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cash flows and liquidity;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timing and payment of dividends, if any;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financial strategy, budget, projections and operating results;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supply and demand of oil, natural gas and natural gas liquids;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oil, natural gas and natural gas liquids prices, including our realized prices thereof;</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and amount of future production of oil and natural gas;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drilling, completion and production equipment;</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oil storage capacity;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oil field labor;</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nature and timing of capital expenditures, including future exploration and development costs;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and terms of capital;</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drilling of wells;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negotiate and consummate acquisition and divestiture opportunities;</w:t>
      </w:r>
    </w:p>
    <w:p>
      <w:pPr>
        <w:spacing w:after="0" w:line="15"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government regulation and taxation of the oil and natural gas industry;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marketing of oil and natural gas;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exploitation projects or property acquisitions;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integration of acquisitions with our business;</w:t>
      </w:r>
    </w:p>
    <w:p>
      <w:pPr>
        <w:spacing w:after="0" w:line="3" w:lineRule="exact"/>
        <w:rPr>
          <w:rFonts w:ascii="Arial" w:cs="Arial" w:eastAsia="Arial" w:hAnsi="Arial"/>
          <w:sz w:val="16"/>
          <w:szCs w:val="16"/>
          <w:color w:val="auto"/>
        </w:rPr>
      </w:pPr>
    </w:p>
    <w:p>
      <w:pPr>
        <w:ind w:left="560" w:right="40" w:hanging="285"/>
        <w:spacing w:after="0" w:line="244"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and the ability of San Mateo to construct and operate midstream facilities, including the operation of its Black River cryogenic natural gas processing plant and the drilling of additional salt water disposal wells;</w:t>
      </w: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of San Mateo to attract third-party volumes;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costs and timing of exploiting and developing our properties and conducting other operations;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in the oil and natural gas industry, including in both the exploration and production and midstream segments;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effectiveness of our risk management and hedging activities;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technology;</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environmental liabilities;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counterparty credit risk;</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risk;</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developments in oil-producing and natural gas-producing countries;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COVID-19 on the oil and natural gas industry and our business;</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future operating results; and</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plans, objectives, expectations and intentions contained in this Quarterly Report or in our other filings with the SEC that are not historical.</w:t>
      </w:r>
    </w:p>
    <w:p>
      <w:pPr>
        <w:spacing w:after="0" w:line="86" w:lineRule="exact"/>
        <w:rPr>
          <w:sz w:val="20"/>
          <w:szCs w:val="20"/>
          <w:color w:val="auto"/>
        </w:rPr>
      </w:pPr>
    </w:p>
    <w:p>
      <w:pPr>
        <w:ind w:right="220" w:firstLine="387"/>
        <w:spacing w:after="0" w:line="264" w:lineRule="auto"/>
        <w:rPr>
          <w:sz w:val="20"/>
          <w:szCs w:val="20"/>
          <w:color w:val="auto"/>
        </w:rPr>
      </w:pPr>
      <w:r>
        <w:rPr>
          <w:rFonts w:ascii="Arial" w:cs="Arial" w:eastAsia="Arial" w:hAnsi="Arial"/>
          <w:sz w:val="16"/>
          <w:szCs w:val="16"/>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64" w:lineRule="exact"/>
        <w:rPr>
          <w:sz w:val="20"/>
          <w:szCs w:val="20"/>
          <w:color w:val="auto"/>
        </w:rPr>
      </w:pPr>
    </w:p>
    <w:p>
      <w:pPr>
        <w:ind w:right="160" w:firstLine="387"/>
        <w:spacing w:after="0" w:line="316" w:lineRule="auto"/>
        <w:rPr>
          <w:sz w:val="20"/>
          <w:szCs w:val="20"/>
          <w:color w:val="auto"/>
        </w:rPr>
      </w:pPr>
      <w:r>
        <w:rPr>
          <w:rFonts w:ascii="Arial" w:cs="Arial" w:eastAsia="Arial" w:hAnsi="Arial"/>
          <w:sz w:val="13"/>
          <w:szCs w:val="13"/>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1" w:lineRule="exact"/>
        <w:rPr>
          <w:sz w:val="20"/>
          <w:szCs w:val="20"/>
          <w:color w:val="auto"/>
        </w:rPr>
      </w:pPr>
    </w:p>
    <w:p>
      <w:pPr>
        <w:ind w:right="100" w:firstLine="387"/>
        <w:spacing w:after="0" w:line="248"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 Highlights</w:t>
      </w:r>
    </w:p>
    <w:p>
      <w:pPr>
        <w:spacing w:after="0" w:line="97" w:lineRule="exact"/>
        <w:rPr>
          <w:sz w:val="20"/>
          <w:szCs w:val="20"/>
          <w:color w:val="auto"/>
        </w:rPr>
      </w:pPr>
    </w:p>
    <w:p>
      <w:pPr>
        <w:ind w:firstLine="387"/>
        <w:spacing w:after="0" w:line="327" w:lineRule="auto"/>
        <w:rPr>
          <w:sz w:val="20"/>
          <w:szCs w:val="20"/>
          <w:color w:val="auto"/>
        </w:rPr>
      </w:pPr>
      <w:r>
        <w:rPr>
          <w:rFonts w:ascii="Arial" w:cs="Arial" w:eastAsia="Arial" w:hAnsi="Arial"/>
          <w:sz w:val="13"/>
          <w:szCs w:val="13"/>
          <w:color w:val="auto"/>
        </w:rPr>
        <w:t>For the three months ended June 30, 2021, our total oil equivalent production was 8.5 million BOE, and our average daily oil equivalent production was 93,200 BOE per day, of which 53,400 Bbl per day, or 57%, was oil and 239.1 MMcf per day, or 43%, was natural gas. Our average daily oil production of 53,400 Bbl per day for the three months ended June 30, 2021 increased 24% year-over-year from 43,100 Bbl per day for the three months ended June 30, 2020. Our average daily natural gas production of 239.1 MMcf per day for the three months ended June 30, 2021 increased 32% year-over-year from 181.4 MMcf per day for the three months ended June 30, 2020.</w:t>
      </w:r>
    </w:p>
    <w:p>
      <w:pPr>
        <w:spacing w:after="0" w:line="29" w:lineRule="exact"/>
        <w:rPr>
          <w:sz w:val="20"/>
          <w:szCs w:val="20"/>
          <w:color w:val="auto"/>
        </w:rPr>
      </w:pPr>
    </w:p>
    <w:p>
      <w:pPr>
        <w:ind w:right="20" w:firstLine="387"/>
        <w:spacing w:after="0" w:line="251" w:lineRule="auto"/>
        <w:rPr>
          <w:sz w:val="20"/>
          <w:szCs w:val="20"/>
          <w:color w:val="auto"/>
        </w:rPr>
      </w:pPr>
      <w:r>
        <w:rPr>
          <w:rFonts w:ascii="Arial" w:cs="Arial" w:eastAsia="Arial" w:hAnsi="Arial"/>
          <w:sz w:val="16"/>
          <w:szCs w:val="16"/>
          <w:color w:val="auto"/>
        </w:rPr>
        <w:t>For the second quarter of 2021, we reported net income attributable to Matador shareholders of $105.9 million, or $0.89 per diluted common share, on a generally accepted accounting principles in the United States (“GAAP”) basis, as compared to a net loss attributable to Matador shareholders of $353.4 million, or ($3.04) per diluted common share, for the second quarter of 2020. For the second quarter of 2021, our Adjusted EBITDA attributable to Matador shareholders (“Adjusted EBITDA”), a non-GAAP financial measure, was $261.0 million, as compared to Adjusted EBITDA of $107.6 million during the second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quarter of 2020. For a definition of Adjusted EBITDA and a reconciliation of Adjusted EBITDA to our net income (loss) and net cash provided by operating activities, see “— Liquidity and Capital Resources—Non-GAAP Financial Measures.” For more information regarding our financial results for the three months ended June 30, 2021, see “—Results of Operations” below.</w:t>
      </w:r>
    </w:p>
    <w:p>
      <w:pPr>
        <w:spacing w:after="0" w:line="72" w:lineRule="exact"/>
        <w:rPr>
          <w:sz w:val="20"/>
          <w:szCs w:val="20"/>
          <w:color w:val="auto"/>
        </w:rPr>
      </w:pPr>
    </w:p>
    <w:p>
      <w:pPr>
        <w:ind w:right="20" w:firstLine="387"/>
        <w:spacing w:after="0" w:line="248" w:lineRule="auto"/>
        <w:rPr>
          <w:sz w:val="20"/>
          <w:szCs w:val="20"/>
          <w:color w:val="auto"/>
        </w:rPr>
      </w:pPr>
      <w:r>
        <w:rPr>
          <w:rFonts w:ascii="Arial" w:cs="Arial" w:eastAsia="Arial" w:hAnsi="Arial"/>
          <w:sz w:val="16"/>
          <w:szCs w:val="16"/>
          <w:color w:val="auto"/>
        </w:rPr>
        <w:t>For the six months ended June 30, 2021, we reported net income attributable to Matador shareholders of $166.6 million, or $1.40 per diluted common share, on a GAAP basis, as compared to a net loss attributable to Matador shareholders of $227.7 million, or ($1.96) per diluted common share, for the six months ended June 30, 2020. For the six months ended June 30, 2021, our Adjusted EBITDA, a non-GAAP financial measure, was $459.1 million, as compared to Adjusted EBITDA of $248.2 million during the six months ended June 30, 2020. For a definition of Adjusted EBITDA and a reconciliation of Adjusted EBITDA to our net income (loss) and net cash provided by operating activities, see “—Liquidity and Capital Resources—Non-GAAP Financial Measures.” For more information regarding our financial results for the six months ended June 30, 2021, see “—Results of Operations” below.</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 Update</w:t>
      </w:r>
    </w:p>
    <w:p>
      <w:pPr>
        <w:spacing w:after="0" w:line="97" w:lineRule="exact"/>
        <w:rPr>
          <w:sz w:val="20"/>
          <w:szCs w:val="20"/>
          <w:color w:val="auto"/>
        </w:rPr>
      </w:pPr>
    </w:p>
    <w:p>
      <w:pPr>
        <w:ind w:firstLine="387"/>
        <w:spacing w:after="0" w:line="268" w:lineRule="auto"/>
        <w:rPr>
          <w:sz w:val="20"/>
          <w:szCs w:val="20"/>
          <w:color w:val="auto"/>
        </w:rPr>
      </w:pPr>
      <w:r>
        <w:rPr>
          <w:rFonts w:ascii="Arial" w:cs="Arial" w:eastAsia="Arial" w:hAnsi="Arial"/>
          <w:sz w:val="15"/>
          <w:szCs w:val="15"/>
          <w:color w:val="auto"/>
        </w:rPr>
        <w:t>We operated four drilling rigs in the Delaware Basin during the second quarter of 2021. At July 27, 2021, two of these rigs were drilling in the Stateline asset area in Eddy County, New Mexico. These two rigs recently completed drilling 13 additional Boros wells in the eastern portion of the Stateline asset area and at July 27, 2021 were drilling 11 new Voni wells in the western portion of that asset area. The other two rigs have been drilling 13 wells in the southern portion of the Arrowhead asset area (the “Greater Stebbins Area”), nine of which were still in progress at July 27, 2021. Four of these wells, all Second Bone Spring completions, were recently turned to sales. When we complete drilling the nine wells in progress in the Greater Stebbins Area, we plan to use these two rigs to drill two additional wells in the Ranger asset area in Lea County, New Mexico and several additional Rodney Robinson wells in the western portion of the Antelope Ridge asset area in Lea County.</w:t>
      </w:r>
    </w:p>
    <w:p>
      <w:pPr>
        <w:spacing w:after="0" w:line="63" w:lineRule="exact"/>
        <w:rPr>
          <w:sz w:val="20"/>
          <w:szCs w:val="20"/>
          <w:color w:val="auto"/>
        </w:rPr>
      </w:pPr>
    </w:p>
    <w:p>
      <w:pPr>
        <w:ind w:right="140" w:firstLine="387"/>
        <w:spacing w:after="0" w:line="248" w:lineRule="auto"/>
        <w:rPr>
          <w:sz w:val="20"/>
          <w:szCs w:val="20"/>
          <w:color w:val="auto"/>
        </w:rPr>
      </w:pPr>
      <w:r>
        <w:rPr>
          <w:rFonts w:ascii="Arial" w:cs="Arial" w:eastAsia="Arial" w:hAnsi="Arial"/>
          <w:sz w:val="16"/>
          <w:szCs w:val="16"/>
          <w:color w:val="auto"/>
        </w:rPr>
        <w:t>We turned to sales a total of 24 gross (15.6 net) wells in the Delaware Basin during the second quarter of 2021, including 15 gross (14.6 net) operated wells and nine gross (1.0 net) non-operated wells. During the second quarter of 2021, we turned to sales 13 gross (12.7 net) operated wells in the Stateline asset area; four were Wolfcamp A-Lower completions, four were Wolfcamp A-XY completions, four were Second Bone Spring completions and one was a First Bone Spring completion. In the Wolf asset area, we turned to sales two gross (1.9 net) operated wells, both of which were Second Bone Spring completions. We also participated in five gross (0.3 net) non-operated wells turned to sales in the Antelope Ridge asset area, two gross (0.7 net) non-operated wells in the Arrowhead asset area and two gross (less than 0.1 net) non-operated wells in the Rustler Breaks asset area.</w:t>
      </w:r>
    </w:p>
    <w:p>
      <w:pPr>
        <w:spacing w:after="0" w:line="78" w:lineRule="exact"/>
        <w:rPr>
          <w:sz w:val="20"/>
          <w:szCs w:val="20"/>
          <w:color w:val="auto"/>
        </w:rPr>
      </w:pPr>
    </w:p>
    <w:p>
      <w:pPr>
        <w:ind w:right="40" w:firstLine="387"/>
        <w:spacing w:after="0" w:line="327" w:lineRule="auto"/>
        <w:rPr>
          <w:sz w:val="20"/>
          <w:szCs w:val="20"/>
          <w:color w:val="auto"/>
        </w:rPr>
      </w:pPr>
      <w:r>
        <w:rPr>
          <w:rFonts w:ascii="Arial" w:cs="Arial" w:eastAsia="Arial" w:hAnsi="Arial"/>
          <w:sz w:val="13"/>
          <w:szCs w:val="13"/>
          <w:color w:val="auto"/>
        </w:rPr>
        <w:t>Our average daily oil equivalent production in the Delaware Basin for the second quarter of 2021 was 87,500 BOE per day, consisting of 51,700 Bbl of oil per day and 214.7 MMcf of natural gas per day, a 33% increase from 66,000 BOE per day, consisting of 41,500 Bbl of oil per day and 146.9 MMcf of natural gas per day, in the second quarter of 2020. The Delaware Basin contributed approximately 97% of our daily oil production and approximately 90% of our daily natural gas production in the second quarter of 2021, as compared to approximately 96% of our daily oil production and approximately 81% of our daily natural gas production in the second quarter of 2020.</w:t>
      </w:r>
    </w:p>
    <w:p>
      <w:pPr>
        <w:spacing w:after="0" w:line="29" w:lineRule="exact"/>
        <w:rPr>
          <w:sz w:val="20"/>
          <w:szCs w:val="20"/>
          <w:color w:val="auto"/>
        </w:rPr>
      </w:pPr>
    </w:p>
    <w:p>
      <w:pPr>
        <w:ind w:right="40" w:firstLine="387"/>
        <w:spacing w:after="0" w:line="376" w:lineRule="auto"/>
        <w:rPr>
          <w:sz w:val="20"/>
          <w:szCs w:val="20"/>
          <w:color w:val="auto"/>
        </w:rPr>
      </w:pPr>
      <w:r>
        <w:rPr>
          <w:rFonts w:ascii="Arial" w:cs="Arial" w:eastAsia="Arial" w:hAnsi="Arial"/>
          <w:sz w:val="13"/>
          <w:szCs w:val="13"/>
          <w:color w:val="auto"/>
        </w:rPr>
        <w:t>During the second quarter of 2021, we did not complete and turn to sales any operated wells on our leasehold properties in the Eagle Ford shale play in South Texas or in the Haynesville shale and Cotton Valley plays in Northwest Louisiana, but we did participate in four gross (less than 0.1 net) non-operated wells in the Haynesville shale.</w:t>
      </w:r>
    </w:p>
    <w:p>
      <w:pPr>
        <w:spacing w:after="0"/>
        <w:rPr>
          <w:sz w:val="20"/>
          <w:szCs w:val="20"/>
          <w:color w:val="auto"/>
        </w:rPr>
      </w:pPr>
      <w:r>
        <w:rPr>
          <w:rFonts w:ascii="Arial" w:cs="Arial" w:eastAsia="Arial" w:hAnsi="Arial"/>
          <w:sz w:val="16"/>
          <w:szCs w:val="16"/>
          <w:i w:val="1"/>
          <w:iCs w:val="1"/>
          <w:color w:val="auto"/>
        </w:rPr>
        <w:t>2021 Capital Expenditure Budget</w:t>
      </w:r>
    </w:p>
    <w:p>
      <w:pPr>
        <w:spacing w:after="0" w:line="97" w:lineRule="exact"/>
        <w:rPr>
          <w:sz w:val="20"/>
          <w:szCs w:val="20"/>
          <w:color w:val="auto"/>
        </w:rPr>
      </w:pPr>
    </w:p>
    <w:p>
      <w:pPr>
        <w:ind w:firstLine="387"/>
        <w:spacing w:after="0" w:line="273" w:lineRule="auto"/>
        <w:rPr>
          <w:sz w:val="20"/>
          <w:szCs w:val="20"/>
          <w:color w:val="auto"/>
        </w:rPr>
      </w:pPr>
      <w:r>
        <w:rPr>
          <w:rFonts w:ascii="Arial" w:cs="Arial" w:eastAsia="Arial" w:hAnsi="Arial"/>
          <w:sz w:val="15"/>
          <w:szCs w:val="15"/>
          <w:color w:val="auto"/>
        </w:rPr>
        <w:t>At July 27, 2021, our 2021 estimated capital expenditures for drilling, completing and equipping wells (“D/C/E capital expenditures”) remained $525 to $575 million, as originally estimated. As a result of savings on our operated D/C/E capital expenditures in the first half of 2021, a faster drilling and completions pace and an anticipated decrease in non-operated D/C/E capital expenditures in the second half of 2021, we intend to advance the next 11 Voni well completions in the Stateline asset area forward into the fourth quarter of 2021 and expect to be able to do so without increasing our estimates for D/C/E capital expenditures for full year 2021.</w:t>
      </w:r>
    </w:p>
    <w:p>
      <w:pPr>
        <w:spacing w:after="0" w:line="59" w:lineRule="exact"/>
        <w:rPr>
          <w:sz w:val="20"/>
          <w:szCs w:val="20"/>
          <w:color w:val="auto"/>
        </w:rPr>
      </w:pPr>
    </w:p>
    <w:p>
      <w:pPr>
        <w:ind w:right="40" w:firstLine="387"/>
        <w:spacing w:after="0" w:line="249" w:lineRule="auto"/>
        <w:rPr>
          <w:sz w:val="20"/>
          <w:szCs w:val="20"/>
          <w:color w:val="auto"/>
        </w:rPr>
      </w:pPr>
      <w:r>
        <w:rPr>
          <w:rFonts w:ascii="Arial" w:cs="Arial" w:eastAsia="Arial" w:hAnsi="Arial"/>
          <w:sz w:val="16"/>
          <w:szCs w:val="16"/>
          <w:color w:val="auto"/>
        </w:rPr>
        <w:t>At July 27, 2021, we increased our anticipated 2021 midstream capital expenditures from $20 to $30 million to $35 to $45 million, primarily to accommodate several new midstream opportunities for San Mateo with producers in Eddy County, New Mexico and to accelerate the installation of compression facilities and other infrastructure prior to the end of 2021 in order to be prepared for the additional volumes from the accelerated Voni completions noted above. Previously, these Voni-related capital expenditures were scheduled for early 2022. The anticipated total 2021 midstream capital expenditures of $35 to $45 million primarily reflect our proportionate share of San Mateo’s estimated 2021 capital expenditures.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Resources Update</w:t>
      </w:r>
    </w:p>
    <w:p>
      <w:pPr>
        <w:spacing w:after="0" w:line="97" w:lineRule="exact"/>
        <w:rPr>
          <w:sz w:val="20"/>
          <w:szCs w:val="20"/>
          <w:color w:val="auto"/>
        </w:rPr>
      </w:pPr>
    </w:p>
    <w:p>
      <w:pPr>
        <w:jc w:val="both"/>
        <w:ind w:right="20" w:firstLine="387"/>
        <w:spacing w:after="0" w:line="254" w:lineRule="auto"/>
        <w:rPr>
          <w:sz w:val="20"/>
          <w:szCs w:val="20"/>
          <w:color w:val="auto"/>
        </w:rPr>
      </w:pPr>
      <w:r>
        <w:rPr>
          <w:rFonts w:ascii="Arial" w:cs="Arial" w:eastAsia="Arial" w:hAnsi="Arial"/>
          <w:sz w:val="16"/>
          <w:szCs w:val="16"/>
          <w:color w:val="auto"/>
        </w:rPr>
        <w:t>Our Board of Directors (the “Board”) declared a quarterly cash dividend of $0.025 per share of common stock in both the first and second quarters of 2021, which were paid on March 31, 2021 and June 3, 2021, respectively. In July 2021, the Board declared a quarterly cash dividend of $0.025 per share of common stock payable on September 3, 2021 to shareholders of record as of August 12, 2021.</w:t>
      </w:r>
    </w:p>
    <w:p>
      <w:pPr>
        <w:spacing w:after="0" w:line="72" w:lineRule="exact"/>
        <w:rPr>
          <w:sz w:val="20"/>
          <w:szCs w:val="20"/>
          <w:color w:val="auto"/>
        </w:rPr>
      </w:pPr>
    </w:p>
    <w:p>
      <w:pPr>
        <w:ind w:right="280" w:firstLine="387"/>
        <w:spacing w:after="0" w:line="264" w:lineRule="auto"/>
        <w:rPr>
          <w:sz w:val="20"/>
          <w:szCs w:val="20"/>
          <w:color w:val="auto"/>
        </w:rPr>
      </w:pPr>
      <w:r>
        <w:rPr>
          <w:rFonts w:ascii="Arial" w:cs="Arial" w:eastAsia="Arial" w:hAnsi="Arial"/>
          <w:sz w:val="16"/>
          <w:szCs w:val="16"/>
          <w:color w:val="auto"/>
        </w:rPr>
        <w:t>During each of the first and second quarters of 2021, we had net repayments of $100.0 million in borrowings under our third amended and restated credit agreement (the “Credit Agreement”). Our outstanding borrowings under our Credit Agreement at June 30, 2021 were $240.0 million.</w:t>
      </w:r>
    </w:p>
    <w:p>
      <w:pPr>
        <w:spacing w:after="0" w:line="64" w:lineRule="exact"/>
        <w:rPr>
          <w:sz w:val="20"/>
          <w:szCs w:val="20"/>
          <w:color w:val="auto"/>
        </w:rPr>
      </w:pPr>
    </w:p>
    <w:p>
      <w:pPr>
        <w:ind w:right="40" w:firstLine="387"/>
        <w:spacing w:after="0" w:line="273" w:lineRule="auto"/>
        <w:rPr>
          <w:sz w:val="20"/>
          <w:szCs w:val="20"/>
          <w:color w:val="auto"/>
        </w:rPr>
      </w:pPr>
      <w:r>
        <w:rPr>
          <w:rFonts w:ascii="Arial" w:cs="Arial" w:eastAsia="Arial" w:hAnsi="Arial"/>
          <w:sz w:val="15"/>
          <w:szCs w:val="15"/>
          <w:color w:val="auto"/>
        </w:rPr>
        <w:t>In April 2021, the lenders under our Credit Agreement completed their review of our proved oil and natural gas reserves, and, as a result, the borrowing base was reaffirmed at $900.0 million. The Company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borrowing commitment.</w:t>
      </w:r>
    </w:p>
    <w:p>
      <w:pPr>
        <w:spacing w:after="0" w:line="59" w:lineRule="exact"/>
        <w:rPr>
          <w:sz w:val="20"/>
          <w:szCs w:val="20"/>
          <w:color w:val="auto"/>
        </w:rPr>
      </w:pPr>
    </w:p>
    <w:p>
      <w:pPr>
        <w:ind w:firstLine="387"/>
        <w:spacing w:after="0" w:line="251" w:lineRule="auto"/>
        <w:rPr>
          <w:sz w:val="20"/>
          <w:szCs w:val="20"/>
          <w:color w:val="auto"/>
        </w:rPr>
      </w:pPr>
      <w:r>
        <w:rPr>
          <w:rFonts w:ascii="Arial" w:cs="Arial" w:eastAsia="Arial" w:hAnsi="Arial"/>
          <w:sz w:val="16"/>
          <w:szCs w:val="16"/>
          <w:color w:val="auto"/>
        </w:rPr>
        <w:t>In June 2021, San Mateo’s revolving credit facility (the “San Mateo Credit Facility”) was amended to increase the lender commitments under the revolving credit facility from $375.0 million to $450.0 million (subject to San Mateo’s compliance with certain covenants) and the borrowing rate for a base rate loan or Eurodollar loan under such facility was increased by 0.50%. The San Mateo Credit Facility includes an accordion feature, which, after the aforementioned amendment, provides for potential increases in lender commitments to up to $700.0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have been no changes to our critical accounting policies and estimates from those set forth in the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4" w:name="page25"/>
    <w:bookmarkEnd w:id="24"/>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Results of Operations</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Revenues</w:t>
      </w:r>
    </w:p>
    <w:p>
      <w:pPr>
        <w:spacing w:after="0" w:line="10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following table summarizes our unaudited revenues and production data for the periods indicated:</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r>
      <w:tr>
        <w:trPr>
          <w:trHeight w:val="163"/>
        </w:trPr>
        <w:tc>
          <w:tcPr>
            <w:tcW w:w="6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2"/>
                <w:szCs w:val="12"/>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4"/>
                <w:szCs w:val="14"/>
                <w:color w:val="auto"/>
              </w:rPr>
            </w:pPr>
          </w:p>
        </w:tc>
      </w:tr>
      <w:tr>
        <w:trPr>
          <w:trHeight w:val="154"/>
        </w:trPr>
        <w:tc>
          <w:tcPr>
            <w:tcW w:w="6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2"/>
                <w:szCs w:val="12"/>
                <w:b w:val="1"/>
                <w:bCs w:val="1"/>
                <w:color w:val="auto"/>
                <w:w w:val="89"/>
              </w:rPr>
              <w:t>2020</w:t>
            </w:r>
          </w:p>
        </w:tc>
      </w:tr>
      <w:tr>
        <w:trPr>
          <w:trHeight w:val="182"/>
        </w:trPr>
        <w:tc>
          <w:tcPr>
            <w:tcW w:w="6400" w:type="dxa"/>
            <w:vAlign w:val="bottom"/>
          </w:tcPr>
          <w:p>
            <w:pPr>
              <w:spacing w:after="0" w:line="182" w:lineRule="exact"/>
              <w:rPr>
                <w:sz w:val="20"/>
                <w:szCs w:val="20"/>
                <w:color w:val="auto"/>
              </w:rPr>
            </w:pPr>
            <w:r>
              <w:rPr>
                <w:rFonts w:ascii="Arial" w:cs="Arial" w:eastAsia="Arial" w:hAnsi="Arial"/>
                <w:sz w:val="16"/>
                <w:szCs w:val="16"/>
                <w:b w:val="1"/>
                <w:bCs w:val="1"/>
                <w:color w:val="auto"/>
              </w:rPr>
              <w:t>Operating Data</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6400" w:type="dxa"/>
            <w:vAlign w:val="bottom"/>
            <w:shd w:val="clear" w:color="auto" w:fill="CCEEFF"/>
          </w:tcPr>
          <w:p>
            <w:pPr>
              <w:spacing w:after="0" w:line="199" w:lineRule="exact"/>
              <w:rPr>
                <w:sz w:val="20"/>
                <w:szCs w:val="20"/>
                <w:color w:val="auto"/>
              </w:rPr>
            </w:pPr>
            <w:r>
              <w:rPr>
                <w:rFonts w:ascii="Arial" w:cs="Arial" w:eastAsia="Arial" w:hAnsi="Arial"/>
                <w:sz w:val="16"/>
                <w:szCs w:val="16"/>
                <w:b w:val="1"/>
                <w:bCs w:val="1"/>
                <w:color w:val="auto"/>
              </w:rPr>
              <w:t>Revenues (in thousands)</w:t>
            </w:r>
            <w:r>
              <w:rPr>
                <w:rFonts w:ascii="Arial" w:cs="Arial" w:eastAsia="Arial" w:hAnsi="Arial"/>
                <w:sz w:val="20"/>
                <w:szCs w:val="20"/>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9"/>
        </w:trPr>
        <w:tc>
          <w:tcPr>
            <w:tcW w:w="6400" w:type="dxa"/>
            <w:vAlign w:val="bottom"/>
          </w:tcPr>
          <w:p>
            <w:pPr>
              <w:ind w:left="300"/>
              <w:spacing w:after="0"/>
              <w:rPr>
                <w:sz w:val="20"/>
                <w:szCs w:val="20"/>
                <w:color w:val="auto"/>
              </w:rPr>
            </w:pPr>
            <w:r>
              <w:rPr>
                <w:rFonts w:ascii="Arial" w:cs="Arial" w:eastAsia="Arial" w:hAnsi="Arial"/>
                <w:sz w:val="16"/>
                <w:szCs w:val="16"/>
                <w:color w:val="auto"/>
              </w:rPr>
              <w:t>Oil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315,114</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94,174</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528,393</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263,759</w:t>
            </w: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Natural gas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96,960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24,593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199,914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52,922</w:t>
            </w:r>
          </w:p>
        </w:tc>
      </w:tr>
      <w:tr>
        <w:trPr>
          <w:trHeight w:val="191"/>
        </w:trPr>
        <w:tc>
          <w:tcPr>
            <w:tcW w:w="6400" w:type="dxa"/>
            <w:vAlign w:val="bottom"/>
          </w:tcPr>
          <w:p>
            <w:pPr>
              <w:ind w:left="580"/>
              <w:spacing w:after="0" w:line="179" w:lineRule="exact"/>
              <w:rPr>
                <w:sz w:val="20"/>
                <w:szCs w:val="20"/>
                <w:color w:val="auto"/>
              </w:rPr>
            </w:pPr>
            <w:r>
              <w:rPr>
                <w:rFonts w:ascii="Arial" w:cs="Arial" w:eastAsia="Arial" w:hAnsi="Arial"/>
                <w:sz w:val="16"/>
                <w:szCs w:val="16"/>
                <w:color w:val="auto"/>
              </w:rPr>
              <w:t>Total oil and natural gas revenues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412,074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118,767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728,307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316,681</w:t>
            </w: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Third-party midstream services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35,288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30,498</w:t>
            </w:r>
          </w:p>
        </w:tc>
      </w:tr>
      <w:tr>
        <w:trPr>
          <w:trHeight w:val="199"/>
        </w:trPr>
        <w:tc>
          <w:tcPr>
            <w:tcW w:w="6400" w:type="dxa"/>
            <w:vAlign w:val="bottom"/>
          </w:tcPr>
          <w:p>
            <w:pPr>
              <w:ind w:left="300"/>
              <w:spacing w:after="0"/>
              <w:rPr>
                <w:sz w:val="20"/>
                <w:szCs w:val="20"/>
                <w:color w:val="auto"/>
              </w:rPr>
            </w:pPr>
            <w:r>
              <w:rPr>
                <w:rFonts w:ascii="Arial" w:cs="Arial" w:eastAsia="Arial" w:hAnsi="Arial"/>
                <w:sz w:val="16"/>
                <w:szCs w:val="16"/>
                <w:color w:val="auto"/>
              </w:rPr>
              <w:t>Sales of purchased natural gas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13,981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15,428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24,525</w:t>
            </w: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bonus - mineral acreage</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r>
      <w:tr>
        <w:trPr>
          <w:trHeight w:val="199"/>
        </w:trPr>
        <w:tc>
          <w:tcPr>
            <w:tcW w:w="6400" w:type="dxa"/>
            <w:vAlign w:val="bottom"/>
          </w:tcPr>
          <w:p>
            <w:pPr>
              <w:ind w:left="300"/>
              <w:spacing w:after="0"/>
              <w:rPr>
                <w:sz w:val="20"/>
                <w:szCs w:val="20"/>
                <w:color w:val="auto"/>
              </w:rPr>
            </w:pPr>
            <w:r>
              <w:rPr>
                <w:rFonts w:ascii="Arial" w:cs="Arial" w:eastAsia="Arial" w:hAnsi="Arial"/>
                <w:sz w:val="16"/>
                <w:szCs w:val="16"/>
                <w:color w:val="auto"/>
              </w:rPr>
              <w:t>Realized (loss) gain on derivatives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44,110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54,977</w:t>
            </w: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Unrealized (loss) gain on derivatives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r>
      <w:tr>
        <w:trPr>
          <w:trHeight w:val="191"/>
        </w:trPr>
        <w:tc>
          <w:tcPr>
            <w:tcW w:w="6400" w:type="dxa"/>
            <w:vAlign w:val="bottom"/>
          </w:tcPr>
          <w:p>
            <w:pPr>
              <w:ind w:left="960"/>
              <w:spacing w:after="0" w:line="179" w:lineRule="exact"/>
              <w:rPr>
                <w:sz w:val="20"/>
                <w:szCs w:val="20"/>
                <w:color w:val="auto"/>
              </w:rPr>
            </w:pPr>
            <w:r>
              <w:rPr>
                <w:rFonts w:ascii="Arial" w:cs="Arial" w:eastAsia="Arial" w:hAnsi="Arial"/>
                <w:sz w:val="16"/>
                <w:szCs w:val="16"/>
                <w:color w:val="auto"/>
              </w:rPr>
              <w:t>Total revenues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357,427</w:t>
            </w:r>
          </w:p>
        </w:tc>
        <w:tc>
          <w:tcPr>
            <w:tcW w:w="1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62,920</w:t>
            </w:r>
          </w:p>
        </w:tc>
        <w:tc>
          <w:tcPr>
            <w:tcW w:w="1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624,272</w:t>
            </w:r>
          </w:p>
        </w:tc>
        <w:tc>
          <w:tcPr>
            <w:tcW w:w="100" w:type="dxa"/>
            <w:vAlign w:val="bottom"/>
          </w:tcPr>
          <w:p>
            <w:pPr>
              <w:spacing w:after="0"/>
              <w:rPr>
                <w:sz w:val="16"/>
                <w:szCs w:val="16"/>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434,505</w:t>
            </w:r>
          </w:p>
        </w:tc>
      </w:tr>
      <w:tr>
        <w:trPr>
          <w:trHeight w:val="199"/>
        </w:trPr>
        <w:tc>
          <w:tcPr>
            <w:tcW w:w="6400" w:type="dxa"/>
            <w:vAlign w:val="bottom"/>
            <w:shd w:val="clear" w:color="auto" w:fill="CCEEFF"/>
          </w:tcPr>
          <w:p>
            <w:pPr>
              <w:spacing w:after="0" w:line="199" w:lineRule="exact"/>
              <w:rPr>
                <w:sz w:val="20"/>
                <w:szCs w:val="20"/>
                <w:color w:val="auto"/>
              </w:rPr>
            </w:pPr>
            <w:r>
              <w:rPr>
                <w:rFonts w:ascii="Arial" w:cs="Arial" w:eastAsia="Arial" w:hAnsi="Arial"/>
                <w:sz w:val="16"/>
                <w:szCs w:val="16"/>
                <w:b w:val="1"/>
                <w:bCs w:val="1"/>
                <w:color w:val="auto"/>
              </w:rPr>
              <w:t>Net Production Volumes</w:t>
            </w:r>
            <w:r>
              <w:rPr>
                <w:rFonts w:ascii="Arial" w:cs="Arial" w:eastAsia="Arial" w:hAnsi="Arial"/>
                <w:sz w:val="20"/>
                <w:szCs w:val="20"/>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9"/>
        </w:trPr>
        <w:tc>
          <w:tcPr>
            <w:tcW w:w="6400" w:type="dxa"/>
            <w:vAlign w:val="bottom"/>
          </w:tcPr>
          <w:p>
            <w:pPr>
              <w:ind w:left="300"/>
              <w:spacing w:after="0" w:line="199" w:lineRule="exact"/>
              <w:rPr>
                <w:sz w:val="20"/>
                <w:szCs w:val="20"/>
                <w:color w:val="auto"/>
              </w:rPr>
            </w:pPr>
            <w:r>
              <w:rPr>
                <w:rFonts w:ascii="Arial" w:cs="Arial" w:eastAsia="Arial" w:hAnsi="Arial"/>
                <w:sz w:val="16"/>
                <w:szCs w:val="16"/>
                <w:color w:val="auto"/>
              </w:rPr>
              <w:t>Oil (MBbl)</w:t>
            </w:r>
            <w:r>
              <w:rPr>
                <w:rFonts w:ascii="Arial" w:cs="Arial" w:eastAsia="Arial" w:hAnsi="Arial"/>
                <w:sz w:val="20"/>
                <w:szCs w:val="20"/>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4,855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8,594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7,617</w:t>
            </w:r>
          </w:p>
        </w:tc>
      </w:tr>
      <w:tr>
        <w:trPr>
          <w:trHeight w:val="199"/>
        </w:trPr>
        <w:tc>
          <w:tcPr>
            <w:tcW w:w="6400" w:type="dxa"/>
            <w:vAlign w:val="bottom"/>
            <w:shd w:val="clear" w:color="auto" w:fill="CCEEFF"/>
          </w:tcPr>
          <w:p>
            <w:pPr>
              <w:ind w:left="300"/>
              <w:spacing w:after="0" w:line="199" w:lineRule="exact"/>
              <w:rPr>
                <w:sz w:val="20"/>
                <w:szCs w:val="20"/>
                <w:color w:val="auto"/>
              </w:rPr>
            </w:pPr>
            <w:r>
              <w:rPr>
                <w:rFonts w:ascii="Arial" w:cs="Arial" w:eastAsia="Arial" w:hAnsi="Arial"/>
                <w:sz w:val="16"/>
                <w:szCs w:val="16"/>
                <w:color w:val="auto"/>
              </w:rPr>
              <w:t>Natural gas (Bcf)</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199"/>
        </w:trPr>
        <w:tc>
          <w:tcPr>
            <w:tcW w:w="6400" w:type="dxa"/>
            <w:vAlign w:val="bottom"/>
          </w:tcPr>
          <w:p>
            <w:pPr>
              <w:ind w:left="640"/>
              <w:spacing w:after="0" w:line="199" w:lineRule="exact"/>
              <w:rPr>
                <w:sz w:val="20"/>
                <w:szCs w:val="20"/>
                <w:color w:val="auto"/>
              </w:rPr>
            </w:pPr>
            <w:r>
              <w:rPr>
                <w:rFonts w:ascii="Arial" w:cs="Arial" w:eastAsia="Arial" w:hAnsi="Arial"/>
                <w:sz w:val="16"/>
                <w:szCs w:val="16"/>
                <w:color w:val="auto"/>
              </w:rPr>
              <w:t>Total oil equivalent (MBOE)</w:t>
            </w:r>
            <w:r>
              <w:rPr>
                <w:rFonts w:ascii="Arial" w:cs="Arial" w:eastAsia="Arial" w:hAnsi="Arial"/>
                <w:sz w:val="20"/>
                <w:szCs w:val="20"/>
                <w:color w:val="auto"/>
                <w:vertAlign w:val="superscript"/>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6,670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15,140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13,146</w:t>
            </w:r>
          </w:p>
        </w:tc>
      </w:tr>
      <w:tr>
        <w:trPr>
          <w:trHeight w:val="199"/>
        </w:trPr>
        <w:tc>
          <w:tcPr>
            <w:tcW w:w="6400" w:type="dxa"/>
            <w:vAlign w:val="bottom"/>
            <w:shd w:val="clear" w:color="auto" w:fill="CCEEFF"/>
          </w:tcPr>
          <w:p>
            <w:pPr>
              <w:ind w:left="640"/>
              <w:spacing w:after="0" w:line="199" w:lineRule="exact"/>
              <w:rPr>
                <w:sz w:val="20"/>
                <w:szCs w:val="20"/>
                <w:color w:val="auto"/>
              </w:rPr>
            </w:pPr>
            <w:r>
              <w:rPr>
                <w:rFonts w:ascii="Arial" w:cs="Arial" w:eastAsia="Arial" w:hAnsi="Arial"/>
                <w:sz w:val="16"/>
                <w:szCs w:val="16"/>
                <w:color w:val="auto"/>
              </w:rPr>
              <w:t>Average daily production (BOE/d)</w:t>
            </w:r>
            <w:r>
              <w:rPr>
                <w:rFonts w:ascii="Arial" w:cs="Arial" w:eastAsia="Arial" w:hAnsi="Arial"/>
                <w:sz w:val="20"/>
                <w:szCs w:val="20"/>
                <w:color w:val="auto"/>
                <w:vertAlign w:val="superscript"/>
              </w:rPr>
              <w:t>(5)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73,302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83,650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72,232</w:t>
            </w:r>
          </w:p>
        </w:tc>
      </w:tr>
      <w:tr>
        <w:trPr>
          <w:trHeight w:val="199"/>
        </w:trPr>
        <w:tc>
          <w:tcPr>
            <w:tcW w:w="6400" w:type="dxa"/>
            <w:vAlign w:val="bottom"/>
          </w:tcPr>
          <w:p>
            <w:pPr>
              <w:spacing w:after="0"/>
              <w:rPr>
                <w:sz w:val="20"/>
                <w:szCs w:val="20"/>
                <w:color w:val="auto"/>
              </w:rPr>
            </w:pPr>
            <w:r>
              <w:rPr>
                <w:rFonts w:ascii="Arial" w:cs="Arial" w:eastAsia="Arial" w:hAnsi="Arial"/>
                <w:sz w:val="16"/>
                <w:szCs w:val="16"/>
                <w:b w:val="1"/>
                <w:bCs w:val="1"/>
                <w:color w:val="auto"/>
              </w:rPr>
              <w:t>Average Sales Prices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Oil, without realized derivatives (per Bbl)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r>
      <w:tr>
        <w:trPr>
          <w:trHeight w:val="199"/>
        </w:trPr>
        <w:tc>
          <w:tcPr>
            <w:tcW w:w="6400" w:type="dxa"/>
            <w:vAlign w:val="bottom"/>
          </w:tcPr>
          <w:p>
            <w:pPr>
              <w:ind w:left="300"/>
              <w:spacing w:after="0"/>
              <w:rPr>
                <w:sz w:val="20"/>
                <w:szCs w:val="20"/>
                <w:color w:val="auto"/>
              </w:rPr>
            </w:pPr>
            <w:r>
              <w:rPr>
                <w:rFonts w:ascii="Arial" w:cs="Arial" w:eastAsia="Arial" w:hAnsi="Arial"/>
                <w:sz w:val="16"/>
                <w:szCs w:val="16"/>
                <w:color w:val="auto"/>
              </w:rPr>
              <w:t>Oil, with realized derivatives (per Bbl)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41.85</w:t>
            </w:r>
          </w:p>
        </w:tc>
      </w:tr>
      <w:tr>
        <w:trPr>
          <w:trHeight w:val="199"/>
        </w:trPr>
        <w:tc>
          <w:tcPr>
            <w:tcW w:w="6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Natural gas, without realized derivatives (per Mcf)</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199"/>
        </w:trPr>
        <w:tc>
          <w:tcPr>
            <w:tcW w:w="6400" w:type="dxa"/>
            <w:vAlign w:val="bottom"/>
          </w:tcPr>
          <w:p>
            <w:pPr>
              <w:ind w:left="300"/>
              <w:spacing w:after="0"/>
              <w:rPr>
                <w:sz w:val="20"/>
                <w:szCs w:val="20"/>
                <w:color w:val="auto"/>
              </w:rPr>
            </w:pPr>
            <w:r>
              <w:rPr>
                <w:rFonts w:ascii="Arial" w:cs="Arial" w:eastAsia="Arial" w:hAnsi="Arial"/>
                <w:sz w:val="16"/>
                <w:szCs w:val="16"/>
                <w:color w:val="auto"/>
              </w:rPr>
              <w:t>Natural gas, with realized derivatives (per Mcf)</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1.60</w:t>
            </w:r>
          </w:p>
        </w:tc>
      </w:tr>
    </w:tbl>
    <w:p>
      <w:pPr>
        <w:spacing w:after="0" w:line="5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w:t>
      </w:r>
    </w:p>
    <w:p>
      <w:pPr>
        <w:spacing w:after="0" w:line="94" w:lineRule="exact"/>
        <w:rPr>
          <w:sz w:val="20"/>
          <w:szCs w:val="20"/>
          <w:color w:val="auto"/>
        </w:rPr>
      </w:pPr>
    </w:p>
    <w:p>
      <w:pPr>
        <w:ind w:left="266" w:hanging="266"/>
        <w:spacing w:after="0"/>
        <w:tabs>
          <w:tab w:leader="none" w:pos="266"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report our production volumes in two streams: oil and natural gas, including both dry and liquids-rich natural gas. Revenues associated with natural gas liquids are included with our natural gas revenues.</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One thousand Bbl of oil.</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One billion cubic feet of natural gas.</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One thousand Bbl of oil equivalent, estimated using a conversion ratio of one Bbl of oil per six Mcf of natural gas.</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0"/>
        </w:numPr>
        <w:rPr>
          <w:rFonts w:ascii="Arial" w:cs="Arial" w:eastAsia="Arial" w:hAnsi="Arial"/>
          <w:sz w:val="12"/>
          <w:szCs w:val="12"/>
          <w:color w:val="auto"/>
        </w:rPr>
      </w:pPr>
      <w:r>
        <w:rPr>
          <w:rFonts w:ascii="Arial" w:cs="Arial" w:eastAsia="Arial" w:hAnsi="Arial"/>
          <w:sz w:val="12"/>
          <w:szCs w:val="12"/>
          <w:color w:val="auto"/>
        </w:rPr>
        <w:t>Barrels of oil equivalent per day, estimated using a conversion ratio of one Bbl of oil per six Mcf of natural gas.</w:t>
      </w:r>
    </w:p>
    <w:p>
      <w:pPr>
        <w:spacing w:after="0" w:line="100" w:lineRule="exact"/>
        <w:rPr>
          <w:sz w:val="20"/>
          <w:szCs w:val="20"/>
          <w:color w:val="auto"/>
        </w:rPr>
      </w:pPr>
    </w:p>
    <w:p>
      <w:pPr>
        <w:ind w:left="166"/>
        <w:spacing w:after="0"/>
        <w:rPr>
          <w:sz w:val="20"/>
          <w:szCs w:val="20"/>
          <w:color w:val="auto"/>
        </w:rPr>
      </w:pPr>
      <w:r>
        <w:rPr>
          <w:rFonts w:ascii="Arial" w:cs="Arial" w:eastAsia="Arial" w:hAnsi="Arial"/>
          <w:sz w:val="16"/>
          <w:szCs w:val="16"/>
          <w:i w:val="1"/>
          <w:iCs w:val="1"/>
          <w:color w:val="auto"/>
        </w:rPr>
        <w:t>Three Months Ended June 30, 2021 as Compared to Three Months Ended June 30, 2020</w:t>
      </w:r>
    </w:p>
    <w:p>
      <w:pPr>
        <w:spacing w:after="0" w:line="97" w:lineRule="exact"/>
        <w:rPr>
          <w:sz w:val="20"/>
          <w:szCs w:val="20"/>
          <w:color w:val="auto"/>
        </w:rPr>
      </w:pPr>
    </w:p>
    <w:p>
      <w:pPr>
        <w:ind w:left="6" w:right="20" w:firstLine="387"/>
        <w:spacing w:after="0" w:line="312" w:lineRule="auto"/>
        <w:rPr>
          <w:sz w:val="20"/>
          <w:szCs w:val="20"/>
          <w:color w:val="auto"/>
        </w:rPr>
      </w:pPr>
      <w:r>
        <w:rPr>
          <w:rFonts w:ascii="Arial" w:cs="Arial" w:eastAsia="Arial" w:hAnsi="Arial"/>
          <w:sz w:val="13"/>
          <w:szCs w:val="13"/>
          <w:i w:val="1"/>
          <w:iCs w:val="1"/>
          <w:color w:val="auto"/>
        </w:rPr>
        <w:t xml:space="preserve">Oil and natural gas revenues. </w:t>
      </w:r>
      <w:r>
        <w:rPr>
          <w:rFonts w:ascii="Arial" w:cs="Arial" w:eastAsia="Arial" w:hAnsi="Arial"/>
          <w:sz w:val="13"/>
          <w:szCs w:val="13"/>
          <w:color w:val="auto"/>
        </w:rPr>
        <w:t>Our oil and natural gas revenues increased $293.3 million, or 247%, to $412.1 million for the three months ended June 30, 2021, as compared</w:t>
      </w:r>
      <w:r>
        <w:rPr>
          <w:rFonts w:ascii="Arial" w:cs="Arial" w:eastAsia="Arial" w:hAnsi="Arial"/>
          <w:sz w:val="13"/>
          <w:szCs w:val="13"/>
          <w:i w:val="1"/>
          <w:iCs w:val="1"/>
          <w:color w:val="auto"/>
        </w:rPr>
        <w:t xml:space="preserve"> </w:t>
      </w:r>
      <w:r>
        <w:rPr>
          <w:rFonts w:ascii="Arial" w:cs="Arial" w:eastAsia="Arial" w:hAnsi="Arial"/>
          <w:sz w:val="13"/>
          <w:szCs w:val="13"/>
          <w:color w:val="auto"/>
        </w:rPr>
        <w:t>to $118.8 million for the three months ended June 30, 2020. Our oil revenues increased $220.9 million, or 235%, to $315.1 million for the three months ended June 30, 2021, as compared to $94.2 million for the three months ended June 30, 2020. This increase in oil revenues resulted from a 170% increase in the weighted average oil price realized for the three months ended June 30, 2021 to $64.90 per Bbl, as compared to $24.03 per Bbl for the three months ended June 30, 2020, and from a 24% increase in our oil production to 4.9 million Bbl for the three months ended June 30, 2021, as compared to 3.9 million Bbl for the three months ended June 30, 2020. Our natural gas revenues increased $72.4 million, or 294%, to $97.0 million for the three months ended June 30, 2021, as compared to $24.6 million for the three months ended June 30, 2020. The increase in natural gas revenues resulted from an approximately three-fold increase in the weighted average natural gas price realized for the three months ended June 30, 2021 to $4.46 per Mcf, as compared to a weighted average natural gas price of $1.49 per Mcf realized for the three months ended June 30, 2020, and from a 32% increase in our natural gas production to 21.8 Bcf for the three months ended June 30, 2021, as compared to 16.5 Bcf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25" w:name="page26"/>
    <w:bookmarkEnd w:id="25"/>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387"/>
        <w:spacing w:after="0" w:line="267" w:lineRule="auto"/>
        <w:rPr>
          <w:sz w:val="20"/>
          <w:szCs w:val="20"/>
          <w:color w:val="auto"/>
        </w:rPr>
      </w:pPr>
      <w:r>
        <w:rPr>
          <w:rFonts w:ascii="Arial" w:cs="Arial" w:eastAsia="Arial" w:hAnsi="Arial"/>
          <w:sz w:val="15"/>
          <w:szCs w:val="15"/>
          <w:i w:val="1"/>
          <w:iCs w:val="1"/>
          <w:color w:val="auto"/>
        </w:rPr>
        <w:t xml:space="preserve">Third-party midstream services revenues. </w:t>
      </w:r>
      <w:r>
        <w:rPr>
          <w:rFonts w:ascii="Arial" w:cs="Arial" w:eastAsia="Arial" w:hAnsi="Arial"/>
          <w:sz w:val="15"/>
          <w:szCs w:val="15"/>
          <w:color w:val="auto"/>
        </w:rPr>
        <w:t>Our third-party midstream services revenues increased $5.2 million, or 35%, to $19.9 million for the three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2021, as compared to $14.7 million for the three months ended June 30, 2020.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$10.3 million for the three months ended June 30, 2021, as compared to $6.3 million for the three months ended June 30, 2020, (ii) an increase in our third-party produced water gathering and disposal revenues to $7.0 million for the three months ended June 30, 2021, as compared to $6.2 million for the three months ended June 30, 2020, and (iii) an increase in our third-party oil gathering and transportation revenues to $2.6 million for the three months ended June 30, 2021, as compared to $2.1 million for the three months ended June 30, 2020.</w:t>
      </w:r>
    </w:p>
    <w:p>
      <w:pPr>
        <w:spacing w:after="0" w:line="63" w:lineRule="exact"/>
        <w:rPr>
          <w:sz w:val="20"/>
          <w:szCs w:val="20"/>
          <w:color w:val="auto"/>
        </w:rPr>
      </w:pPr>
    </w:p>
    <w:p>
      <w:pPr>
        <w:ind w:left="6" w:firstLine="387"/>
        <w:spacing w:after="0" w:line="307" w:lineRule="auto"/>
        <w:rPr>
          <w:sz w:val="20"/>
          <w:szCs w:val="20"/>
          <w:color w:val="auto"/>
        </w:rPr>
      </w:pPr>
      <w:r>
        <w:rPr>
          <w:rFonts w:ascii="Arial" w:cs="Arial" w:eastAsia="Arial" w:hAnsi="Arial"/>
          <w:sz w:val="13"/>
          <w:szCs w:val="13"/>
          <w:i w:val="1"/>
          <w:iCs w:val="1"/>
          <w:color w:val="auto"/>
        </w:rPr>
        <w:t xml:space="preserve">Sales of purchased natural gas. </w:t>
      </w:r>
      <w:r>
        <w:rPr>
          <w:rFonts w:ascii="Arial" w:cs="Arial" w:eastAsia="Arial" w:hAnsi="Arial"/>
          <w:sz w:val="13"/>
          <w:szCs w:val="13"/>
          <w:color w:val="auto"/>
        </w:rPr>
        <w:t>Our sales of purchased natural gas decreased $3.1 million, or 22%, to $10.9 million for the three months ended June 30, 2021, as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$14.0 million for the three months ended June 30, 2020. This decrease was primarily the result of a decrease in purchased natural gas volumes sold during the three months ended June 30, 2021. Sales of purchased natural gas reflect those natural gas purchase transactions that we periodically enter into with third parties whereby we purchase natural gas and</w:t>
      </w:r>
    </w:p>
    <w:p>
      <w:pPr>
        <w:ind w:left="6" w:right="380" w:hanging="6"/>
        <w:spacing w:after="0" w:line="331" w:lineRule="auto"/>
        <w:tabs>
          <w:tab w:leader="none" w:pos="193"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subsequently sell the natural gas to other purchasers or (ii) process the natural gas at San Mateo’s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26" w:lineRule="exact"/>
        <w:rPr>
          <w:sz w:val="20"/>
          <w:szCs w:val="20"/>
          <w:color w:val="auto"/>
        </w:rPr>
      </w:pPr>
    </w:p>
    <w:p>
      <w:pPr>
        <w:ind w:left="6" w:right="60" w:firstLine="387"/>
        <w:spacing w:after="0" w:line="254" w:lineRule="auto"/>
        <w:rPr>
          <w:sz w:val="20"/>
          <w:szCs w:val="20"/>
          <w:color w:val="auto"/>
        </w:rPr>
      </w:pPr>
      <w:r>
        <w:rPr>
          <w:rFonts w:ascii="Arial" w:cs="Arial" w:eastAsia="Arial" w:hAnsi="Arial"/>
          <w:sz w:val="16"/>
          <w:szCs w:val="16"/>
          <w:i w:val="1"/>
          <w:iCs w:val="1"/>
          <w:color w:val="auto"/>
        </w:rPr>
        <w:t>Lease bonus - mineral acreage</w:t>
      </w:r>
      <w:r>
        <w:rPr>
          <w:rFonts w:ascii="Arial" w:cs="Arial" w:eastAsia="Arial" w:hAnsi="Arial"/>
          <w:sz w:val="16"/>
          <w:szCs w:val="16"/>
          <w:color w:val="auto"/>
        </w:rPr>
        <w:t>. Lease bonus - mineral acreage revenues reflect the payments we receive to enter into or extend leases to third-party lessees to develop the oil</w:t>
      </w:r>
      <w:r>
        <w:rPr>
          <w:rFonts w:ascii="Arial" w:cs="Arial" w:eastAsia="Arial" w:hAnsi="Arial"/>
          <w:sz w:val="16"/>
          <w:szCs w:val="16"/>
          <w:i w:val="1"/>
          <w:iCs w:val="1"/>
          <w:color w:val="auto"/>
        </w:rPr>
        <w:t xml:space="preserve"> </w:t>
      </w:r>
      <w:r>
        <w:rPr>
          <w:rFonts w:ascii="Arial" w:cs="Arial" w:eastAsia="Arial" w:hAnsi="Arial"/>
          <w:sz w:val="16"/>
          <w:szCs w:val="16"/>
          <w:color w:val="auto"/>
        </w:rPr>
        <w:t>and natural gas attributable to certain of our mineral interests. We did not lease any of our mineral acreage to third parties during the three months ended June 30, 2021. Our lease bonus - mineral acreage revenues were $4.1 million for the three months ended June 30, 2020.</w:t>
      </w:r>
    </w:p>
    <w:p>
      <w:pPr>
        <w:spacing w:after="0" w:line="72" w:lineRule="exact"/>
        <w:rPr>
          <w:sz w:val="20"/>
          <w:szCs w:val="20"/>
          <w:color w:val="auto"/>
        </w:rPr>
      </w:pPr>
    </w:p>
    <w:p>
      <w:pPr>
        <w:ind w:left="6" w:right="40" w:firstLine="387"/>
        <w:spacing w:after="0" w:line="270" w:lineRule="auto"/>
        <w:rPr>
          <w:sz w:val="20"/>
          <w:szCs w:val="20"/>
          <w:color w:val="auto"/>
        </w:rPr>
      </w:pPr>
      <w:r>
        <w:rPr>
          <w:rFonts w:ascii="Arial" w:cs="Arial" w:eastAsia="Arial" w:hAnsi="Arial"/>
          <w:sz w:val="15"/>
          <w:szCs w:val="15"/>
          <w:i w:val="1"/>
          <w:iCs w:val="1"/>
          <w:color w:val="auto"/>
        </w:rPr>
        <w:t xml:space="preserve">Realized (loss) gain on derivatives. </w:t>
      </w:r>
      <w:r>
        <w:rPr>
          <w:rFonts w:ascii="Arial" w:cs="Arial" w:eastAsia="Arial" w:hAnsi="Arial"/>
          <w:sz w:val="15"/>
          <w:szCs w:val="15"/>
          <w:color w:val="auto"/>
        </w:rPr>
        <w:t>Our realized net loss on derivatives was $42.6 million for the three months ended June 30, 2021, as compared to a realized net gain of</w:t>
      </w:r>
      <w:r>
        <w:rPr>
          <w:rFonts w:ascii="Arial" w:cs="Arial" w:eastAsia="Arial" w:hAnsi="Arial"/>
          <w:sz w:val="15"/>
          <w:szCs w:val="15"/>
          <w:i w:val="1"/>
          <w:iCs w:val="1"/>
          <w:color w:val="auto"/>
        </w:rPr>
        <w:t xml:space="preserve"> </w:t>
      </w:r>
      <w:r>
        <w:rPr>
          <w:rFonts w:ascii="Arial" w:cs="Arial" w:eastAsia="Arial" w:hAnsi="Arial"/>
          <w:sz w:val="15"/>
          <w:szCs w:val="15"/>
          <w:color w:val="auto"/>
        </w:rPr>
        <w:t>$44.1 million for the three months ended June 30, 2020. We realized a net loss of $42.6 million related to our oil costless collar and oil and oil basis swap contracts for the three months ended June 30, 2021, resulting primarily from oil prices that were above the ceiling prices of certain of our oil costless collar contracts and above the strike prices of certain of our oil and oil basis swap contracts. We realized an average loss on our oil derivatives of approximately $8.77 per Bbl produced during the three months ended June 30, 2021, as compared to an average gain of approximately $11.25 per Bbl produced during the three months ended June 30, 2020.</w:t>
      </w:r>
    </w:p>
    <w:p>
      <w:pPr>
        <w:spacing w:after="0" w:line="61" w:lineRule="exact"/>
        <w:rPr>
          <w:sz w:val="20"/>
          <w:szCs w:val="20"/>
          <w:color w:val="auto"/>
        </w:rPr>
      </w:pPr>
    </w:p>
    <w:p>
      <w:pPr>
        <w:ind w:left="6" w:right="40" w:firstLine="387"/>
        <w:spacing w:after="0" w:line="248" w:lineRule="auto"/>
        <w:rPr>
          <w:sz w:val="20"/>
          <w:szCs w:val="20"/>
          <w:color w:val="auto"/>
        </w:rPr>
      </w:pPr>
      <w:r>
        <w:rPr>
          <w:rFonts w:ascii="Arial" w:cs="Arial" w:eastAsia="Arial" w:hAnsi="Arial"/>
          <w:sz w:val="16"/>
          <w:szCs w:val="16"/>
          <w:i w:val="1"/>
          <w:iCs w:val="1"/>
          <w:color w:val="auto"/>
        </w:rPr>
        <w:t xml:space="preserve">Unrealized (loss) gain on derivatives. </w:t>
      </w:r>
      <w:r>
        <w:rPr>
          <w:rFonts w:ascii="Arial" w:cs="Arial" w:eastAsia="Arial" w:hAnsi="Arial"/>
          <w:sz w:val="16"/>
          <w:szCs w:val="16"/>
          <w:color w:val="auto"/>
        </w:rPr>
        <w:t>Our unrealized net loss on derivatives was $42.8 million for the three months ended June 30, 2021, as compared to an unrealized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of $132.7 million for the three months ended June 30, 2020. During the three months ended June 30, 2021, the aggregate net fair value of our open oil and natural gas derivative contracts decreased to a net liability of $122.1 million from a net liability of $79.3 million at March 31, 2021, resulting in an unrealized loss on derivatives of $42.8 million for the three months ended June 30, 2021. During the three months ended June 30, 2020, the aggregate net fair value of our open oil and natural gas derivative contracts decreased to a net liability of $0.1 million at June 30, 2020 from a net asset of $132.6 million at March 31, 2020, resulting in an unrealized loss on derivatives of $132.7 million for the three months ended June 30, 2020.</w:t>
      </w:r>
    </w:p>
    <w:p>
      <w:pPr>
        <w:spacing w:after="0" w:line="78" w:lineRule="exact"/>
        <w:rPr>
          <w:sz w:val="20"/>
          <w:szCs w:val="20"/>
          <w:color w:val="auto"/>
        </w:rPr>
      </w:pPr>
    </w:p>
    <w:p>
      <w:pPr>
        <w:ind w:left="166"/>
        <w:spacing w:after="0"/>
        <w:rPr>
          <w:sz w:val="20"/>
          <w:szCs w:val="20"/>
          <w:color w:val="auto"/>
        </w:rPr>
      </w:pPr>
      <w:r>
        <w:rPr>
          <w:rFonts w:ascii="Arial" w:cs="Arial" w:eastAsia="Arial" w:hAnsi="Arial"/>
          <w:sz w:val="16"/>
          <w:szCs w:val="16"/>
          <w:i w:val="1"/>
          <w:iCs w:val="1"/>
          <w:color w:val="auto"/>
        </w:rPr>
        <w:t>Six Months Ended June 30, 2021 as Compared to Six Months Ended June 30, 2020</w:t>
      </w:r>
    </w:p>
    <w:p>
      <w:pPr>
        <w:spacing w:after="0" w:line="97" w:lineRule="exact"/>
        <w:rPr>
          <w:sz w:val="20"/>
          <w:szCs w:val="20"/>
          <w:color w:val="auto"/>
        </w:rPr>
      </w:pPr>
    </w:p>
    <w:p>
      <w:pPr>
        <w:ind w:left="386"/>
        <w:spacing w:after="0"/>
        <w:rPr>
          <w:sz w:val="20"/>
          <w:szCs w:val="20"/>
          <w:color w:val="auto"/>
        </w:rPr>
      </w:pPr>
      <w:r>
        <w:rPr>
          <w:rFonts w:ascii="Arial" w:cs="Arial" w:eastAsia="Arial" w:hAnsi="Arial"/>
          <w:sz w:val="13"/>
          <w:szCs w:val="13"/>
          <w:i w:val="1"/>
          <w:iCs w:val="1"/>
          <w:color w:val="auto"/>
        </w:rPr>
        <w:t xml:space="preserve">Oil and natural gas revenues. </w:t>
      </w:r>
      <w:r>
        <w:rPr>
          <w:rFonts w:ascii="Arial" w:cs="Arial" w:eastAsia="Arial" w:hAnsi="Arial"/>
          <w:sz w:val="13"/>
          <w:szCs w:val="13"/>
          <w:color w:val="auto"/>
        </w:rPr>
        <w:t>Our oil and natural gas revenues increased $411.6 million, or 130%, to $728.3 million for the six months ended June 30, 2021, as compared to</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3"/>
          <w:szCs w:val="13"/>
          <w:color w:val="auto"/>
        </w:rPr>
        <w:t>$316.7 million for the six months ended June 30, 2020. Our oil revenues increased $264.6 million, or 100%, to $528.4 million for the six months ended June 30, 2021, as compared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to $263.8 million for the six months ended June 30, 2020. This increase in oil revenues resulted from a 78% increase in the weighted average oil price realized for the six months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ended June 30, 2021 to $61.49 per Bbl, as compared to $34.63 per Bbl for the six months ended June 30, 2020, and from a 13% increase in our oil production to 8.6 million Bbl for</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six months ended June 30, 2021, as compared to 7.6 million Bbl for the six months ended June 30, 2020. Our natural gas revenues increased by $147.0 million, or 278%, to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$199.9 million for the six months ended June 30, 2021, as compared to $52.9 million for the six months ended June 30, 2020. The increase in natural gas revenues resulted from a</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more than three-fold increase in the weighted average natural gas price realized for the six months ended June 30, 2021 to $5.09 per Mcf, as compared to a weighted average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3"/>
          <w:szCs w:val="13"/>
          <w:color w:val="auto"/>
        </w:rPr>
        <w:t>natural gas price of $1.60 per Mcf for the six months ended June 30, 2020, and from an 18% increase in our natural gas production to 39.3 Bcf for the six months ended June 30,</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2021, as compared to 33.2 Bcf for the six months ended June 30, 2020.</w:t>
      </w:r>
    </w:p>
    <w:p>
      <w:pPr>
        <w:spacing w:after="0" w:line="200" w:lineRule="exact"/>
        <w:rPr>
          <w:sz w:val="20"/>
          <w:szCs w:val="20"/>
          <w:color w:val="auto"/>
        </w:rPr>
      </w:pPr>
    </w:p>
    <w:p>
      <w:pPr>
        <w:spacing w:after="0" w:line="30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0" w:firstLine="387"/>
        <w:spacing w:after="0" w:line="268" w:lineRule="auto"/>
        <w:rPr>
          <w:sz w:val="20"/>
          <w:szCs w:val="20"/>
          <w:color w:val="auto"/>
        </w:rPr>
      </w:pPr>
      <w:r>
        <w:rPr>
          <w:rFonts w:ascii="Arial" w:cs="Arial" w:eastAsia="Arial" w:hAnsi="Arial"/>
          <w:sz w:val="15"/>
          <w:szCs w:val="15"/>
          <w:i w:val="1"/>
          <w:iCs w:val="1"/>
          <w:color w:val="auto"/>
        </w:rPr>
        <w:t xml:space="preserve">Third-party midstream services revenues. </w:t>
      </w:r>
      <w:r>
        <w:rPr>
          <w:rFonts w:ascii="Arial" w:cs="Arial" w:eastAsia="Arial" w:hAnsi="Arial"/>
          <w:sz w:val="15"/>
          <w:szCs w:val="15"/>
          <w:color w:val="auto"/>
        </w:rPr>
        <w:t>Our third-party midstream services revenues increased $4.8 million, or 16%, to $35.3 million for the six months ended June 30,</w:t>
      </w:r>
      <w:r>
        <w:rPr>
          <w:rFonts w:ascii="Arial" w:cs="Arial" w:eastAsia="Arial" w:hAnsi="Arial"/>
          <w:sz w:val="15"/>
          <w:szCs w:val="15"/>
          <w:i w:val="1"/>
          <w:iCs w:val="1"/>
          <w:color w:val="auto"/>
        </w:rPr>
        <w:t xml:space="preserve"> </w:t>
      </w:r>
      <w:r>
        <w:rPr>
          <w:rFonts w:ascii="Arial" w:cs="Arial" w:eastAsia="Arial" w:hAnsi="Arial"/>
          <w:sz w:val="15"/>
          <w:szCs w:val="15"/>
          <w:color w:val="auto"/>
        </w:rPr>
        <w:t>2021, as compared to $30.5 million for the six months ended June 30, 2020. This increase was primarily attributable to (i) an increase in our third-party natural gas gathering, transportation and processing revenues to $17.1 million for the six months ended June 30, 2021, as compared to $13.4 million for the six months ended June 30, 2020, (ii) an increase in our third-party oil gathering and transportation revenues to $4.7 million for the six months ended June 30, 2021, as compared to $4.2 million for the six months ended June 30, 2020, and (iii) an increase in our third-party produced water gathering and disposal revenues to $13.5 million for the six months ended June 30, 2021, as compared to $12.9 million for the six months ended June 30, 2020.</w:t>
      </w:r>
    </w:p>
    <w:p>
      <w:pPr>
        <w:spacing w:after="0" w:line="63" w:lineRule="exact"/>
        <w:rPr>
          <w:sz w:val="20"/>
          <w:szCs w:val="20"/>
          <w:color w:val="auto"/>
        </w:rPr>
      </w:pPr>
    </w:p>
    <w:p>
      <w:pPr>
        <w:jc w:val="both"/>
        <w:ind w:right="120" w:firstLine="387"/>
        <w:spacing w:after="0" w:line="376" w:lineRule="auto"/>
        <w:rPr>
          <w:sz w:val="20"/>
          <w:szCs w:val="20"/>
          <w:color w:val="auto"/>
        </w:rPr>
      </w:pPr>
      <w:r>
        <w:rPr>
          <w:rFonts w:ascii="Arial" w:cs="Arial" w:eastAsia="Arial" w:hAnsi="Arial"/>
          <w:sz w:val="13"/>
          <w:szCs w:val="13"/>
          <w:i w:val="1"/>
          <w:iCs w:val="1"/>
          <w:color w:val="auto"/>
        </w:rPr>
        <w:t xml:space="preserve">Sales of purchased natural gas. </w:t>
      </w:r>
      <w:r>
        <w:rPr>
          <w:rFonts w:ascii="Arial" w:cs="Arial" w:eastAsia="Arial" w:hAnsi="Arial"/>
          <w:sz w:val="13"/>
          <w:szCs w:val="13"/>
          <w:color w:val="auto"/>
        </w:rPr>
        <w:t>Our sales of purchased natural gas decreased $9.1 million, or 37%, to $15.4 million for the six months ended June 30, 2021, as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$24.5 million for the six months ended June 30, 2020. This decrease was primarily the result of a decrease in natural gas volumes sold during the six months ended June 30, 2021.</w:t>
      </w:r>
    </w:p>
    <w:p>
      <w:pPr>
        <w:ind w:right="260" w:firstLine="387"/>
        <w:spacing w:after="0" w:line="264" w:lineRule="auto"/>
        <w:rPr>
          <w:sz w:val="20"/>
          <w:szCs w:val="20"/>
          <w:color w:val="auto"/>
        </w:rPr>
      </w:pPr>
      <w:r>
        <w:rPr>
          <w:rFonts w:ascii="Arial" w:cs="Arial" w:eastAsia="Arial" w:hAnsi="Arial"/>
          <w:sz w:val="16"/>
          <w:szCs w:val="16"/>
          <w:i w:val="1"/>
          <w:iCs w:val="1"/>
          <w:color w:val="auto"/>
        </w:rPr>
        <w:t xml:space="preserve">Lease bonus - mineral acreage. </w:t>
      </w:r>
      <w:r>
        <w:rPr>
          <w:rFonts w:ascii="Arial" w:cs="Arial" w:eastAsia="Arial" w:hAnsi="Arial"/>
          <w:sz w:val="16"/>
          <w:szCs w:val="16"/>
          <w:color w:val="auto"/>
        </w:rPr>
        <w:t>We did not lease any of our mineral acreage to third parties during the six months ended June 30, 2021. Our lease bonus - mineral acreage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were $4.1 million for the six months ended June 30, 2020.</w:t>
      </w:r>
    </w:p>
    <w:p>
      <w:pPr>
        <w:spacing w:after="0" w:line="64" w:lineRule="exact"/>
        <w:rPr>
          <w:sz w:val="20"/>
          <w:szCs w:val="20"/>
          <w:color w:val="auto"/>
        </w:rPr>
      </w:pPr>
    </w:p>
    <w:p>
      <w:pPr>
        <w:ind w:firstLine="387"/>
        <w:spacing w:after="0" w:line="316" w:lineRule="auto"/>
        <w:rPr>
          <w:sz w:val="20"/>
          <w:szCs w:val="20"/>
          <w:color w:val="auto"/>
        </w:rPr>
      </w:pPr>
      <w:r>
        <w:rPr>
          <w:rFonts w:ascii="Arial" w:cs="Arial" w:eastAsia="Arial" w:hAnsi="Arial"/>
          <w:sz w:val="13"/>
          <w:szCs w:val="13"/>
          <w:i w:val="1"/>
          <w:iCs w:val="1"/>
          <w:color w:val="auto"/>
        </w:rPr>
        <w:t xml:space="preserve">Realized (loss) gain on derivatives. </w:t>
      </w:r>
      <w:r>
        <w:rPr>
          <w:rFonts w:ascii="Arial" w:cs="Arial" w:eastAsia="Arial" w:hAnsi="Arial"/>
          <w:sz w:val="13"/>
          <w:szCs w:val="13"/>
          <w:color w:val="auto"/>
        </w:rPr>
        <w:t>Our realized net loss on derivatives was $68.5 million for the six months ended June 30, 2021, as compared to a realized net gain of $55.0</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for the six months ended June 30, 2020. We realized a net loss of $68.7 million related to our oil costless collar and oil and oil basis swap contracts for the six months ended June 30, 2021, resulting primarily from oil prices that were above the ceiling prices of certain of our oil costless collar contracts and above the strike prices of certain of our oil and oil basis swap contracts. We realized a net gain of $0.2 million related to our natural gas costless collar contracts for the six months ended June 30, 2021, resulting primarily from natural gas prices that were below the floor prices of certain of our natural gas costless collar contracts. We realized an average loss on our oil derivatives of approximately $8.00 per Bbl produced during the six months ended June 30, 2021, as compared to an average gain of $7.22 per Bbl produced during the six months ended June 30, 2020.</w:t>
      </w:r>
    </w:p>
    <w:p>
      <w:pPr>
        <w:spacing w:after="0" w:line="38" w:lineRule="exact"/>
        <w:rPr>
          <w:sz w:val="20"/>
          <w:szCs w:val="20"/>
          <w:color w:val="auto"/>
        </w:rPr>
      </w:pPr>
    </w:p>
    <w:p>
      <w:pPr>
        <w:ind w:right="40" w:firstLine="387"/>
        <w:spacing w:after="0" w:line="320" w:lineRule="auto"/>
        <w:rPr>
          <w:sz w:val="20"/>
          <w:szCs w:val="20"/>
          <w:color w:val="auto"/>
        </w:rPr>
      </w:pPr>
      <w:r>
        <w:rPr>
          <w:rFonts w:ascii="Arial" w:cs="Arial" w:eastAsia="Arial" w:hAnsi="Arial"/>
          <w:sz w:val="13"/>
          <w:szCs w:val="13"/>
          <w:i w:val="1"/>
          <w:iCs w:val="1"/>
          <w:color w:val="auto"/>
        </w:rPr>
        <w:t xml:space="preserve">Unrealized (loss) gain on derivatives. </w:t>
      </w:r>
      <w:r>
        <w:rPr>
          <w:rFonts w:ascii="Arial" w:cs="Arial" w:eastAsia="Arial" w:hAnsi="Arial"/>
          <w:sz w:val="13"/>
          <w:szCs w:val="13"/>
          <w:color w:val="auto"/>
        </w:rPr>
        <w:t>Our unrealized net loss on derivatives was $86.2 million for the six months ended June 30, 2021, as compared to an unrealized net gain</w:t>
      </w:r>
      <w:r>
        <w:rPr>
          <w:rFonts w:ascii="Arial" w:cs="Arial" w:eastAsia="Arial" w:hAnsi="Arial"/>
          <w:sz w:val="13"/>
          <w:szCs w:val="13"/>
          <w:i w:val="1"/>
          <w:iCs w:val="1"/>
          <w:color w:val="auto"/>
        </w:rPr>
        <w:t xml:space="preserve"> </w:t>
      </w:r>
      <w:r>
        <w:rPr>
          <w:rFonts w:ascii="Arial" w:cs="Arial" w:eastAsia="Arial" w:hAnsi="Arial"/>
          <w:sz w:val="13"/>
          <w:szCs w:val="13"/>
          <w:color w:val="auto"/>
        </w:rPr>
        <w:t>of $3.8 million for the six months ended June 30, 2020. During the period from December 31, 2020 through June 30, 2021, the aggregate net fair value of our open oil and natural gas derivative contracts decreased to a net liability of $122.1 million from a net liability of $35.9 million, resulting in an unrealized loss on derivatives of $86.2 million for the six months ended June 30, 2021. During the period from December 31, 2019 through June 30, 2020, the aggregate net fair value of our open oil and natural gas derivative contracts increased to a net liability of $0.1 million from a net liability of $3.9 million, resulting in an unrealized gain on derivatives of $3.8 million for the six months ended June 30, 2020.</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unaudited operating expenses and other income (expense)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5"/>
          </w:tcPr>
          <w:p>
            <w:pPr>
              <w:ind w:left="34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2"/>
                <w:szCs w:val="12"/>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2"/>
                <w:szCs w:val="12"/>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tcPr>
          <w:p>
            <w:pPr>
              <w:spacing w:after="0"/>
              <w:rPr>
                <w:sz w:val="20"/>
                <w:szCs w:val="20"/>
                <w:color w:val="auto"/>
              </w:rPr>
            </w:pPr>
            <w:r>
              <w:rPr>
                <w:rFonts w:ascii="Arial" w:cs="Arial" w:eastAsia="Arial" w:hAnsi="Arial"/>
                <w:sz w:val="12"/>
                <w:szCs w:val="12"/>
                <w:b w:val="1"/>
                <w:bCs w:val="1"/>
                <w:color w:val="auto"/>
              </w:rPr>
              <w:t>(In thousands, except expenses per BOE)</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2"/>
                <w:szCs w:val="12"/>
                <w:b w:val="1"/>
                <w:bCs w:val="1"/>
                <w:color w:val="auto"/>
                <w:w w:val="89"/>
              </w:rPr>
              <w:t>2020</w:t>
            </w:r>
          </w:p>
        </w:tc>
        <w:tc>
          <w:tcPr>
            <w:tcW w:w="0" w:type="dxa"/>
            <w:vAlign w:val="bottom"/>
          </w:tcPr>
          <w:p>
            <w:pPr>
              <w:spacing w:after="0"/>
              <w:rPr>
                <w:sz w:val="1"/>
                <w:szCs w:val="1"/>
                <w:color w:val="auto"/>
              </w:rPr>
            </w:pPr>
          </w:p>
        </w:tc>
      </w:tr>
      <w:tr>
        <w:trPr>
          <w:trHeight w:val="182"/>
        </w:trPr>
        <w:tc>
          <w:tcPr>
            <w:tcW w:w="6400" w:type="dxa"/>
            <w:vAlign w:val="bottom"/>
          </w:tcPr>
          <w:p>
            <w:pPr>
              <w:spacing w:after="0" w:line="182" w:lineRule="exact"/>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Production taxes, transportation and processing</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18,797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78,017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40,513</w:t>
            </w: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Lease operating</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26,162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54,691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57,072</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Plant and other midstream services operating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9,780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27,409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19,744</w:t>
            </w: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Purchased natural gas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10,922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12,483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18,980</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Depletion, 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93,350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166,307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184,057</w:t>
            </w: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Accretion of asset retirement obligations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Full-cost ceiling impairment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324,001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324,001</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46,585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30,945</w:t>
            </w:r>
          </w:p>
        </w:tc>
        <w:tc>
          <w:tcPr>
            <w:tcW w:w="0" w:type="dxa"/>
            <w:vAlign w:val="bottom"/>
          </w:tcPr>
          <w:p>
            <w:pPr>
              <w:spacing w:after="0"/>
              <w:rPr>
                <w:sz w:val="1"/>
                <w:szCs w:val="1"/>
                <w:color w:val="auto"/>
              </w:rPr>
            </w:pPr>
          </w:p>
        </w:tc>
      </w:tr>
      <w:tr>
        <w:trPr>
          <w:trHeight w:val="191"/>
        </w:trPr>
        <w:tc>
          <w:tcPr>
            <w:tcW w:w="6400" w:type="dxa"/>
            <w:vAlign w:val="bottom"/>
            <w:shd w:val="clear" w:color="auto" w:fill="CCEEFF"/>
          </w:tcPr>
          <w:p>
            <w:pPr>
              <w:ind w:left="960"/>
              <w:spacing w:after="0" w:line="179" w:lineRule="exact"/>
              <w:rPr>
                <w:sz w:val="20"/>
                <w:szCs w:val="20"/>
                <w:color w:val="auto"/>
              </w:rPr>
            </w:pPr>
            <w:r>
              <w:rPr>
                <w:rFonts w:ascii="Arial" w:cs="Arial" w:eastAsia="Arial" w:hAnsi="Arial"/>
                <w:sz w:val="16"/>
                <w:szCs w:val="16"/>
                <w:color w:val="auto"/>
              </w:rPr>
              <w:t>Total expenses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212,321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498,230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386,503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676,283</w:t>
            </w:r>
          </w:p>
        </w:tc>
        <w:tc>
          <w:tcPr>
            <w:tcW w:w="0" w:type="dxa"/>
            <w:vAlign w:val="bottom"/>
          </w:tcPr>
          <w:p>
            <w:pPr>
              <w:spacing w:after="0"/>
              <w:rPr>
                <w:sz w:val="1"/>
                <w:szCs w:val="1"/>
                <w:color w:val="auto"/>
              </w:rPr>
            </w:pPr>
          </w:p>
        </w:tc>
      </w:tr>
      <w:tr>
        <w:trPr>
          <w:trHeight w:val="199"/>
        </w:trPr>
        <w:tc>
          <w:tcPr>
            <w:tcW w:w="64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145,106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(435,310)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237,769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(241,778)</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Net loss on asset sales and impairment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(38,109)</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191"/>
        </w:trPr>
        <w:tc>
          <w:tcPr>
            <w:tcW w:w="6400" w:type="dxa"/>
            <w:vAlign w:val="bottom"/>
            <w:shd w:val="clear" w:color="auto" w:fill="CCEEFF"/>
          </w:tcPr>
          <w:p>
            <w:pPr>
              <w:ind w:left="960"/>
              <w:spacing w:after="0" w:line="179" w:lineRule="exact"/>
              <w:rPr>
                <w:sz w:val="20"/>
                <w:szCs w:val="20"/>
                <w:color w:val="auto"/>
              </w:rPr>
            </w:pPr>
            <w:r>
              <w:rPr>
                <w:rFonts w:ascii="Arial" w:cs="Arial" w:eastAsia="Arial" w:hAnsi="Arial"/>
                <w:sz w:val="16"/>
                <w:szCs w:val="16"/>
                <w:color w:val="auto"/>
              </w:rPr>
              <w:t>Total other expense</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(38,251)</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0" w:type="dxa"/>
            <w:vAlign w:val="bottom"/>
          </w:tcPr>
          <w:p>
            <w:pPr>
              <w:spacing w:after="0"/>
              <w:rPr>
                <w:sz w:val="1"/>
                <w:szCs w:val="1"/>
                <w:color w:val="auto"/>
              </w:rPr>
            </w:pPr>
          </w:p>
        </w:tc>
      </w:tr>
      <w:tr>
        <w:trPr>
          <w:trHeight w:val="191"/>
        </w:trPr>
        <w:tc>
          <w:tcPr>
            <w:tcW w:w="6400" w:type="dxa"/>
            <w:vAlign w:val="bottom"/>
          </w:tcPr>
          <w:p>
            <w:pPr>
              <w:spacing w:after="0" w:line="179" w:lineRule="exact"/>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127,180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199,518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(280,726)</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provision (benefit)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8,189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(69,866)</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Net income attributable to non-controlling interest in subsidiaries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(16,827)</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income (loss) attributable to Matador Resources Company shareholders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105,905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166,550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(227,687)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line="183" w:lineRule="exact"/>
              <w:rPr>
                <w:sz w:val="20"/>
                <w:szCs w:val="20"/>
                <w:color w:val="auto"/>
              </w:rPr>
            </w:pPr>
            <w:r>
              <w:rPr>
                <w:rFonts w:ascii="Arial" w:cs="Arial" w:eastAsia="Arial" w:hAnsi="Arial"/>
                <w:sz w:val="16"/>
                <w:szCs w:val="16"/>
                <w:b w:val="1"/>
                <w:bCs w:val="1"/>
                <w:color w:val="auto"/>
              </w:rPr>
              <w:t>Expenses per BOE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Production taxes, transportation and processing</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Lease operating</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Plant and other midstream services operating</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9"/>
        </w:trPr>
        <w:tc>
          <w:tcPr>
            <w:tcW w:w="6400" w:type="dxa"/>
            <w:vAlign w:val="bottom"/>
          </w:tcPr>
          <w:p>
            <w:pPr>
              <w:ind w:left="580"/>
              <w:spacing w:after="0"/>
              <w:rPr>
                <w:sz w:val="20"/>
                <w:szCs w:val="20"/>
                <w:color w:val="auto"/>
              </w:rPr>
            </w:pPr>
            <w:r>
              <w:rPr>
                <w:rFonts w:ascii="Arial" w:cs="Arial" w:eastAsia="Arial" w:hAnsi="Arial"/>
                <w:sz w:val="16"/>
                <w:szCs w:val="16"/>
                <w:color w:val="auto"/>
              </w:rPr>
              <w:t>Depletion, depreciation and amortization</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199"/>
        </w:trPr>
        <w:tc>
          <w:tcPr>
            <w:tcW w:w="64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Three Months Ended June 30, 2021 as Compared to Three Months Ended June 30, 2020</w:t>
      </w:r>
    </w:p>
    <w:p>
      <w:pPr>
        <w:spacing w:after="0" w:line="97" w:lineRule="exact"/>
        <w:rPr>
          <w:sz w:val="20"/>
          <w:szCs w:val="20"/>
          <w:color w:val="auto"/>
        </w:rPr>
      </w:pPr>
    </w:p>
    <w:p>
      <w:pPr>
        <w:ind w:right="20" w:firstLine="387"/>
        <w:spacing w:after="0" w:line="266" w:lineRule="auto"/>
        <w:rPr>
          <w:sz w:val="20"/>
          <w:szCs w:val="20"/>
          <w:color w:val="auto"/>
        </w:rPr>
      </w:pPr>
      <w:r>
        <w:rPr>
          <w:rFonts w:ascii="Arial" w:cs="Arial" w:eastAsia="Arial" w:hAnsi="Arial"/>
          <w:sz w:val="15"/>
          <w:szCs w:val="15"/>
          <w:i w:val="1"/>
          <w:iCs w:val="1"/>
          <w:color w:val="auto"/>
        </w:rPr>
        <w:t xml:space="preserve">Production taxes, transportation and processing. </w:t>
      </w:r>
      <w:r>
        <w:rPr>
          <w:rFonts w:ascii="Arial" w:cs="Arial" w:eastAsia="Arial" w:hAnsi="Arial"/>
          <w:sz w:val="15"/>
          <w:szCs w:val="15"/>
          <w:color w:val="auto"/>
        </w:rPr>
        <w:t>Our production taxes and transportation and processing expenses increased $25.0 million, or 133%, to $43.8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June 30, 2021, as compared to $18.8 million for the three months ended June 30, 2020. On a unit-of-production basis, our production taxes and transportation and processing expenses increased 83% to $5.17 per BOE for the three months ended June 30, 2021, as compared to $2.82 per BOE for the three months ended June 30, 2020. These increases were primarily due to (i) a $22.5 million increase in production taxes to $31.1 million for the three months ended June 30, 2021, as compared to $8.6 million for the three months ended June 30, 2020, primarily due to the significant increase in the weighted average oil and natural gas prices realized between the two periods, and (ii) a $2.5 million increase in transportation and processing expenses to $12.7 million for the three months ended June 30, 2021, as compared to $10.2 million for the three months ended June 30, 2020, primarily due to the 32% increase in our natural gas production of 21.8 Bcf for the three months ended June 30, 2021, as compared to 16.5 Bcf for the three months ended June 30, 2020.</w:t>
      </w:r>
    </w:p>
    <w:p>
      <w:pPr>
        <w:spacing w:after="0" w:line="64" w:lineRule="exact"/>
        <w:rPr>
          <w:sz w:val="20"/>
          <w:szCs w:val="20"/>
          <w:color w:val="auto"/>
        </w:rPr>
      </w:pPr>
    </w:p>
    <w:p>
      <w:pPr>
        <w:jc w:val="both"/>
        <w:ind w:right="180" w:firstLine="387"/>
        <w:spacing w:after="0" w:line="279" w:lineRule="auto"/>
        <w:rPr>
          <w:sz w:val="20"/>
          <w:szCs w:val="20"/>
          <w:color w:val="auto"/>
        </w:rPr>
      </w:pPr>
      <w:r>
        <w:rPr>
          <w:rFonts w:ascii="Arial" w:cs="Arial" w:eastAsia="Arial" w:hAnsi="Arial"/>
          <w:sz w:val="15"/>
          <w:szCs w:val="15"/>
          <w:i w:val="1"/>
          <w:iCs w:val="1"/>
          <w:color w:val="auto"/>
        </w:rPr>
        <w:t xml:space="preserve">Lease operating. </w:t>
      </w:r>
      <w:r>
        <w:rPr>
          <w:rFonts w:ascii="Arial" w:cs="Arial" w:eastAsia="Arial" w:hAnsi="Arial"/>
          <w:sz w:val="15"/>
          <w:szCs w:val="15"/>
          <w:color w:val="auto"/>
        </w:rPr>
        <w:t>Our lease operating expenses increased $2.6 million, or 10%, to $28.8 million for the three months ended June 30, 2021, as compared to $26.2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June 30, 2020. This increase was primarily attributable to increases in expenses associated with workovers, chemicals and other expenses of $3.4 million, which were attributable to servicing an increased number of operated wells at June 30, 2021, as compared to June 30, 2020. This increase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was partially offset by a decrease in produced water trucking and disposal expenses of $1.1 million as more of our operated wells have been connected to produced water pipelines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during three months ended June 30, 2021, as compared to the three months ended June 30, 2020. Our lease operating expenses on a unit-of-production basis decreased 14% to</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$3.39 per BOE for the three months ended June 30, 2021, as compared to $3.92 per BOE for the three months ended June 30, 2020, primarily due to the 27% increase in our total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oil equivalent production for the three months ended June 30, 2021, as compared to the three months ended June 30, 2020.</w:t>
      </w:r>
    </w:p>
    <w:p>
      <w:pPr>
        <w:spacing w:after="0" w:line="86" w:lineRule="exact"/>
        <w:rPr>
          <w:sz w:val="20"/>
          <w:szCs w:val="20"/>
          <w:color w:val="auto"/>
        </w:rPr>
      </w:pPr>
    </w:p>
    <w:p>
      <w:pPr>
        <w:ind w:right="180" w:firstLine="387"/>
        <w:spacing w:after="0" w:line="268" w:lineRule="auto"/>
        <w:rPr>
          <w:sz w:val="20"/>
          <w:szCs w:val="20"/>
          <w:color w:val="auto"/>
        </w:rPr>
      </w:pPr>
      <w:r>
        <w:rPr>
          <w:rFonts w:ascii="Arial" w:cs="Arial" w:eastAsia="Arial" w:hAnsi="Arial"/>
          <w:sz w:val="15"/>
          <w:szCs w:val="15"/>
          <w:i w:val="1"/>
          <w:iCs w:val="1"/>
          <w:color w:val="auto"/>
        </w:rPr>
        <w:t xml:space="preserve">Plant and other midstream services operating. </w:t>
      </w:r>
      <w:r>
        <w:rPr>
          <w:rFonts w:ascii="Arial" w:cs="Arial" w:eastAsia="Arial" w:hAnsi="Arial"/>
          <w:sz w:val="15"/>
          <w:szCs w:val="15"/>
          <w:color w:val="auto"/>
        </w:rPr>
        <w:t>Our plant and other midstream services operating expenses increased $4.0 million, or 41%, to $13.7 million for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2021, as compared to $9.8 million for the three months ended June 30, 2020. This increase was primarily attributable to (i) increased expenses associated with our expanded commercial produced water disposal operations of $6.6 million for the three months ended June 30, 2021, as compared to $5.4 million for the three months ended June 30, 2020, (ii) increased expenses associated with our expanded pipeline operations of $3.7 million for the three months ended June 30, 2021, as compared to $2.0 million for the three months ended June 30, 2020, and (iii) increased expenses associated with operating the expanded Black River Processing Plant of $3.5 million for the three months ended June 30, 2021, as compared to $2.5 million for the three months ended June 30, 2020.</w:t>
      </w:r>
    </w:p>
    <w:p>
      <w:pPr>
        <w:spacing w:after="0" w:line="63" w:lineRule="exact"/>
        <w:rPr>
          <w:sz w:val="20"/>
          <w:szCs w:val="20"/>
          <w:color w:val="auto"/>
        </w:rPr>
      </w:pPr>
    </w:p>
    <w:p>
      <w:pPr>
        <w:ind w:right="60" w:firstLine="387"/>
        <w:spacing w:after="0" w:line="316" w:lineRule="auto"/>
        <w:rPr>
          <w:sz w:val="20"/>
          <w:szCs w:val="20"/>
          <w:color w:val="auto"/>
        </w:rPr>
      </w:pPr>
      <w:r>
        <w:rPr>
          <w:rFonts w:ascii="Arial" w:cs="Arial" w:eastAsia="Arial" w:hAnsi="Arial"/>
          <w:sz w:val="13"/>
          <w:szCs w:val="13"/>
          <w:i w:val="1"/>
          <w:iCs w:val="1"/>
          <w:color w:val="auto"/>
        </w:rPr>
        <w:t xml:space="preserve">Depletion, depreciation and amortization. </w:t>
      </w:r>
      <w:r>
        <w:rPr>
          <w:rFonts w:ascii="Arial" w:cs="Arial" w:eastAsia="Arial" w:hAnsi="Arial"/>
          <w:sz w:val="13"/>
          <w:szCs w:val="13"/>
          <w:color w:val="auto"/>
        </w:rPr>
        <w:t>Our depletion, depreciation and amortization expenses decreased $1.9 million, or 2%, to $91.4 million for the three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June 30, 2021, as compared to $93.4 million for the three months ended June 30, 2020. On a unit-of-production basis, our depletion, depreciation and amortization expenses decreased 23% to $10.78 per BOE for the three months ended June 30, 2021, as compared to $14.00 per BOE for the three months ended June 30, 2020. These decreases were attributable to the increase in our estimated total proved oil and natural gas reserves, as well as the decrease in unamortized property costs resulting from the full-cost ceiling impairments recorded in 2020. The decrease in our depletion, depreciation and amortization expenses was partially offset by a $2.8 million increase in depreciation expenses attributable to our midstream segment to $7.8 million for the three months ended June 30, 2021, as compared to $5.0 million for the three months ended June 30, 2020.</w:t>
      </w:r>
    </w:p>
    <w:p>
      <w:pPr>
        <w:spacing w:after="0" w:line="38" w:lineRule="exact"/>
        <w:rPr>
          <w:sz w:val="20"/>
          <w:szCs w:val="20"/>
          <w:color w:val="auto"/>
        </w:rPr>
      </w:pPr>
    </w:p>
    <w:p>
      <w:pPr>
        <w:ind w:right="180" w:firstLine="387"/>
        <w:spacing w:after="0" w:line="249" w:lineRule="auto"/>
        <w:rPr>
          <w:sz w:val="20"/>
          <w:szCs w:val="20"/>
          <w:color w:val="auto"/>
        </w:rPr>
      </w:pPr>
      <w:r>
        <w:rPr>
          <w:rFonts w:ascii="Arial" w:cs="Arial" w:eastAsia="Arial" w:hAnsi="Arial"/>
          <w:sz w:val="16"/>
          <w:szCs w:val="16"/>
          <w:i w:val="1"/>
          <w:iCs w:val="1"/>
          <w:color w:val="auto"/>
        </w:rPr>
        <w:t xml:space="preserve">Full-cost ceiling impairment. </w:t>
      </w:r>
      <w:r>
        <w:rPr>
          <w:rFonts w:ascii="Arial" w:cs="Arial" w:eastAsia="Arial" w:hAnsi="Arial"/>
          <w:sz w:val="16"/>
          <w:szCs w:val="16"/>
          <w:color w:val="auto"/>
        </w:rPr>
        <w:t>No impairment to the net carrying value of our oil and natural gas properties and no corresponding charge resulting from a full-cost ceiling</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were recorded for the three months ended June 30, 2021. At June 30, 2020, the net capitalized costs of our oil and natural gas properties less related deferred income taxes exceeded the full-cost ceiling by $243.9 million. As a result, we recorded an impairment charge of $324.0 million to the net capitalized costs of our oil and natural gas properties and a deferred income tax benefit of $80.1 million. This full-cost ceiling impairment of $324.0 million is reflected in our interim unaudited condensed consolidated statement of operations for the three months ended June 30, 2020.</w:t>
      </w:r>
    </w:p>
    <w:p>
      <w:pPr>
        <w:spacing w:after="0" w:line="77" w:lineRule="exact"/>
        <w:rPr>
          <w:sz w:val="20"/>
          <w:szCs w:val="20"/>
          <w:color w:val="auto"/>
        </w:rPr>
      </w:pPr>
    </w:p>
    <w:p>
      <w:pPr>
        <w:ind w:right="80" w:firstLine="387"/>
        <w:spacing w:after="0" w:line="24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$9.7 million, or 66%, to $24.4 million for the three months ended June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$14.7 million for the three months ended June 30, 2020. Our general and administrative expenses increased 30% on a unit-of-production basis to $2.88 per BOE for the three months ended June 30, 2021, as compared to $2.21 per BOE for the three months ended June 30, 2020. These increases were largely attributable to employee compensation costs, including a $5.2 million increase in stock-based compensation expense we recorded primarily associated with our cash-settled stock awards, the values of which are remeasured at each reporting period. The share price of our common stock increased by 54% from $23.45 at March 31, 2021 to $36.01 at June 30, 2021. The remainder of the increase for the three months ended June 30, 2021, as compared to the three months ended June 30, 2020, resulted primarily from the reinstatement of employee compensation beginning in March 2021, which had been previously reduced beginning in March 2020 in response to the significantly lower oil and natural gas price environment at that time.</w:t>
      </w:r>
    </w:p>
    <w:p>
      <w:pPr>
        <w:spacing w:after="0" w:line="79" w:lineRule="exact"/>
        <w:rPr>
          <w:sz w:val="20"/>
          <w:szCs w:val="20"/>
          <w:color w:val="auto"/>
        </w:rPr>
      </w:pPr>
    </w:p>
    <w:p>
      <w:pPr>
        <w:ind w:firstLine="387"/>
        <w:spacing w:after="0" w:line="25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For the three months ended June 30, 2021, we incurred total interest expense of $19.8 million. We capitalized $1.9 million of our interest expense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qualifying projects for the three months ended June 30, 2021 and expensed the remaining $17.9 million to operations. For the three months ended June 30, 2020, we incurred total interest expense of $20.1 million. We capitalized $1.8 million of our interest expense on certain qualifying projects for the three months ended June 30, 2020 and expensed the remaining $18.3 million to operations.</w:t>
      </w:r>
    </w:p>
    <w:p>
      <w:pPr>
        <w:spacing w:after="0" w:line="74" w:lineRule="exact"/>
        <w:rPr>
          <w:sz w:val="20"/>
          <w:szCs w:val="20"/>
          <w:color w:val="auto"/>
        </w:rPr>
      </w:pPr>
    </w:p>
    <w:p>
      <w:pPr>
        <w:ind w:right="80" w:firstLine="387"/>
        <w:spacing w:after="0" w:line="314" w:lineRule="auto"/>
        <w:rPr>
          <w:sz w:val="20"/>
          <w:szCs w:val="20"/>
          <w:color w:val="auto"/>
        </w:rPr>
      </w:pPr>
      <w:r>
        <w:rPr>
          <w:rFonts w:ascii="Arial" w:cs="Arial" w:eastAsia="Arial" w:hAnsi="Arial"/>
          <w:sz w:val="13"/>
          <w:szCs w:val="13"/>
          <w:i w:val="1"/>
          <w:iCs w:val="1"/>
          <w:color w:val="auto"/>
        </w:rPr>
        <w:t xml:space="preserve">Income tax provision (benefit). </w:t>
      </w:r>
      <w:r>
        <w:rPr>
          <w:rFonts w:ascii="Arial" w:cs="Arial" w:eastAsia="Arial" w:hAnsi="Arial"/>
          <w:sz w:val="13"/>
          <w:szCs w:val="13"/>
          <w:color w:val="auto"/>
        </w:rPr>
        <w:t>Our income tax provision was $5.3 million for the three months ended June 30, 2021. Our effective tax rate for the three months ended June</w:t>
      </w:r>
      <w:r>
        <w:rPr>
          <w:rFonts w:ascii="Arial" w:cs="Arial" w:eastAsia="Arial" w:hAnsi="Arial"/>
          <w:sz w:val="13"/>
          <w:szCs w:val="13"/>
          <w:i w:val="1"/>
          <w:iCs w:val="1"/>
          <w:color w:val="auto"/>
        </w:rPr>
        <w:t xml:space="preserve"> </w:t>
      </w:r>
      <w:r>
        <w:rPr>
          <w:rFonts w:ascii="Arial" w:cs="Arial" w:eastAsia="Arial" w:hAnsi="Arial"/>
          <w:sz w:val="13"/>
          <w:szCs w:val="13"/>
          <w:color w:val="auto"/>
        </w:rPr>
        <w:t>30, 2021 was 5%, which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As a result of the full-cost ceiling impairments recorded in 2020, we recognized a valuation allowance against our net deferred tax assets for the year ended December 31, 2020. The valuation allowance will continue to be recognized until the future deferred tax benefits are more likely than not to become utilized. We recorded an income tax benefit of $109.8 million for the three months ended June 30, 2020, and our effective tax rate for the three months ended June 30, 2020 was 24%, which differed from amounts computed by applying the U.S. federal statutory rate to the pre-tax income due to the impact of permanent differences between book and tax income, as well as state taxes, primarily in New Mexico.</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Six Months Ended June 30, 2021 as Compared to Six Months Ended June 30, 2020</w:t>
      </w:r>
    </w:p>
    <w:p>
      <w:pPr>
        <w:spacing w:after="0" w:line="97" w:lineRule="exact"/>
        <w:rPr>
          <w:sz w:val="20"/>
          <w:szCs w:val="20"/>
          <w:color w:val="auto"/>
        </w:rPr>
      </w:pPr>
    </w:p>
    <w:p>
      <w:pPr>
        <w:ind w:right="100" w:firstLine="387"/>
        <w:spacing w:after="0" w:line="266" w:lineRule="auto"/>
        <w:rPr>
          <w:sz w:val="20"/>
          <w:szCs w:val="20"/>
          <w:color w:val="auto"/>
        </w:rPr>
      </w:pPr>
      <w:r>
        <w:rPr>
          <w:rFonts w:ascii="Arial" w:cs="Arial" w:eastAsia="Arial" w:hAnsi="Arial"/>
          <w:sz w:val="15"/>
          <w:szCs w:val="15"/>
          <w:i w:val="1"/>
          <w:iCs w:val="1"/>
          <w:color w:val="auto"/>
        </w:rPr>
        <w:t xml:space="preserve">Production taxes, transportation and processing. </w:t>
      </w:r>
      <w:r>
        <w:rPr>
          <w:rFonts w:ascii="Arial" w:cs="Arial" w:eastAsia="Arial" w:hAnsi="Arial"/>
          <w:sz w:val="15"/>
          <w:szCs w:val="15"/>
          <w:color w:val="auto"/>
        </w:rPr>
        <w:t>Our production taxes and transportation and processing expenses increased $37.5 million, or 93%, to $78.0 million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six months ended June 30, 2021, as compared to $40.5 million for the six months ended June 30, 2020. On a unit-of-production basis, our production taxes and transportation and processing expenses increased 67% to $5.15 per BOE for the six months ended June 30, 2021, as compared to $3.08 per BOE for the six months ended June 30, 2020. These increases were primarily due to (i) a $32.1 million increase in production taxes to $54.8 million for the six months ended June 30, 2021, as compared to $22.7 million for the six months ended June 30, 2020, primarily due to the significant increase in the weighted average oil and natural gas prices realized between the two periods, and (ii) a $5.4 million increase in transportation and processing expenses to $23.2 million for the six months ended June 30, 2021, as compared to $17.8 million for the six months ended June 30, 2020, primarily due to the 18% increase in our natural gas production to 39.3 Bcf for the six months ended June 30, 2021, as compared to 33.2 Bcf for the six months ended June 30, 2020.</w:t>
      </w:r>
    </w:p>
    <w:p>
      <w:pPr>
        <w:spacing w:after="0" w:line="64" w:lineRule="exact"/>
        <w:rPr>
          <w:sz w:val="20"/>
          <w:szCs w:val="20"/>
          <w:color w:val="auto"/>
        </w:rPr>
      </w:pPr>
    </w:p>
    <w:p>
      <w:pPr>
        <w:ind w:firstLine="387"/>
        <w:spacing w:after="0" w:line="316" w:lineRule="auto"/>
        <w:rPr>
          <w:sz w:val="20"/>
          <w:szCs w:val="20"/>
          <w:color w:val="auto"/>
        </w:rPr>
      </w:pPr>
      <w:r>
        <w:rPr>
          <w:rFonts w:ascii="Arial" w:cs="Arial" w:eastAsia="Arial" w:hAnsi="Arial"/>
          <w:sz w:val="13"/>
          <w:szCs w:val="13"/>
          <w:i w:val="1"/>
          <w:iCs w:val="1"/>
          <w:color w:val="auto"/>
        </w:rPr>
        <w:t xml:space="preserve">Lease operating. </w:t>
      </w:r>
      <w:r>
        <w:rPr>
          <w:rFonts w:ascii="Arial" w:cs="Arial" w:eastAsia="Arial" w:hAnsi="Arial"/>
          <w:sz w:val="13"/>
          <w:szCs w:val="13"/>
          <w:color w:val="auto"/>
        </w:rPr>
        <w:t>Our lease operating expenses decreased $2.4 million, or 4%, to $54.7 million for the six months ended June 30, 2021, as compared to $57.1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six months ended June 30, 2020. Our lease operating expenses on a unit-of-production basis decreased 17% to $3.61 per BOE for the six months ended June 30, 2021, as compared to $4.34 per BOE for the six months ended June 30, 2020. These decreases were largely attributable to (i) a decrease in produced water trucking and disposal expenses of $1.7 million as more of our operated wells have been connected to produced water pipelines, (ii) a decrease in repairs and maintenance and equipment rentals of $3.1 million and (iii) a decrease in compressor rental charges of $1.1 million. These decreases were partially offset by increases associated with workovers and chemical expenses of $3.3 million, which were attributable to servicing an increased number of operated wells at June 30, 2021, as compared to June 30, 2020.</w:t>
      </w:r>
    </w:p>
    <w:p>
      <w:pPr>
        <w:spacing w:after="0" w:line="38" w:lineRule="exact"/>
        <w:rPr>
          <w:sz w:val="20"/>
          <w:szCs w:val="20"/>
          <w:color w:val="auto"/>
        </w:rPr>
      </w:pPr>
    </w:p>
    <w:p>
      <w:pPr>
        <w:ind w:firstLine="387"/>
        <w:spacing w:after="0" w:line="268" w:lineRule="auto"/>
        <w:rPr>
          <w:sz w:val="20"/>
          <w:szCs w:val="20"/>
          <w:color w:val="auto"/>
        </w:rPr>
      </w:pPr>
      <w:r>
        <w:rPr>
          <w:rFonts w:ascii="Arial" w:cs="Arial" w:eastAsia="Arial" w:hAnsi="Arial"/>
          <w:sz w:val="15"/>
          <w:szCs w:val="15"/>
          <w:i w:val="1"/>
          <w:iCs w:val="1"/>
          <w:color w:val="auto"/>
        </w:rPr>
        <w:t xml:space="preserve">Plant and other midstream services operating. </w:t>
      </w:r>
      <w:r>
        <w:rPr>
          <w:rFonts w:ascii="Arial" w:cs="Arial" w:eastAsia="Arial" w:hAnsi="Arial"/>
          <w:sz w:val="15"/>
          <w:szCs w:val="15"/>
          <w:color w:val="auto"/>
        </w:rPr>
        <w:t>Our plant and other midstream services operating expenses increased $7.7 million, or 39%, to $27.4 million for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2021, as compared to $19.7 million for the six months ended June 30, 2020. This increase was primarily attributable to (i) increased expenses associated with our expanded commercial produced water disposal operations of $14.2 million for the six months ended June 30, 2021, as compared to $10.5 million for the six months ended June 30, 2020, (ii) increased expenses associated with our expanded pipeline operations of $7.0 million for the six months ended June 30, 2021, as compared to $4.0 million for the six months ended June 30, 2020, and (iii) increased expenses associated with operating the expanded Black River Processing Plant of $6.2 million for the six months ended June 30, 2021, as compared to $5.2 million for the six months ended June 30, 2020.</w:t>
      </w:r>
    </w:p>
    <w:p>
      <w:pPr>
        <w:spacing w:after="0" w:line="63" w:lineRule="exact"/>
        <w:rPr>
          <w:sz w:val="20"/>
          <w:szCs w:val="20"/>
          <w:color w:val="auto"/>
        </w:rPr>
      </w:pPr>
    </w:p>
    <w:p>
      <w:pPr>
        <w:ind w:right="100" w:firstLine="387"/>
        <w:spacing w:after="0" w:line="316" w:lineRule="auto"/>
        <w:rPr>
          <w:sz w:val="20"/>
          <w:szCs w:val="20"/>
          <w:color w:val="auto"/>
        </w:rPr>
      </w:pPr>
      <w:r>
        <w:rPr>
          <w:rFonts w:ascii="Arial" w:cs="Arial" w:eastAsia="Arial" w:hAnsi="Arial"/>
          <w:sz w:val="13"/>
          <w:szCs w:val="13"/>
          <w:i w:val="1"/>
          <w:iCs w:val="1"/>
          <w:color w:val="auto"/>
        </w:rPr>
        <w:t xml:space="preserve">Depletion, depreciation and amortization. </w:t>
      </w:r>
      <w:r>
        <w:rPr>
          <w:rFonts w:ascii="Arial" w:cs="Arial" w:eastAsia="Arial" w:hAnsi="Arial"/>
          <w:sz w:val="13"/>
          <w:szCs w:val="13"/>
          <w:color w:val="auto"/>
        </w:rPr>
        <w:t>Our depletion, depreciation and amortization expenses decreased $17.8 million, or 10%, to $166.3 million for the six months</w:t>
      </w:r>
      <w:r>
        <w:rPr>
          <w:rFonts w:ascii="Arial" w:cs="Arial" w:eastAsia="Arial" w:hAnsi="Arial"/>
          <w:sz w:val="13"/>
          <w:szCs w:val="13"/>
          <w:i w:val="1"/>
          <w:iCs w:val="1"/>
          <w:color w:val="auto"/>
        </w:rPr>
        <w:t xml:space="preserve"> </w:t>
      </w:r>
      <w:r>
        <w:rPr>
          <w:rFonts w:ascii="Arial" w:cs="Arial" w:eastAsia="Arial" w:hAnsi="Arial"/>
          <w:sz w:val="13"/>
          <w:szCs w:val="13"/>
          <w:color w:val="auto"/>
        </w:rPr>
        <w:t>ended June 30, 2021, as compared to $184.1 million for the six months ended June 30, 2020. On a unit-of-production basis, our depletion, depreciation and amortization expenses decreased 22% to $10.98 per BOE for the six months ended June 30, 2021, as compared to $14.00 per BOE for the six months ended June 30, 2020. These decreases were attributable to the increase in our estimated total proved oil and natural gas reserves, as well as the decrease in unamortized property costs resulting from the full-cost ceiling impairments recorded in 2020. The decrease in our depletion, depreciation and amortization expenses was partially offset by a $5.8 million increase in depreciation expenses attributable to our midstream segment to $15.6 million for the six months ended June 30, 2021 as compared to $9.8 million for the six months ended June 30, 2020.</w:t>
      </w:r>
    </w:p>
    <w:p>
      <w:pPr>
        <w:spacing w:after="0" w:line="38" w:lineRule="exact"/>
        <w:rPr>
          <w:sz w:val="20"/>
          <w:szCs w:val="20"/>
          <w:color w:val="auto"/>
        </w:rPr>
      </w:pPr>
    </w:p>
    <w:p>
      <w:pPr>
        <w:ind w:right="300" w:firstLine="387"/>
        <w:spacing w:after="0" w:line="249" w:lineRule="auto"/>
        <w:rPr>
          <w:sz w:val="20"/>
          <w:szCs w:val="20"/>
          <w:color w:val="auto"/>
        </w:rPr>
      </w:pPr>
      <w:r>
        <w:rPr>
          <w:rFonts w:ascii="Arial" w:cs="Arial" w:eastAsia="Arial" w:hAnsi="Arial"/>
          <w:sz w:val="16"/>
          <w:szCs w:val="16"/>
          <w:i w:val="1"/>
          <w:iCs w:val="1"/>
          <w:color w:val="auto"/>
        </w:rPr>
        <w:t xml:space="preserve">Full-cost ceiling impairment. </w:t>
      </w:r>
      <w:r>
        <w:rPr>
          <w:rFonts w:ascii="Arial" w:cs="Arial" w:eastAsia="Arial" w:hAnsi="Arial"/>
          <w:sz w:val="16"/>
          <w:szCs w:val="16"/>
          <w:color w:val="auto"/>
        </w:rPr>
        <w:t>No impairment to the net carrying value of our oil and natural gas properties and no corresponding charge resulting from a full-cost ceiling</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were recorded for the six months ended June 30, 2021. At June 30, 2020, the net capitalized costs of our oil and natural gas properties less related deferred income taxes exceeded the full-cost ceiling by $243.9 million. As a result, we recorded an impairment charge of $324.0 million to the net capitalized costs of our oil and natural gas properties and a deferred income tax benefit of $80.1 million. This full-cost ceiling impairment of $324.0 million is reflected in our interim unaudited condensed consolidated statement of operations for the six months ended June 30, 2020.</w:t>
      </w:r>
    </w:p>
    <w:p>
      <w:pPr>
        <w:spacing w:after="0" w:line="77" w:lineRule="exact"/>
        <w:rPr>
          <w:sz w:val="20"/>
          <w:szCs w:val="20"/>
          <w:color w:val="auto"/>
        </w:rPr>
      </w:pPr>
    </w:p>
    <w:p>
      <w:pPr>
        <w:ind w:firstLine="387"/>
        <w:spacing w:after="0" w:line="31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Our general and administrative expenses increased $15.6 million, or 51%, to $46.6 million for the six months ended June 30, 2021, as compared</w:t>
      </w:r>
      <w:r>
        <w:rPr>
          <w:rFonts w:ascii="Arial" w:cs="Arial" w:eastAsia="Arial" w:hAnsi="Arial"/>
          <w:sz w:val="13"/>
          <w:szCs w:val="13"/>
          <w:i w:val="1"/>
          <w:iCs w:val="1"/>
          <w:color w:val="auto"/>
        </w:rPr>
        <w:t xml:space="preserve"> </w:t>
      </w:r>
      <w:r>
        <w:rPr>
          <w:rFonts w:ascii="Arial" w:cs="Arial" w:eastAsia="Arial" w:hAnsi="Arial"/>
          <w:sz w:val="13"/>
          <w:szCs w:val="13"/>
          <w:color w:val="auto"/>
        </w:rPr>
        <w:t>to $30.9 million for the six months ended June 30, 2020. Our general and administrative expenses increased 31% on a unit-of-production basis to $3.08 per BOE for the six months ended June 30, 2021, as compared to $2.35 per BOE for the six months ended June 30, 2020. These increases were largely attributable to employee compensation costs, including an $11.0 million increase in stock-based compensation expense we recorded primarily associated with our cash-settled stock awards, the values of which are remeasured at each reporting period. The share price of our common stock increased approximately three-fold from $12.06 at December 31, 2020 to $36.01 at June 30, 2021. The remainder of the increase for the six months ended June 30, 2021, as compared to the six months ended June 30, 2020, resulted primarily from the reinstatement of employee compensation beginning in March 2021, which had been previously reduced beginning in March 2020 in response to the significantly lower oil and natural gas price environment at that time.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387"/>
        <w:spacing w:after="0" w:line="25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For the six months ended June 30, 2021, we incurred total interest expense of $40.1 million. We capitalized $2.5 million of our interest expense on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qualifying projects for the six months ended June 30, 2021 and expensed the remaining $37.6 million to operations. For the six months ended June 30, 2020, we incurred total interest expense of $41.3 million. We capitalized $3.2 million of our interest expense on certain qualifying projects for the six months ended June 30, 2020 and expensed the remaining $38.1 million to operations.</w:t>
      </w:r>
    </w:p>
    <w:p>
      <w:pPr>
        <w:spacing w:after="0" w:line="74" w:lineRule="exact"/>
        <w:rPr>
          <w:sz w:val="20"/>
          <w:szCs w:val="20"/>
          <w:color w:val="auto"/>
        </w:rPr>
      </w:pPr>
    </w:p>
    <w:p>
      <w:pPr>
        <w:ind w:right="60" w:firstLine="387"/>
        <w:spacing w:after="0" w:line="314" w:lineRule="auto"/>
        <w:rPr>
          <w:sz w:val="20"/>
          <w:szCs w:val="20"/>
          <w:color w:val="auto"/>
        </w:rPr>
      </w:pPr>
      <w:r>
        <w:rPr>
          <w:rFonts w:ascii="Arial" w:cs="Arial" w:eastAsia="Arial" w:hAnsi="Arial"/>
          <w:sz w:val="13"/>
          <w:szCs w:val="13"/>
          <w:i w:val="1"/>
          <w:iCs w:val="1"/>
          <w:color w:val="auto"/>
        </w:rPr>
        <w:t xml:space="preserve">Income tax provision (benefit). </w:t>
      </w:r>
      <w:r>
        <w:rPr>
          <w:rFonts w:ascii="Arial" w:cs="Arial" w:eastAsia="Arial" w:hAnsi="Arial"/>
          <w:sz w:val="13"/>
          <w:szCs w:val="13"/>
          <w:color w:val="auto"/>
        </w:rPr>
        <w:t>Our income tax provision was $8.2 million for the six months ended June 30, 2021. Our effective tax rate for the six months ended June 30,</w:t>
      </w:r>
      <w:r>
        <w:rPr>
          <w:rFonts w:ascii="Arial" w:cs="Arial" w:eastAsia="Arial" w:hAnsi="Arial"/>
          <w:sz w:val="13"/>
          <w:szCs w:val="13"/>
          <w:i w:val="1"/>
          <w:iCs w:val="1"/>
          <w:color w:val="auto"/>
        </w:rPr>
        <w:t xml:space="preserve"> </w:t>
      </w:r>
      <w:r>
        <w:rPr>
          <w:rFonts w:ascii="Arial" w:cs="Arial" w:eastAsia="Arial" w:hAnsi="Arial"/>
          <w:sz w:val="13"/>
          <w:szCs w:val="13"/>
          <w:color w:val="auto"/>
        </w:rPr>
        <w:t>2021 was 5%, which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As a result of the full-cost ceiling impairments recorded in 2020, we recognized a valuation allowance against our net deferred tax assets for the year ended December 31, 2020. The valuation allowance will continue to be recognized until the future deferred tax benefits are more likely than not to become utilized. We recorded an income tax benefit of $69.9 million for the six months ended June 30, 2020, and our effective tax rate for the six months ended June 30, 2020 was 23%, which differed from amounts computed by applying the U.S. federal statutory rate to the pre-tax income due to the impact of permanent differences between book and tax income, as well as state taxes, primarily in New Mexico.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1" w:lineRule="exact"/>
        <w:rPr>
          <w:sz w:val="20"/>
          <w:szCs w:val="20"/>
          <w:color w:val="auto"/>
        </w:rPr>
      </w:pPr>
    </w:p>
    <w:p>
      <w:pPr>
        <w:ind w:firstLine="387"/>
        <w:spacing w:after="0" w:line="312" w:lineRule="auto"/>
        <w:rPr>
          <w:sz w:val="20"/>
          <w:szCs w:val="20"/>
          <w:color w:val="auto"/>
        </w:rPr>
      </w:pPr>
      <w:r>
        <w:rPr>
          <w:rFonts w:ascii="Arial" w:cs="Arial" w:eastAsia="Arial" w:hAnsi="Arial"/>
          <w:sz w:val="13"/>
          <w:szCs w:val="13"/>
          <w:color w:val="auto"/>
        </w:rPr>
        <w:t>Our primary use of capital has been, and we expect will continue to be during the remainder of 2021 and for the foreseeable future, for the acquisition, exploration and development of oil and natural gas properties and for midstream investments. Excluding any possible significant acquisitions, we expect to fund our capital expenditures for the remainder of 2021 primarily through a combination of cash on hand, operating cash flows and performance incentives paid to us by a subsidiary of Five Point Energy LLC, our joint venture partner, in connection with San Mateo. If capital expenditures were to exceed our operating cash flows during the remainder of 2021, we expect to fund any such excess capital expenditures through borrowings under the Credit Agreement or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39" w:lineRule="exact"/>
        <w:rPr>
          <w:sz w:val="20"/>
          <w:szCs w:val="20"/>
          <w:color w:val="auto"/>
        </w:rPr>
      </w:pPr>
    </w:p>
    <w:p>
      <w:pPr>
        <w:ind w:right="100" w:firstLine="387"/>
        <w:spacing w:after="0" w:line="320" w:lineRule="auto"/>
        <w:rPr>
          <w:sz w:val="20"/>
          <w:szCs w:val="20"/>
          <w:color w:val="auto"/>
        </w:rPr>
      </w:pPr>
      <w:r>
        <w:rPr>
          <w:rFonts w:ascii="Arial" w:cs="Arial" w:eastAsia="Arial" w:hAnsi="Arial"/>
          <w:sz w:val="13"/>
          <w:szCs w:val="13"/>
          <w:color w:val="auto"/>
        </w:rPr>
        <w:t>At June 30, 2021, we had cash totaling $44.6 million and restricted cash totaling $34.6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 During each of the first and second quarters of 2021, we had net repayments of $100.0 million in borrowings under the Credit Agreement. In addition, the Board declared our first two quarterly cash dividends of $0.025 per share of common stock, which were paid on March 31, 2021 and June 3, 2021. In July 2021, the Board declared a quarterly cash dividend of $0.025 per share of common stock payable on September 3, 2021 to shareholders of record as of August 12, 2021.</w:t>
      </w:r>
    </w:p>
    <w:p>
      <w:pPr>
        <w:spacing w:after="0" w:line="35" w:lineRule="exact"/>
        <w:rPr>
          <w:sz w:val="20"/>
          <w:szCs w:val="20"/>
          <w:color w:val="auto"/>
        </w:rPr>
      </w:pPr>
    </w:p>
    <w:p>
      <w:pPr>
        <w:ind w:right="20" w:firstLine="387"/>
        <w:spacing w:after="0" w:line="265" w:lineRule="auto"/>
        <w:rPr>
          <w:sz w:val="20"/>
          <w:szCs w:val="20"/>
          <w:color w:val="auto"/>
        </w:rPr>
      </w:pPr>
      <w:r>
        <w:rPr>
          <w:rFonts w:ascii="Arial" w:cs="Arial" w:eastAsia="Arial" w:hAnsi="Arial"/>
          <w:sz w:val="15"/>
          <w:szCs w:val="15"/>
          <w:color w:val="auto"/>
        </w:rPr>
        <w:t>At June 30, 2021, we had (i) $1.05 billion of outstanding 5.875% senior notes due September 2026 (the “Notes”), (ii) $240.0 million in borrowings outstanding under the Credit Agreement, (iii) approximately $45.8 million in outstanding letters of credit issued pursuant to the Credit Agreement and (iv) $7.5 million outstanding under an unsecured U.S. Small Business Administration (“SBA”) loan. In April 2021, the lenders under our Credit Agreement completed their review of our proved oil and natural gas reserves, and, as a result, the borrowing base was reaffirmed at $900.0 million. We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 outstanding (net of up to $50.0 million of cash or cash equivalents), divided by a rolling four quarter EBITDA calculation, of 4.0 or less. We believe that we were in compliance with the terms of the Credit Agreement at June 30, 2021.</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At June 30, 2021, San Mateo had $352.5 million in borrowings outstanding under the San Mateo Credit Facility and approximately $9.0 million in outstanding letters of</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credit issued pursuant to the San Mateo Credit Facility. Between June 30, 2021 and July 27, 2021, San Mateo repaid $25.0 million of borrowings under the San Mateo Credit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Facility. The San Mateo Credit Facility matures December 19, 2023 and was amended in June 2021 to increase the lender commitments under that facility from $375 million to</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$450 million (subject to San Mateo’s compliance with the covenants noted below) and to increase the borrowing rate for a base rate loan or a Eurodollar loan under such facility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0.50%. The San Mateo Credit Facility includes an accordion feature, which, after the aforementioned amendment, provides for potential increases in lender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commitments to up to $700.0 million. The San Mateo Credit Facility is guaranteed by San Mateo’s subsidiaries, secured by substantially all of San Mateo’s assets, including real property, and is non-recourse with respect to Matador and its wholly-owned subsidiaries. 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June 30, 2021.</w:t>
      </w:r>
    </w:p>
    <w:p>
      <w:pPr>
        <w:spacing w:after="0" w:line="63" w:lineRule="exact"/>
        <w:rPr>
          <w:sz w:val="20"/>
          <w:szCs w:val="20"/>
          <w:color w:val="auto"/>
        </w:rPr>
      </w:pPr>
    </w:p>
    <w:p>
      <w:pPr>
        <w:ind w:right="220" w:firstLine="387"/>
        <w:spacing w:after="0" w:line="254" w:lineRule="auto"/>
        <w:rPr>
          <w:sz w:val="20"/>
          <w:szCs w:val="20"/>
          <w:color w:val="auto"/>
        </w:rPr>
      </w:pPr>
      <w:r>
        <w:rPr>
          <w:rFonts w:ascii="Arial" w:cs="Arial" w:eastAsia="Arial" w:hAnsi="Arial"/>
          <w:sz w:val="16"/>
          <w:szCs w:val="16"/>
          <w:color w:val="auto"/>
        </w:rPr>
        <w:t>On April 13, 2020, we executed a promissory note evidencing an unsecured loan in the amount of approximately $7.5 million as part of the Paycheck Protection Program. For a discussion of such loan, see “Management’s Discussion and Analysis of Financial Condition and Results of Operations—Liquidity and Capital Resources” in the Annual Report.</w:t>
      </w:r>
    </w:p>
    <w:p>
      <w:pPr>
        <w:spacing w:after="0" w:line="72" w:lineRule="exact"/>
        <w:rPr>
          <w:sz w:val="20"/>
          <w:szCs w:val="20"/>
          <w:color w:val="auto"/>
        </w:rPr>
      </w:pPr>
    </w:p>
    <w:p>
      <w:pPr>
        <w:ind w:right="20" w:firstLine="387"/>
        <w:spacing w:after="0" w:line="266" w:lineRule="auto"/>
        <w:rPr>
          <w:sz w:val="20"/>
          <w:szCs w:val="20"/>
          <w:color w:val="auto"/>
        </w:rPr>
      </w:pPr>
      <w:r>
        <w:rPr>
          <w:rFonts w:ascii="Arial" w:cs="Arial" w:eastAsia="Arial" w:hAnsi="Arial"/>
          <w:sz w:val="15"/>
          <w:szCs w:val="15"/>
          <w:color w:val="auto"/>
        </w:rPr>
        <w:t>During the six months ended June 30 and through July 2021, the oil and natural gas industry has experienced continued improvement in commodity prices as compared to 2020, primarily resulting from (i) improvements in oil demand as the impact from COVID-19 has begun to abate and (ii) actions taken by the Organization of Petroleum Exporting Countries, Russia and certain other oil-exporting countries (“OPEC+”) to reduce the worldwide supply of oil through coordinated production cuts. As a result, West Texas Intermediate (“WTI”) oil prices have increased from $48.52 per barrel at December 31, 2020 to as high as $74.05 per barrel in late June 2021. While oil prices have improved in 2021, the general outlook for the oil and natural gas industry for the remainder of the year remains uncertain, and we can provide no assurances as to when or to what extent economic disruptions resulting from COVID-19 and the corresponding decreases in oil demand may improve further. These economic disruptions have also impacted our ability to access the capital markets on reasonably similar terms as were available prior to 2020. Prices for natural gas and NGLs were also much higher during the six months ended June 30 and through July 2021 as compared to 2020.</w:t>
      </w:r>
    </w:p>
    <w:p>
      <w:pPr>
        <w:spacing w:after="0" w:line="64" w:lineRule="exact"/>
        <w:rPr>
          <w:sz w:val="20"/>
          <w:szCs w:val="20"/>
          <w:color w:val="auto"/>
        </w:rPr>
      </w:pPr>
    </w:p>
    <w:p>
      <w:pPr>
        <w:ind w:right="120" w:firstLine="387"/>
        <w:spacing w:after="0" w:line="267" w:lineRule="auto"/>
        <w:rPr>
          <w:sz w:val="20"/>
          <w:szCs w:val="20"/>
          <w:color w:val="auto"/>
        </w:rPr>
      </w:pPr>
      <w:r>
        <w:rPr>
          <w:rFonts w:ascii="Arial" w:cs="Arial" w:eastAsia="Arial" w:hAnsi="Arial"/>
          <w:sz w:val="15"/>
          <w:szCs w:val="15"/>
          <w:color w:val="auto"/>
        </w:rPr>
        <w:t>We expect that development of our Delaware Basin assets will be the primary focus of our operations and capital expenditures for the remainder of 2021. We operated four drilling rigs in the Delaware Basin during the second quarter of 2021. At July 27, 2021, two of these rigs were drilling in the Stateline asset area in Eddy County, New Mexico. These two rigs recently completed drilling 13 additional Boros wells in the eastern portion of the Stateline asset area and at July 27, 2021 were drilling 11 new Voni wells in the western portion of that asset area. The other two rigs have been drilling 13 wells in the Greater Stebbins Area, nine of which were still in progress at July 27, 2021. Four of these wells, all Second Bone Spring completions, were recently turned to sales. When we complete drilling the nine wells in progress in the Greater Stebbins Area, we plan to use these two rigs to drill two additional wells in the Ranger asset area in Lea County, New Mexico and several additional Rodney Robinson wells in the western portion of the Antelope Ridge asset area in Lea County.</w:t>
      </w:r>
    </w:p>
    <w:p>
      <w:pPr>
        <w:spacing w:after="0" w:line="63" w:lineRule="exact"/>
        <w:rPr>
          <w:sz w:val="20"/>
          <w:szCs w:val="20"/>
          <w:color w:val="auto"/>
        </w:rPr>
      </w:pPr>
    </w:p>
    <w:p>
      <w:pPr>
        <w:jc w:val="both"/>
        <w:ind w:right="160" w:firstLine="387"/>
        <w:spacing w:after="0" w:line="251" w:lineRule="auto"/>
        <w:rPr>
          <w:sz w:val="20"/>
          <w:szCs w:val="20"/>
          <w:color w:val="auto"/>
        </w:rPr>
      </w:pPr>
      <w:r>
        <w:rPr>
          <w:rFonts w:ascii="Arial" w:cs="Arial" w:eastAsia="Arial" w:hAnsi="Arial"/>
          <w:sz w:val="16"/>
          <w:szCs w:val="16"/>
          <w:color w:val="auto"/>
        </w:rPr>
        <w:t>At July 27, 2021, our 2021 estimated capital expenditures for D/C/E capital expenditures remained $525 to $575 million, as originally estimated. As a result of savings on our operated D/C/E capital expenditures in the first half of 2021, a faster drilling and completions pace and an anticipated decrease in non-operated D/C/E capital expenditures in the second half of 2021, we intend to advance the next 11 Voni well completions in the Stateline asset area forward into the fourth quarter of 2021 and expect to be able to do so without increasing our estimates for D/C/E capital expenditures for full year 2021.</w:t>
      </w:r>
    </w:p>
    <w:p>
      <w:pPr>
        <w:spacing w:after="0" w:line="74" w:lineRule="exact"/>
        <w:rPr>
          <w:sz w:val="20"/>
          <w:szCs w:val="20"/>
          <w:color w:val="auto"/>
        </w:rPr>
      </w:pPr>
    </w:p>
    <w:p>
      <w:pPr>
        <w:ind w:right="40" w:firstLine="387"/>
        <w:spacing w:after="0" w:line="249" w:lineRule="auto"/>
        <w:rPr>
          <w:sz w:val="20"/>
          <w:szCs w:val="20"/>
          <w:color w:val="auto"/>
        </w:rPr>
      </w:pPr>
      <w:r>
        <w:rPr>
          <w:rFonts w:ascii="Arial" w:cs="Arial" w:eastAsia="Arial" w:hAnsi="Arial"/>
          <w:sz w:val="16"/>
          <w:szCs w:val="16"/>
          <w:color w:val="auto"/>
        </w:rPr>
        <w:t>At July 27, 2021, we increased our anticipated 2021 midstream capital expenditures from $20 to $30 million to $35 to $45 million, primarily to accommodate several new midstream opportunities for San Mateo with producers in Eddy County, New Mexico and to accelerate the installation of compression facilities and other infrastructure prior to the end of 2021 in order to be prepared for the additional volumes from the accelerated Voni completions noted above. Previously, these Voni-related capital expenditures were scheduled for early 2022. The anticipated total 2021 midstream capital expenditures of $35 to $45 million primarily reflect our proportionate share of San Mateo’s estimated 2021 capital expenditures.</w:t>
      </w:r>
    </w:p>
    <w:p>
      <w:pPr>
        <w:spacing w:after="0" w:line="77" w:lineRule="exact"/>
        <w:rPr>
          <w:sz w:val="20"/>
          <w:szCs w:val="20"/>
          <w:color w:val="auto"/>
        </w:rPr>
      </w:pPr>
    </w:p>
    <w:p>
      <w:pPr>
        <w:ind w:firstLine="387"/>
        <w:spacing w:after="0" w:line="267" w:lineRule="auto"/>
        <w:rPr>
          <w:sz w:val="20"/>
          <w:szCs w:val="20"/>
          <w:color w:val="auto"/>
        </w:rPr>
      </w:pPr>
      <w:r>
        <w:rPr>
          <w:rFonts w:ascii="Arial" w:cs="Arial" w:eastAsia="Arial" w:hAnsi="Arial"/>
          <w:sz w:val="15"/>
          <w:szCs w:val="15"/>
          <w:color w:val="auto"/>
        </w:rPr>
        <w:t>Substantially all of these 2021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2021 Delaware Basin operated drilling program is expected to focus on the continued development of our various asset areas throughout the Delaware Basin, with a continued emphasis on drilling and completing a higher percentage of longer horizontal wells in 2021, including 98% with anticipated completed lateral lengths of two miles or greater. We have built significant optionality into our drilling program, which should generally allow us to increase or decrease the number of rigs we operate as necessary based on changing commodity prices and other factors.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20" w:firstLine="387"/>
        <w:spacing w:after="0" w:line="268" w:lineRule="auto"/>
        <w:rPr>
          <w:sz w:val="20"/>
          <w:szCs w:val="20"/>
          <w:color w:val="auto"/>
        </w:rPr>
      </w:pPr>
      <w:r>
        <w:rPr>
          <w:rFonts w:ascii="Arial" w:cs="Arial" w:eastAsia="Arial" w:hAnsi="Arial"/>
          <w:sz w:val="15"/>
          <w:szCs w:val="15"/>
          <w:color w:val="auto"/>
        </w:rPr>
        <w:t>We may divest portions of our non-core assets, particularly in the Eagle Ford shale in South Texas and the Haynesville shale and Cotton Valley plays in Northwest Louisiana,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the remainder of 2021. These monetizations, divestitures and expenditures are opportunity-specific, and purchase price multiples and per-acre prices can vary significantly based on the asset or prospect. As a result, it is difficult to estimate these 2021 monetizations, divestitures and capital expenditures with any degree of certainty; therefore, we have not provided estimated proceeds related to monetizations or divestitures or estimated capital expenditures related to acreage and mineral acquisitions for 2021.</w:t>
      </w:r>
    </w:p>
    <w:p>
      <w:pPr>
        <w:spacing w:after="0" w:line="63" w:lineRule="exact"/>
        <w:rPr>
          <w:sz w:val="20"/>
          <w:szCs w:val="20"/>
          <w:color w:val="auto"/>
        </w:rPr>
      </w:pPr>
    </w:p>
    <w:p>
      <w:pPr>
        <w:ind w:left="6" w:right="40" w:firstLine="387"/>
        <w:spacing w:after="0" w:line="312" w:lineRule="auto"/>
        <w:rPr>
          <w:sz w:val="20"/>
          <w:szCs w:val="20"/>
          <w:color w:val="auto"/>
        </w:rPr>
      </w:pPr>
      <w:r>
        <w:rPr>
          <w:rFonts w:ascii="Arial" w:cs="Arial" w:eastAsia="Arial" w:hAnsi="Arial"/>
          <w:sz w:val="13"/>
          <w:szCs w:val="13"/>
          <w:color w:val="auto"/>
        </w:rPr>
        <w:t>Our 2021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39" w:lineRule="exact"/>
        <w:rPr>
          <w:sz w:val="20"/>
          <w:szCs w:val="20"/>
          <w:color w:val="auto"/>
        </w:rPr>
      </w:pPr>
    </w:p>
    <w:p>
      <w:pPr>
        <w:jc w:val="both"/>
        <w:ind w:left="6" w:right="420" w:firstLine="387"/>
        <w:spacing w:after="0" w:line="305" w:lineRule="auto"/>
        <w:rPr>
          <w:sz w:val="20"/>
          <w:szCs w:val="20"/>
          <w:color w:val="auto"/>
        </w:rPr>
      </w:pPr>
      <w:r>
        <w:rPr>
          <w:rFonts w:ascii="Arial" w:cs="Arial" w:eastAsia="Arial" w:hAnsi="Arial"/>
          <w:sz w:val="13"/>
          <w:szCs w:val="13"/>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2021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w:t>
      </w:r>
    </w:p>
    <w:p>
      <w:pPr>
        <w:spacing w:after="0" w:line="2" w:lineRule="exact"/>
        <w:rPr>
          <w:sz w:val="20"/>
          <w:szCs w:val="20"/>
          <w:color w:val="auto"/>
        </w:rPr>
      </w:pPr>
    </w:p>
    <w:p>
      <w:pPr>
        <w:ind w:left="6"/>
        <w:spacing w:after="0" w:line="245" w:lineRule="auto"/>
        <w:rPr>
          <w:sz w:val="20"/>
          <w:szCs w:val="20"/>
          <w:color w:val="auto"/>
        </w:rPr>
      </w:pPr>
      <w:r>
        <w:rPr>
          <w:rFonts w:ascii="Arial" w:cs="Arial" w:eastAsia="Arial" w:hAnsi="Arial"/>
          <w:sz w:val="16"/>
          <w:szCs w:val="16"/>
          <w:color w:val="auto"/>
        </w:rPr>
        <w:t>Additionally, our anticipated cash flows from operations are based upon current expectations of oil and natural gas prices for the remainder of 2021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80" w:lineRule="exact"/>
        <w:rPr>
          <w:sz w:val="20"/>
          <w:szCs w:val="20"/>
          <w:color w:val="auto"/>
        </w:rPr>
      </w:pPr>
    </w:p>
    <w:p>
      <w:pPr>
        <w:ind w:left="386"/>
        <w:spacing w:after="0"/>
        <w:rPr>
          <w:sz w:val="20"/>
          <w:szCs w:val="20"/>
          <w:color w:val="auto"/>
        </w:rPr>
      </w:pPr>
      <w:r>
        <w:rPr>
          <w:rFonts w:ascii="Arial" w:cs="Arial" w:eastAsia="Arial" w:hAnsi="Arial"/>
          <w:sz w:val="16"/>
          <w:szCs w:val="16"/>
          <w:color w:val="auto"/>
        </w:rPr>
        <w:t>Our unaudited cash flows for the six months ended June 30, 2021 and 2020 are presented below:</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83"/>
        </w:trPr>
        <w:tc>
          <w:tcPr>
            <w:tcW w:w="8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59"/>
        </w:trPr>
        <w:tc>
          <w:tcPr>
            <w:tcW w:w="81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2020</w:t>
            </w:r>
          </w:p>
        </w:tc>
      </w:tr>
      <w:tr>
        <w:trPr>
          <w:trHeight w:val="192"/>
        </w:trPr>
        <w:tc>
          <w:tcPr>
            <w:tcW w:w="8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427,595</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210,385</w:t>
            </w:r>
          </w:p>
        </w:tc>
      </w:tr>
      <w:tr>
        <w:trPr>
          <w:trHeight w:val="199"/>
        </w:trPr>
        <w:tc>
          <w:tcPr>
            <w:tcW w:w="81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(251,122)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(458,761)</w:t>
            </w:r>
          </w:p>
        </w:tc>
      </w:tr>
      <w:tr>
        <w:trPr>
          <w:trHeight w:val="199"/>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(188,648)</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226,756</w:t>
            </w:r>
          </w:p>
        </w:tc>
      </w:tr>
      <w:tr>
        <w:trPr>
          <w:trHeight w:val="191"/>
        </w:trPr>
        <w:tc>
          <w:tcPr>
            <w:tcW w:w="8120" w:type="dxa"/>
            <w:vAlign w:val="bottom"/>
          </w:tcPr>
          <w:p>
            <w:pPr>
              <w:spacing w:after="0" w:line="179" w:lineRule="exact"/>
              <w:rPr>
                <w:sz w:val="20"/>
                <w:szCs w:val="20"/>
                <w:color w:val="auto"/>
              </w:rPr>
            </w:pPr>
            <w:r>
              <w:rPr>
                <w:rFonts w:ascii="Arial" w:cs="Arial" w:eastAsia="Arial" w:hAnsi="Arial"/>
                <w:sz w:val="16"/>
                <w:szCs w:val="16"/>
                <w:color w:val="auto"/>
              </w:rPr>
              <w:t>Net change in cash and restricted cash</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(21,620)</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8120" w:type="dxa"/>
            <w:vAlign w:val="bottom"/>
            <w:shd w:val="clear" w:color="auto" w:fill="CCEEFF"/>
          </w:tcPr>
          <w:p>
            <w:pPr>
              <w:spacing w:after="0" w:line="186" w:lineRule="exact"/>
              <w:rPr>
                <w:sz w:val="20"/>
                <w:szCs w:val="20"/>
                <w:color w:val="auto"/>
              </w:rPr>
            </w:pPr>
            <w:r>
              <w:rPr>
                <w:rFonts w:ascii="Arial" w:cs="Arial" w:eastAsia="Arial" w:hAnsi="Arial"/>
                <w:sz w:val="16"/>
                <w:szCs w:val="16"/>
                <w:color w:val="auto"/>
              </w:rPr>
              <w:t>Adjusted EBITDA attributable to Matador Resources Company shareholders</w:t>
            </w:r>
            <w:r>
              <w:rPr>
                <w:rFonts w:ascii="Arial" w:cs="Arial" w:eastAsia="Arial" w:hAnsi="Arial"/>
                <w:sz w:val="20"/>
                <w:szCs w:val="20"/>
                <w:color w:val="auto"/>
                <w:vertAlign w:val="superscript"/>
              </w:rPr>
              <w:t>(1)</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459,081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248,170</w:t>
            </w:r>
          </w:p>
        </w:tc>
      </w:tr>
      <w:tr>
        <w:trPr>
          <w:trHeight w:val="257"/>
        </w:trPr>
        <w:tc>
          <w:tcPr>
            <w:tcW w:w="8120" w:type="dxa"/>
            <w:vAlign w:val="bottom"/>
          </w:tcPr>
          <w:p>
            <w:pPr>
              <w:spacing w:after="0"/>
              <w:rPr>
                <w:sz w:val="20"/>
                <w:szCs w:val="20"/>
                <w:color w:val="auto"/>
              </w:rPr>
            </w:pPr>
            <w:r>
              <w:rPr>
                <w:rFonts w:ascii="Arial" w:cs="Arial" w:eastAsia="Arial" w:hAnsi="Arial"/>
                <w:sz w:val="16"/>
                <w:szCs w:val="16"/>
                <w:color w:val="auto"/>
              </w:rPr>
              <w:t>__________________</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79" w:lineRule="exact"/>
        <w:rPr>
          <w:sz w:val="20"/>
          <w:szCs w:val="20"/>
          <w:color w:val="auto"/>
        </w:rPr>
      </w:pPr>
    </w:p>
    <w:p>
      <w:pPr>
        <w:ind w:left="286" w:right="100" w:hanging="286"/>
        <w:spacing w:after="0" w:line="278" w:lineRule="auto"/>
        <w:tabs>
          <w:tab w:leader="none" w:pos="279"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59" w:lineRule="exact"/>
        <w:rPr>
          <w:sz w:val="20"/>
          <w:szCs w:val="20"/>
          <w:color w:val="auto"/>
        </w:rPr>
      </w:pPr>
    </w:p>
    <w:p>
      <w:pPr>
        <w:ind w:left="166"/>
        <w:spacing w:after="0"/>
        <w:rPr>
          <w:sz w:val="20"/>
          <w:szCs w:val="20"/>
          <w:color w:val="auto"/>
        </w:rPr>
      </w:pPr>
      <w:r>
        <w:rPr>
          <w:rFonts w:ascii="Arial" w:cs="Arial" w:eastAsia="Arial" w:hAnsi="Arial"/>
          <w:sz w:val="16"/>
          <w:szCs w:val="16"/>
          <w:i w:val="1"/>
          <w:iCs w:val="1"/>
          <w:color w:val="auto"/>
        </w:rPr>
        <w:t>Cash Flows Provided by Operating Activities</w:t>
      </w:r>
    </w:p>
    <w:p>
      <w:pPr>
        <w:spacing w:after="0" w:line="97" w:lineRule="exact"/>
        <w:rPr>
          <w:sz w:val="20"/>
          <w:szCs w:val="20"/>
          <w:color w:val="auto"/>
        </w:rPr>
      </w:pPr>
    </w:p>
    <w:p>
      <w:pPr>
        <w:ind w:left="6" w:right="80" w:firstLine="387"/>
        <w:spacing w:after="0" w:line="248" w:lineRule="auto"/>
        <w:rPr>
          <w:sz w:val="20"/>
          <w:szCs w:val="20"/>
          <w:color w:val="auto"/>
        </w:rPr>
      </w:pPr>
      <w:r>
        <w:rPr>
          <w:rFonts w:ascii="Arial" w:cs="Arial" w:eastAsia="Arial" w:hAnsi="Arial"/>
          <w:sz w:val="16"/>
          <w:szCs w:val="16"/>
          <w:color w:val="auto"/>
        </w:rPr>
        <w:t>Net cash provided by operating activities increased $217.2 million to $427.6 million for the six months ended June 30, 2021 from $210.4 million for the six months ended June 30, 2020. Excluding changes in operating assets and liabilities, net cash provided by operating activities increased $221.7 million to $457.4 million for the six months ended June 30, 2021 from $235.7 million for the six months ended June 30, 2020, primarily attributable to significantly higher realized oil and natural gas prices and higher oil and natural gas production for the six months ended June 30, 2021, as compared to the six months ended June 30, 2020. Changes in our operating assets and liabilities between the two periods resulted in a net decrease of approximately $4.5 million in net cash provided by operating activities for the six months ended June 30, 2021, as compared to the six months ended June 30, 2020.</w:t>
      </w:r>
    </w:p>
    <w:p>
      <w:pPr>
        <w:spacing w:after="0" w:line="200" w:lineRule="exact"/>
        <w:rPr>
          <w:sz w:val="20"/>
          <w:szCs w:val="20"/>
          <w:color w:val="auto"/>
        </w:rPr>
      </w:pPr>
    </w:p>
    <w:p>
      <w:pPr>
        <w:spacing w:after="0" w:line="30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387"/>
        <w:spacing w:after="0" w:line="270" w:lineRule="auto"/>
        <w:rPr>
          <w:sz w:val="20"/>
          <w:szCs w:val="20"/>
          <w:color w:val="auto"/>
        </w:rPr>
      </w:pPr>
      <w:r>
        <w:rPr>
          <w:rFonts w:ascii="Arial" w:cs="Arial" w:eastAsia="Arial" w:hAnsi="Arial"/>
          <w:sz w:val="15"/>
          <w:szCs w:val="15"/>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effects of COVID-19 and the corresponding decline in oil demand significantly impacted the prices we received for our oil production in recent periods, particularly during 2020. These factors are beyond our control and are difficult to predict. We use commodity derivative financial instruments at times to mitigate our exposure to fluctuations in oil, natural gas and NGL prices.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Cash Flows Used in Investing Activities</w:t>
      </w:r>
    </w:p>
    <w:p>
      <w:pPr>
        <w:spacing w:after="0" w:line="97" w:lineRule="exact"/>
        <w:rPr>
          <w:sz w:val="20"/>
          <w:szCs w:val="20"/>
          <w:color w:val="auto"/>
        </w:rPr>
      </w:pPr>
    </w:p>
    <w:p>
      <w:pPr>
        <w:ind w:right="40" w:firstLine="387"/>
        <w:spacing w:after="0" w:line="247" w:lineRule="auto"/>
        <w:rPr>
          <w:sz w:val="20"/>
          <w:szCs w:val="20"/>
          <w:color w:val="auto"/>
        </w:rPr>
      </w:pPr>
      <w:r>
        <w:rPr>
          <w:rFonts w:ascii="Arial" w:cs="Arial" w:eastAsia="Arial" w:hAnsi="Arial"/>
          <w:sz w:val="16"/>
          <w:szCs w:val="16"/>
          <w:color w:val="auto"/>
        </w:rPr>
        <w:t>Net cash used in investing activities decreased $207.6 million to $251.1 million for the six months ended June 30, 2021 from $458.8 million for the six months ended June 30, 2020. This decrease in net cash used in investing activities was primarily due to (i) a decrease of $98.2 million in midstream capital expenditures, (ii) a decrease of $72.6 million in D/C/E capital expenditures and (iii) a decrease of $36.4 million in expenditures related to acquisition of oil and natural gas properties for the six months ended June 30, 2021, as compared to the six months ended June 30, 2020. Cash used for D/C/E capital expenditures for the six months ended June 30, 2021 and 2020 was primarily attributable to our operated and non-operated drilling and completion activities in the Delaware Basin. Cash used for midstream capital expenditures for the six months ended June 30, 2020 was primarily attributable to the expansion of the Black River Processing Plant and midstream facilities in the Greater Stebbins Area and the Stateline asset area, which were completed in 2020.</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Cash Flows (Used in) Provided by Financing Activities</w:t>
      </w:r>
    </w:p>
    <w:p>
      <w:pPr>
        <w:spacing w:after="0" w:line="97" w:lineRule="exact"/>
        <w:rPr>
          <w:sz w:val="20"/>
          <w:szCs w:val="20"/>
          <w:color w:val="auto"/>
        </w:rPr>
      </w:pPr>
    </w:p>
    <w:p>
      <w:pPr>
        <w:ind w:right="20" w:firstLine="387"/>
        <w:spacing w:after="0" w:line="268" w:lineRule="auto"/>
        <w:rPr>
          <w:sz w:val="20"/>
          <w:szCs w:val="20"/>
          <w:color w:val="auto"/>
        </w:rPr>
      </w:pPr>
      <w:r>
        <w:rPr>
          <w:rFonts w:ascii="Arial" w:cs="Arial" w:eastAsia="Arial" w:hAnsi="Arial"/>
          <w:sz w:val="15"/>
          <w:szCs w:val="15"/>
          <w:color w:val="auto"/>
        </w:rPr>
        <w:t>Net cash used in financing activities was $188.6 million for the six months ended June 30, 2021, a significant change from net cash provided by financing activities of $226.8 million for the six months ended June 30, 2020. During the six months ended June 30, 2021, our primary uses of cash related to financing activities were for the net repayment of $200.0 million in borrowings under our Credit Agreement and the payment of our first two quarterly dividends. These payments were partially offset by net borrowings under the San Mateo Credit Facility of $18.5 million. During the six months ended June 30, 2020, our primary sources of cash from financing activities included borrowings under our Credit Agreement of $130.0 million, borrowings under the San Mateo Credit Facility of $32.0 million and net contributions related to the formation of San Mateo and from non-controlling interest owners in less-than-wholly-owned subsidiaries of $59.8 million.</w:t>
      </w:r>
    </w:p>
    <w:p>
      <w:pPr>
        <w:spacing w:after="0" w:line="63" w:lineRule="exact"/>
        <w:rPr>
          <w:sz w:val="20"/>
          <w:szCs w:val="20"/>
          <w:color w:val="auto"/>
        </w:rPr>
      </w:pPr>
    </w:p>
    <w:p>
      <w:pPr>
        <w:ind w:right="40" w:firstLine="387"/>
        <w:spacing w:after="0" w:line="264" w:lineRule="auto"/>
        <w:rPr>
          <w:sz w:val="20"/>
          <w:szCs w:val="20"/>
          <w:color w:val="auto"/>
        </w:rPr>
      </w:pPr>
      <w:r>
        <w:rPr>
          <w:rFonts w:ascii="Arial" w:cs="Arial" w:eastAsia="Arial" w:hAnsi="Arial"/>
          <w:sz w:val="16"/>
          <w:szCs w:val="16"/>
          <w:color w:val="auto"/>
        </w:rPr>
        <w:t>See Note 4 to the interim unaudited condensed consolidated financial statements in this Quarterly Report for a summary of our debt, including the Credit Agreement, the San Mateo Credit Facility and the Notes.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Guarantor Financial Information</w:t>
      </w:r>
    </w:p>
    <w:p>
      <w:pPr>
        <w:spacing w:after="0" w:line="97" w:lineRule="exact"/>
        <w:rPr>
          <w:sz w:val="20"/>
          <w:szCs w:val="20"/>
          <w:color w:val="auto"/>
        </w:rPr>
      </w:pPr>
    </w:p>
    <w:p>
      <w:pPr>
        <w:jc w:val="both"/>
        <w:ind w:firstLine="351"/>
        <w:spacing w:after="0" w:line="251"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June 30, 2021,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5"/>
          <w:szCs w:val="15"/>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June 30, 2021</w:t>
            </w:r>
          </w:p>
        </w:tc>
      </w:tr>
      <w:tr>
        <w:trPr>
          <w:trHeight w:val="180"/>
        </w:trPr>
        <w:tc>
          <w:tcPr>
            <w:tcW w:w="942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Summarized Balance Sheet</w:t>
            </w: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9"/>
        </w:trPr>
        <w:tc>
          <w:tcPr>
            <w:tcW w:w="9420" w:type="dxa"/>
            <w:vAlign w:val="bottom"/>
          </w:tcPr>
          <w:p>
            <w:pPr>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9"/>
        </w:trPr>
        <w:tc>
          <w:tcPr>
            <w:tcW w:w="9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assets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283,398</w:t>
            </w:r>
          </w:p>
        </w:tc>
      </w:tr>
      <w:tr>
        <w:trPr>
          <w:trHeight w:val="199"/>
        </w:trPr>
        <w:tc>
          <w:tcPr>
            <w:tcW w:w="9420" w:type="dxa"/>
            <w:vAlign w:val="bottom"/>
          </w:tcPr>
          <w:p>
            <w:pPr>
              <w:ind w:left="200"/>
              <w:spacing w:after="0"/>
              <w:rPr>
                <w:sz w:val="20"/>
                <w:szCs w:val="20"/>
                <w:color w:val="auto"/>
              </w:rPr>
            </w:pPr>
            <w:r>
              <w:rPr>
                <w:rFonts w:ascii="Arial" w:cs="Arial" w:eastAsia="Arial" w:hAnsi="Arial"/>
                <w:sz w:val="16"/>
                <w:szCs w:val="16"/>
                <w:color w:val="auto"/>
              </w:rPr>
              <w:t>Net property and equipment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2,696,347</w:t>
            </w:r>
          </w:p>
        </w:tc>
      </w:tr>
      <w:tr>
        <w:trPr>
          <w:trHeight w:val="199"/>
        </w:trPr>
        <w:tc>
          <w:tcPr>
            <w:tcW w:w="9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long-term assets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51,775</w:t>
            </w:r>
          </w:p>
        </w:tc>
      </w:tr>
      <w:tr>
        <w:trPr>
          <w:trHeight w:val="199"/>
        </w:trPr>
        <w:tc>
          <w:tcPr>
            <w:tcW w:w="9420" w:type="dxa"/>
            <w:vAlign w:val="bottom"/>
          </w:tcPr>
          <w:p>
            <w:pPr>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9"/>
        </w:trPr>
        <w:tc>
          <w:tcPr>
            <w:tcW w:w="9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429,891</w:t>
            </w:r>
          </w:p>
        </w:tc>
      </w:tr>
      <w:tr>
        <w:trPr>
          <w:trHeight w:val="199"/>
        </w:trPr>
        <w:tc>
          <w:tcPr>
            <w:tcW w:w="942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1,281,789</w:t>
            </w:r>
          </w:p>
        </w:tc>
      </w:tr>
      <w:tr>
        <w:trPr>
          <w:trHeight w:val="199"/>
        </w:trPr>
        <w:tc>
          <w:tcPr>
            <w:tcW w:w="9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71,598</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Three Months Ended</w:t>
            </w:r>
          </w:p>
        </w:tc>
        <w:tc>
          <w:tcPr>
            <w:tcW w:w="10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Six Months Ended</w:t>
            </w:r>
          </w:p>
        </w:tc>
      </w:tr>
      <w:tr>
        <w:trPr>
          <w:trHeight w:val="204"/>
        </w:trPr>
        <w:tc>
          <w:tcPr>
            <w:tcW w:w="818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June 30, 2021</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June 30, 2021</w:t>
            </w:r>
          </w:p>
        </w:tc>
      </w:tr>
      <w:tr>
        <w:trPr>
          <w:trHeight w:val="180"/>
        </w:trPr>
        <w:tc>
          <w:tcPr>
            <w:tcW w:w="81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Summarized Statement of Operations</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9"/>
        </w:trPr>
        <w:tc>
          <w:tcPr>
            <w:tcW w:w="8180" w:type="dxa"/>
            <w:vAlign w:val="bottom"/>
          </w:tcPr>
          <w:p>
            <w:pPr>
              <w:spacing w:after="0"/>
              <w:rPr>
                <w:sz w:val="20"/>
                <w:szCs w:val="20"/>
                <w:color w:val="auto"/>
              </w:rPr>
            </w:pPr>
            <w:r>
              <w:rPr>
                <w:rFonts w:ascii="Arial" w:cs="Arial" w:eastAsia="Arial" w:hAnsi="Arial"/>
                <w:sz w:val="16"/>
                <w:szCs w:val="16"/>
                <w:color w:val="auto"/>
              </w:rPr>
              <w:t>Revenues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329,849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577,642</w:t>
            </w:r>
          </w:p>
        </w:tc>
      </w:tr>
      <w:tr>
        <w:trPr>
          <w:trHeight w:val="19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219,366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394,489</w:t>
            </w:r>
          </w:p>
        </w:tc>
      </w:tr>
      <w:tr>
        <w:trPr>
          <w:trHeight w:val="191"/>
        </w:trPr>
        <w:tc>
          <w:tcPr>
            <w:tcW w:w="818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110,483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183,153</w:t>
            </w:r>
          </w:p>
        </w:tc>
      </w:tr>
      <w:tr>
        <w:trPr>
          <w:trHeight w:val="19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(34,208)</w:t>
            </w:r>
          </w:p>
        </w:tc>
      </w:tr>
      <w:tr>
        <w:trPr>
          <w:trHeight w:val="199"/>
        </w:trPr>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Tax provision</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(8,189)</w:t>
            </w:r>
          </w:p>
        </w:tc>
      </w:tr>
      <w:tr>
        <w:trPr>
          <w:trHeight w:val="216"/>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Non-GAAP Financial Measures</w:t>
      </w:r>
    </w:p>
    <w:p>
      <w:pPr>
        <w:spacing w:after="0" w:line="97" w:lineRule="exact"/>
        <w:rPr>
          <w:sz w:val="20"/>
          <w:szCs w:val="20"/>
          <w:color w:val="auto"/>
        </w:rPr>
      </w:pPr>
    </w:p>
    <w:p>
      <w:pPr>
        <w:ind w:right="140" w:firstLine="387"/>
        <w:spacing w:after="0" w:line="327" w:lineRule="auto"/>
        <w:rPr>
          <w:sz w:val="20"/>
          <w:szCs w:val="20"/>
          <w:color w:val="auto"/>
        </w:rPr>
      </w:pPr>
      <w:r>
        <w:rPr>
          <w:rFonts w:ascii="Arial" w:cs="Arial" w:eastAsia="Arial" w:hAnsi="Arial"/>
          <w:sz w:val="13"/>
          <w:szCs w:val="13"/>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29" w:lineRule="exact"/>
        <w:rPr>
          <w:sz w:val="20"/>
          <w:szCs w:val="20"/>
          <w:color w:val="auto"/>
        </w:rPr>
      </w:pPr>
    </w:p>
    <w:p>
      <w:pPr>
        <w:ind w:right="40" w:firstLine="387"/>
        <w:spacing w:after="0" w:line="251" w:lineRule="auto"/>
        <w:rPr>
          <w:sz w:val="20"/>
          <w:szCs w:val="20"/>
          <w:color w:val="auto"/>
        </w:rPr>
      </w:pPr>
      <w:r>
        <w:rPr>
          <w:rFonts w:ascii="Arial" w:cs="Arial" w:eastAsia="Arial" w:hAnsi="Arial"/>
          <w:sz w:val="16"/>
          <w:szCs w:val="16"/>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4" w:lineRule="exact"/>
        <w:rPr>
          <w:sz w:val="20"/>
          <w:szCs w:val="20"/>
          <w:color w:val="auto"/>
        </w:rPr>
      </w:pPr>
    </w:p>
    <w:p>
      <w:pPr>
        <w:ind w:right="100" w:firstLine="387"/>
        <w:spacing w:after="0" w:line="273" w:lineRule="auto"/>
        <w:rPr>
          <w:sz w:val="20"/>
          <w:szCs w:val="20"/>
          <w:color w:val="auto"/>
        </w:rPr>
      </w:pPr>
      <w:r>
        <w:rPr>
          <w:rFonts w:ascii="Arial" w:cs="Arial" w:eastAsia="Arial" w:hAnsi="Arial"/>
          <w:sz w:val="15"/>
          <w:szCs w:val="15"/>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0" w:firstLine="387"/>
        <w:spacing w:after="0" w:line="264" w:lineRule="auto"/>
        <w:rPr>
          <w:sz w:val="20"/>
          <w:szCs w:val="20"/>
          <w:color w:val="auto"/>
        </w:rPr>
      </w:pPr>
      <w:r>
        <w:rPr>
          <w:rFonts w:ascii="Arial" w:cs="Arial" w:eastAsia="Arial" w:hAnsi="Arial"/>
          <w:sz w:val="16"/>
          <w:szCs w:val="16"/>
          <w:color w:val="auto"/>
        </w:rPr>
        <w:t>The following table presents our calculation of Adjusted EBITDA and the reconciliation of Adjusted EBITDA to the GAAP financial measures of net income and net cash provided by operating activities,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center"/>
              <w:ind w:left="346"/>
              <w:spacing w:after="0"/>
              <w:rPr>
                <w:sz w:val="20"/>
                <w:szCs w:val="20"/>
                <w:color w:val="auto"/>
              </w:rPr>
            </w:pPr>
            <w:r>
              <w:rPr>
                <w:rFonts w:ascii="Arial" w:cs="Arial" w:eastAsia="Arial" w:hAnsi="Arial"/>
                <w:sz w:val="12"/>
                <w:szCs w:val="12"/>
                <w:b w:val="1"/>
                <w:bCs w:val="1"/>
                <w:color w:val="auto"/>
                <w:w w:val="96"/>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left="386"/>
              <w:spacing w:after="0"/>
              <w:rPr>
                <w:sz w:val="20"/>
                <w:szCs w:val="20"/>
                <w:color w:val="auto"/>
              </w:rPr>
            </w:pPr>
            <w:r>
              <w:rPr>
                <w:rFonts w:ascii="Arial" w:cs="Arial" w:eastAsia="Arial" w:hAnsi="Arial"/>
                <w:sz w:val="12"/>
                <w:szCs w:val="12"/>
                <w:b w:val="1"/>
                <w:bCs w:val="1"/>
                <w:color w:val="auto"/>
                <w:w w:val="94"/>
              </w:rPr>
              <w:t>Six Months Ended</w:t>
            </w:r>
          </w:p>
        </w:tc>
        <w:tc>
          <w:tcPr>
            <w:tcW w:w="800" w:type="dxa"/>
            <w:vAlign w:val="bottom"/>
          </w:tcPr>
          <w:p>
            <w:pPr>
              <w:spacing w:after="0"/>
              <w:rPr>
                <w:sz w:val="12"/>
                <w:szCs w:val="12"/>
                <w:color w:val="auto"/>
              </w:rPr>
            </w:pPr>
          </w:p>
        </w:tc>
      </w:tr>
      <w:tr>
        <w:trPr>
          <w:trHeight w:val="161"/>
        </w:trPr>
        <w:tc>
          <w:tcPr>
            <w:tcW w:w="5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386"/>
              <w:spacing w:after="0"/>
              <w:rPr>
                <w:sz w:val="20"/>
                <w:szCs w:val="20"/>
                <w:color w:val="auto"/>
              </w:rPr>
            </w:pPr>
            <w:r>
              <w:rPr>
                <w:rFonts w:ascii="Arial" w:cs="Arial" w:eastAsia="Arial" w:hAnsi="Arial"/>
                <w:sz w:val="12"/>
                <w:szCs w:val="12"/>
                <w:b w:val="1"/>
                <w:bCs w:val="1"/>
                <w:color w:val="auto"/>
                <w:w w:val="95"/>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06"/>
              <w:spacing w:after="0"/>
              <w:rPr>
                <w:sz w:val="20"/>
                <w:szCs w:val="20"/>
                <w:color w:val="auto"/>
              </w:rPr>
            </w:pPr>
            <w:r>
              <w:rPr>
                <w:rFonts w:ascii="Arial" w:cs="Arial" w:eastAsia="Arial" w:hAnsi="Arial"/>
                <w:sz w:val="12"/>
                <w:szCs w:val="12"/>
                <w:b w:val="1"/>
                <w:bCs w:val="1"/>
                <w:color w:val="auto"/>
                <w:w w:val="91"/>
              </w:rPr>
              <w:t>June 30,</w:t>
            </w:r>
          </w:p>
        </w:tc>
        <w:tc>
          <w:tcPr>
            <w:tcW w:w="800" w:type="dxa"/>
            <w:vAlign w:val="bottom"/>
            <w:tcBorders>
              <w:bottom w:val="single" w:sz="8" w:color="auto"/>
            </w:tcBorders>
          </w:tcPr>
          <w:p>
            <w:pPr>
              <w:spacing w:after="0"/>
              <w:rPr>
                <w:sz w:val="14"/>
                <w:szCs w:val="14"/>
                <w:color w:val="auto"/>
              </w:rPr>
            </w:pPr>
          </w:p>
        </w:tc>
      </w:tr>
      <w:tr>
        <w:trPr>
          <w:trHeight w:val="157"/>
        </w:trPr>
        <w:tc>
          <w:tcPr>
            <w:tcW w:w="59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2020</w:t>
            </w:r>
          </w:p>
        </w:tc>
      </w:tr>
      <w:tr>
        <w:trPr>
          <w:trHeight w:val="134"/>
        </w:trPr>
        <w:tc>
          <w:tcPr>
            <w:tcW w:w="5920" w:type="dxa"/>
            <w:vAlign w:val="bottom"/>
            <w:shd w:val="clear" w:color="auto" w:fill="CCEEFF"/>
          </w:tcPr>
          <w:p>
            <w:pPr>
              <w:spacing w:after="0" w:line="134" w:lineRule="exact"/>
              <w:rPr>
                <w:sz w:val="20"/>
                <w:szCs w:val="20"/>
                <w:color w:val="auto"/>
              </w:rPr>
            </w:pPr>
            <w:r>
              <w:rPr>
                <w:rFonts w:ascii="Arial" w:cs="Arial" w:eastAsia="Arial" w:hAnsi="Arial"/>
                <w:sz w:val="15"/>
                <w:szCs w:val="15"/>
                <w:b w:val="1"/>
                <w:bCs w:val="1"/>
                <w:color w:val="auto"/>
              </w:rPr>
              <w:t>Unaudited Adjusted EBITDA Reconciliation to</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99"/>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Net income (loss) attributable to Matador Resources Company shareholders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105,905</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(353,416)</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166,550</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(227,687)</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 in subsidiaries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16,827</w:t>
            </w:r>
          </w:p>
        </w:tc>
      </w:tr>
      <w:tr>
        <w:trPr>
          <w:trHeight w:val="191"/>
        </w:trPr>
        <w:tc>
          <w:tcPr>
            <w:tcW w:w="5920" w:type="dxa"/>
            <w:vAlign w:val="bottom"/>
          </w:tcPr>
          <w:p>
            <w:pPr>
              <w:ind w:left="120"/>
              <w:spacing w:after="0" w:line="179" w:lineRule="exact"/>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121,831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(345,943)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191,329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(210,860)</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38,109</w:t>
            </w: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Total income tax provision (benefit)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5,349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(109,823)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(69,866)</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Depletion, depreciation and amortization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184,057</w:t>
            </w: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Accretion of asset retirement obligations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Full-cost ceiling impairment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324,001</w:t>
            </w: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Unrealized loss (gain) on derivatives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42,804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132,668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(3,762)</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Non-cash stock-based compensation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w:t>
            </w: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Net loss on asset sales and impairment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2,632</w:t>
            </w:r>
          </w:p>
        </w:tc>
      </w:tr>
      <w:tr>
        <w:trPr>
          <w:trHeight w:val="191"/>
        </w:trPr>
        <w:tc>
          <w:tcPr>
            <w:tcW w:w="5920" w:type="dxa"/>
            <w:vAlign w:val="bottom"/>
            <w:tcBorders>
              <w:top w:val="single" w:sz="8" w:color="CCEEFF"/>
            </w:tcBorders>
            <w:shd w:val="clear" w:color="auto" w:fill="CCEEFF"/>
          </w:tcPr>
          <w:p>
            <w:pPr>
              <w:ind w:left="120"/>
              <w:spacing w:after="0" w:line="179" w:lineRule="exact"/>
              <w:rPr>
                <w:sz w:val="20"/>
                <w:szCs w:val="20"/>
                <w:color w:val="auto"/>
              </w:rPr>
            </w:pPr>
            <w:r>
              <w:rPr>
                <w:rFonts w:ascii="Arial" w:cs="Arial" w:eastAsia="Arial" w:hAnsi="Arial"/>
                <w:sz w:val="16"/>
                <w:szCs w:val="16"/>
                <w:color w:val="auto"/>
              </w:rPr>
              <w:t>Consolidated Adjusted EBITDA</w:t>
            </w: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281,674</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118,963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493,303</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272,362</w:t>
            </w:r>
          </w:p>
        </w:tc>
      </w:tr>
      <w:tr>
        <w:trPr>
          <w:trHeight w:val="199"/>
        </w:trPr>
        <w:tc>
          <w:tcPr>
            <w:tcW w:w="5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Adjusted EBITDA attributable to non-controlling interest in subsidiaries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(24,192)</w:t>
            </w:r>
          </w:p>
        </w:tc>
      </w:tr>
      <w:tr>
        <w:trPr>
          <w:trHeight w:val="216"/>
        </w:trPr>
        <w:tc>
          <w:tcPr>
            <w:tcW w:w="5920" w:type="dxa"/>
            <w:vAlign w:val="bottom"/>
            <w:tcBorders>
              <w:bottom w:val="single" w:sz="8" w:color="CCEEFF"/>
            </w:tcBorders>
            <w:shd w:val="clear" w:color="auto" w:fill="CCEEFF"/>
          </w:tcPr>
          <w:p>
            <w:pPr>
              <w:ind w:left="120"/>
              <w:spacing w:after="0" w:line="179" w:lineRule="exact"/>
              <w:rPr>
                <w:sz w:val="20"/>
                <w:szCs w:val="20"/>
                <w:color w:val="auto"/>
              </w:rPr>
            </w:pPr>
            <w:r>
              <w:rPr>
                <w:rFonts w:ascii="Arial" w:cs="Arial" w:eastAsia="Arial" w:hAnsi="Arial"/>
                <w:sz w:val="16"/>
                <w:szCs w:val="16"/>
                <w:color w:val="auto"/>
              </w:rPr>
              <w:t>Adjusted EBITDA attributable to Matador Resources Company shareholders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260,966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459,081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248,170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72"/>
        </w:trPr>
        <w:tc>
          <w:tcPr>
            <w:tcW w:w="5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3"/>
          </w:tcPr>
          <w:p>
            <w:pPr>
              <w:jc w:val="center"/>
              <w:ind w:left="346"/>
              <w:spacing w:after="0"/>
              <w:rPr>
                <w:sz w:val="20"/>
                <w:szCs w:val="20"/>
                <w:color w:val="auto"/>
              </w:rPr>
            </w:pPr>
            <w:r>
              <w:rPr>
                <w:rFonts w:ascii="Arial" w:cs="Arial" w:eastAsia="Arial" w:hAnsi="Arial"/>
                <w:sz w:val="12"/>
                <w:szCs w:val="12"/>
                <w:b w:val="1"/>
                <w:bCs w:val="1"/>
                <w:color w:val="auto"/>
                <w:w w:val="96"/>
              </w:rPr>
              <w:t>Three Months Ended</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3"/>
          </w:tcPr>
          <w:p>
            <w:pPr>
              <w:jc w:val="center"/>
              <w:ind w:left="386"/>
              <w:spacing w:after="0"/>
              <w:rPr>
                <w:sz w:val="20"/>
                <w:szCs w:val="20"/>
                <w:color w:val="auto"/>
              </w:rPr>
            </w:pPr>
            <w:r>
              <w:rPr>
                <w:rFonts w:ascii="Arial" w:cs="Arial" w:eastAsia="Arial" w:hAnsi="Arial"/>
                <w:sz w:val="12"/>
                <w:szCs w:val="12"/>
                <w:b w:val="1"/>
                <w:bCs w:val="1"/>
                <w:color w:val="auto"/>
                <w:w w:val="94"/>
              </w:rPr>
              <w:t>Six Months Ended</w:t>
            </w:r>
          </w:p>
        </w:tc>
        <w:tc>
          <w:tcPr>
            <w:tcW w:w="800" w:type="dxa"/>
            <w:vAlign w:val="bottom"/>
          </w:tcPr>
          <w:p>
            <w:pPr>
              <w:spacing w:after="0"/>
              <w:rPr>
                <w:sz w:val="23"/>
                <w:szCs w:val="23"/>
                <w:color w:val="auto"/>
              </w:rPr>
            </w:pPr>
          </w:p>
        </w:tc>
      </w:tr>
      <w:tr>
        <w:trPr>
          <w:trHeight w:val="161"/>
        </w:trPr>
        <w:tc>
          <w:tcPr>
            <w:tcW w:w="5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386"/>
              <w:spacing w:after="0"/>
              <w:rPr>
                <w:sz w:val="20"/>
                <w:szCs w:val="20"/>
                <w:color w:val="auto"/>
              </w:rPr>
            </w:pPr>
            <w:r>
              <w:rPr>
                <w:rFonts w:ascii="Arial" w:cs="Arial" w:eastAsia="Arial" w:hAnsi="Arial"/>
                <w:sz w:val="12"/>
                <w:szCs w:val="12"/>
                <w:b w:val="1"/>
                <w:bCs w:val="1"/>
                <w:color w:val="auto"/>
                <w:w w:val="95"/>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06"/>
              <w:spacing w:after="0"/>
              <w:rPr>
                <w:sz w:val="20"/>
                <w:szCs w:val="20"/>
                <w:color w:val="auto"/>
              </w:rPr>
            </w:pPr>
            <w:r>
              <w:rPr>
                <w:rFonts w:ascii="Arial" w:cs="Arial" w:eastAsia="Arial" w:hAnsi="Arial"/>
                <w:sz w:val="12"/>
                <w:szCs w:val="12"/>
                <w:b w:val="1"/>
                <w:bCs w:val="1"/>
                <w:color w:val="auto"/>
                <w:w w:val="91"/>
              </w:rPr>
              <w:t>June 30,</w:t>
            </w:r>
          </w:p>
        </w:tc>
        <w:tc>
          <w:tcPr>
            <w:tcW w:w="800" w:type="dxa"/>
            <w:vAlign w:val="bottom"/>
            <w:tcBorders>
              <w:bottom w:val="single" w:sz="8" w:color="auto"/>
            </w:tcBorders>
          </w:tcPr>
          <w:p>
            <w:pPr>
              <w:spacing w:after="0"/>
              <w:rPr>
                <w:sz w:val="14"/>
                <w:szCs w:val="14"/>
                <w:color w:val="auto"/>
              </w:rPr>
            </w:pPr>
          </w:p>
        </w:tc>
      </w:tr>
      <w:tr>
        <w:trPr>
          <w:trHeight w:val="157"/>
        </w:trPr>
        <w:tc>
          <w:tcPr>
            <w:tcW w:w="59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2020</w:t>
            </w:r>
          </w:p>
        </w:tc>
      </w:tr>
      <w:tr>
        <w:trPr>
          <w:trHeight w:val="134"/>
        </w:trPr>
        <w:tc>
          <w:tcPr>
            <w:tcW w:w="5920" w:type="dxa"/>
            <w:vAlign w:val="bottom"/>
            <w:shd w:val="clear" w:color="auto" w:fill="CCEEFF"/>
          </w:tcPr>
          <w:p>
            <w:pPr>
              <w:spacing w:after="0" w:line="134" w:lineRule="exact"/>
              <w:rPr>
                <w:sz w:val="20"/>
                <w:szCs w:val="20"/>
                <w:color w:val="auto"/>
              </w:rPr>
            </w:pPr>
            <w:r>
              <w:rPr>
                <w:rFonts w:ascii="Arial" w:cs="Arial" w:eastAsia="Arial" w:hAnsi="Arial"/>
                <w:sz w:val="15"/>
                <w:szCs w:val="15"/>
                <w:b w:val="1"/>
                <w:bCs w:val="1"/>
                <w:color w:val="auto"/>
              </w:rPr>
              <w:t>Unaudited Adjusted EBITDA Reconciliation to Net Cash Provided by Operating</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99"/>
        </w:trPr>
        <w:tc>
          <w:tcPr>
            <w:tcW w:w="5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Activities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258,200</w:t>
            </w:r>
          </w:p>
        </w:tc>
        <w:tc>
          <w:tcPr>
            <w:tcW w:w="10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101,013</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427,595</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210,385</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Net change in operating assets and liabilities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25,267</w:t>
            </w:r>
          </w:p>
        </w:tc>
      </w:tr>
      <w:tr>
        <w:trPr>
          <w:trHeight w:val="199"/>
        </w:trPr>
        <w:tc>
          <w:tcPr>
            <w:tcW w:w="5920" w:type="dxa"/>
            <w:vAlign w:val="bottom"/>
          </w:tcPr>
          <w:p>
            <w:pPr>
              <w:spacing w:after="0"/>
              <w:rPr>
                <w:sz w:val="20"/>
                <w:szCs w:val="20"/>
                <w:color w:val="auto"/>
              </w:rPr>
            </w:pPr>
            <w:r>
              <w:rPr>
                <w:rFonts w:ascii="Arial" w:cs="Arial" w:eastAsia="Arial" w:hAnsi="Arial"/>
                <w:sz w:val="16"/>
                <w:szCs w:val="16"/>
                <w:color w:val="auto"/>
              </w:rPr>
              <w:t>Interest expense, net of non-cash portion</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17,009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35,935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36,710</w:t>
            </w:r>
          </w:p>
        </w:tc>
      </w:tr>
      <w:tr>
        <w:trPr>
          <w:trHeight w:val="19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 attributable to non-controlling interest in subsidiaries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w:t>
            </w:r>
          </w:p>
        </w:tc>
      </w:tr>
      <w:tr>
        <w:trPr>
          <w:trHeight w:val="191"/>
        </w:trPr>
        <w:tc>
          <w:tcPr>
            <w:tcW w:w="5920" w:type="dxa"/>
            <w:vAlign w:val="bottom"/>
          </w:tcPr>
          <w:p>
            <w:pPr>
              <w:ind w:left="120"/>
              <w:spacing w:after="0" w:line="179" w:lineRule="exact"/>
              <w:rPr>
                <w:sz w:val="20"/>
                <w:szCs w:val="20"/>
                <w:color w:val="auto"/>
              </w:rPr>
            </w:pPr>
            <w:r>
              <w:rPr>
                <w:rFonts w:ascii="Arial" w:cs="Arial" w:eastAsia="Arial" w:hAnsi="Arial"/>
                <w:sz w:val="16"/>
                <w:szCs w:val="16"/>
                <w:color w:val="auto"/>
              </w:rPr>
              <w:t>Adjusted EBITDA attributable to Matador Resources Company shareholders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260,966</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107,594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459,081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248,170</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60" w:firstLine="387"/>
        <w:spacing w:after="0" w:line="270" w:lineRule="auto"/>
        <w:rPr>
          <w:sz w:val="20"/>
          <w:szCs w:val="20"/>
          <w:color w:val="auto"/>
        </w:rPr>
      </w:pPr>
      <w:r>
        <w:rPr>
          <w:rFonts w:ascii="Arial" w:cs="Arial" w:eastAsia="Arial" w:hAnsi="Arial"/>
          <w:sz w:val="15"/>
          <w:szCs w:val="15"/>
          <w:color w:val="auto"/>
        </w:rPr>
        <w:t>For the three months ended June 30, 2021, we reported net income attributable to Matador shareholders of $105.9 million, as compared to a net loss attributable to Matador shareholders of $353.4 million for the three months ended June 30, 2020. This change in net income attributable to Matador shareholders primarily resulted from (i) the $324.0 million full-cost ceiling impairment recorded for the three months ended June 30, 2020, (ii) higher oil and natural gas production and higher realized oil and natural gas prices for the three months ended June 30, 2021, as compared to the three months ended June 30, 2020, and (iii) an unrealized loss on derivatives of $42.8 million for the three months ended June 30, 2021, as compared to an unrealized loss on derivatives of $132.7 million for the three months ended June 30, 2020.</w:t>
      </w:r>
    </w:p>
    <w:p>
      <w:pPr>
        <w:spacing w:after="0" w:line="61" w:lineRule="exact"/>
        <w:rPr>
          <w:sz w:val="20"/>
          <w:szCs w:val="20"/>
          <w:color w:val="auto"/>
        </w:rPr>
      </w:pPr>
    </w:p>
    <w:p>
      <w:pPr>
        <w:ind w:right="60" w:firstLine="387"/>
        <w:spacing w:after="0" w:line="320" w:lineRule="auto"/>
        <w:rPr>
          <w:sz w:val="20"/>
          <w:szCs w:val="20"/>
          <w:color w:val="auto"/>
        </w:rPr>
      </w:pPr>
      <w:r>
        <w:rPr>
          <w:rFonts w:ascii="Arial" w:cs="Arial" w:eastAsia="Arial" w:hAnsi="Arial"/>
          <w:sz w:val="13"/>
          <w:szCs w:val="13"/>
          <w:color w:val="auto"/>
        </w:rPr>
        <w:t>For the six months ended June 30, 2021, we reported net income attributable to Matador shareholders of $166.6 million, as compared to a net loss attributable to Matador shareholders of $227.7 million for the six months ended June 30, 2020. This change in net income attributable to Matador shareholders primarily resulted from the $324.0 million full-cost ceiling impairment recorded for the six months ended June 30, 2020 and was also the result of higher oil and natural gas production and higher realized oil and natural gas prices for the six months ended June 30, 2021, as compared to the six months ended June 30, 2020. This increase was partially offset by an unrealized loss on derivatives of $86.2 million for the six months ended June 30, 2021, as compared to an unrealized gain on derivatives of $3.8 million for the six months ended June 30, 2020.</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6" w:name="page37"/>
    <w:bookmarkEnd w:id="36"/>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right="80" w:firstLine="387"/>
        <w:spacing w:after="0" w:line="254" w:lineRule="auto"/>
        <w:rPr>
          <w:sz w:val="20"/>
          <w:szCs w:val="20"/>
          <w:color w:val="auto"/>
        </w:rPr>
      </w:pPr>
      <w:r>
        <w:rPr>
          <w:rFonts w:ascii="Arial" w:cs="Arial" w:eastAsia="Arial" w:hAnsi="Arial"/>
          <w:sz w:val="16"/>
          <w:szCs w:val="16"/>
          <w:color w:val="auto"/>
        </w:rPr>
        <w:t>Adjusted EBITDA, a non-GAAP financial measure, increased $153.4 million to $261.0 million for the three months ended June 30, 2021, as compared to $107.6 million for the three months ended June 30, 2020. This increase is primarily attributable to higher oil and natural gas production and higher realized oil and natural gas prices for the three months ended June 30, 2021, as compared to the three months ended June 30, 2020.</w:t>
      </w:r>
    </w:p>
    <w:p>
      <w:pPr>
        <w:spacing w:after="0" w:line="72" w:lineRule="exact"/>
        <w:rPr>
          <w:sz w:val="20"/>
          <w:szCs w:val="20"/>
          <w:color w:val="auto"/>
        </w:rPr>
      </w:pPr>
    </w:p>
    <w:p>
      <w:pPr>
        <w:ind w:left="6" w:right="100" w:firstLine="387"/>
        <w:spacing w:after="0" w:line="254" w:lineRule="auto"/>
        <w:rPr>
          <w:sz w:val="20"/>
          <w:szCs w:val="20"/>
          <w:color w:val="auto"/>
        </w:rPr>
      </w:pPr>
      <w:r>
        <w:rPr>
          <w:rFonts w:ascii="Arial" w:cs="Arial" w:eastAsia="Arial" w:hAnsi="Arial"/>
          <w:sz w:val="16"/>
          <w:szCs w:val="16"/>
          <w:color w:val="auto"/>
        </w:rPr>
        <w:t>Adjusted EBITDA, a non-GAAP financial measure, increased $210.9 million to $459.1 million for the six months ended June 30, 2021, as compared to $248.2 million for the six months ended June 30, 2020. This increase is primarily attributable to higher oil and natural gas production and higher realized oil and natural gas prices for the six months ended June 30, 2021, as compared to the six months ended June 30, 2020.</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Off-Balance Sheet Arrangements</w:t>
      </w:r>
    </w:p>
    <w:p>
      <w:pPr>
        <w:spacing w:after="0" w:line="101" w:lineRule="exact"/>
        <w:rPr>
          <w:sz w:val="20"/>
          <w:szCs w:val="20"/>
          <w:color w:val="auto"/>
        </w:rPr>
      </w:pPr>
    </w:p>
    <w:p>
      <w:pPr>
        <w:ind w:left="6" w:right="20" w:firstLine="387"/>
        <w:spacing w:after="0" w:line="312" w:lineRule="auto"/>
        <w:rPr>
          <w:sz w:val="20"/>
          <w:szCs w:val="20"/>
          <w:color w:val="auto"/>
        </w:rPr>
      </w:pPr>
      <w:r>
        <w:rPr>
          <w:rFonts w:ascii="Arial" w:cs="Arial" w:eastAsia="Arial" w:hAnsi="Arial"/>
          <w:sz w:val="13"/>
          <w:szCs w:val="13"/>
          <w:color w:val="auto"/>
        </w:rPr>
        <w:t>From time-to-time, we enter into off-balance sheet arrangements and transactions that can give rise to material off-balance sheet obligations. As of June 30, 2021,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Obligations and Commitments</w:t>
      </w:r>
    </w:p>
    <w:p>
      <w:pPr>
        <w:spacing w:after="0" w:line="10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We had the following material contractual obligations and commitments at June 30, 2021.</w:t>
      </w:r>
    </w:p>
    <w:p>
      <w:pPr>
        <w:spacing w:after="0" w:line="137" w:lineRule="exact"/>
        <w:rPr>
          <w:sz w:val="20"/>
          <w:szCs w:val="20"/>
          <w:color w:val="auto"/>
        </w:rPr>
      </w:pPr>
    </w:p>
    <w:tbl>
      <w:tblPr>
        <w:tblLayout w:type="fixed"/>
        <w:tblInd w:w="6"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3"/>
              </w:rPr>
              <w:t>Payments Due by Period</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jc w:val="center"/>
              <w:ind w:right="166"/>
              <w:spacing w:after="0" w:line="114" w:lineRule="exact"/>
              <w:rPr>
                <w:sz w:val="20"/>
                <w:szCs w:val="20"/>
                <w:color w:val="auto"/>
              </w:rPr>
            </w:pPr>
            <w:r>
              <w:rPr>
                <w:rFonts w:ascii="Arial" w:cs="Arial" w:eastAsia="Arial" w:hAnsi="Arial"/>
                <w:sz w:val="12"/>
                <w:szCs w:val="12"/>
                <w:b w:val="1"/>
                <w:bCs w:val="1"/>
                <w:color w:val="auto"/>
                <w:w w:val="87"/>
              </w:rPr>
              <w:t>Less</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center"/>
              <w:ind w:right="205"/>
              <w:spacing w:after="0"/>
              <w:rPr>
                <w:sz w:val="20"/>
                <w:szCs w:val="20"/>
                <w:color w:val="auto"/>
              </w:rPr>
            </w:pPr>
            <w:r>
              <w:rPr>
                <w:rFonts w:ascii="Arial" w:cs="Arial" w:eastAsia="Arial" w:hAnsi="Arial"/>
                <w:sz w:val="12"/>
                <w:szCs w:val="12"/>
                <w:b w:val="1"/>
                <w:bCs w:val="1"/>
                <w:color w:val="auto"/>
                <w:w w:val="99"/>
              </w:rPr>
              <w:t>1 - 3</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385"/>
              <w:spacing w:after="0"/>
              <w:rPr>
                <w:sz w:val="20"/>
                <w:szCs w:val="20"/>
                <w:color w:val="auto"/>
              </w:rPr>
            </w:pPr>
            <w:r>
              <w:rPr>
                <w:rFonts w:ascii="Arial" w:cs="Arial" w:eastAsia="Arial" w:hAnsi="Arial"/>
                <w:sz w:val="12"/>
                <w:szCs w:val="12"/>
                <w:b w:val="1"/>
                <w:bCs w:val="1"/>
                <w:color w:val="auto"/>
              </w:rPr>
              <w:t>3 - 5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jc w:val="center"/>
              <w:ind w:right="166"/>
              <w:spacing w:after="0" w:line="114" w:lineRule="exact"/>
              <w:rPr>
                <w:sz w:val="20"/>
                <w:szCs w:val="20"/>
                <w:color w:val="auto"/>
              </w:rPr>
            </w:pPr>
            <w:r>
              <w:rPr>
                <w:rFonts w:ascii="Arial" w:cs="Arial" w:eastAsia="Arial" w:hAnsi="Arial"/>
                <w:sz w:val="12"/>
                <w:szCs w:val="12"/>
                <w:b w:val="1"/>
                <w:bCs w:val="1"/>
                <w:color w:val="auto"/>
              </w:rPr>
              <w:t>More</w:t>
            </w:r>
          </w:p>
        </w:tc>
        <w:tc>
          <w:tcPr>
            <w:tcW w:w="0" w:type="dxa"/>
            <w:vAlign w:val="bottom"/>
          </w:tcPr>
          <w:p>
            <w:pPr>
              <w:spacing w:after="0"/>
              <w:rPr>
                <w:sz w:val="1"/>
                <w:szCs w:val="1"/>
                <w:color w:val="auto"/>
              </w:rPr>
            </w:pPr>
          </w:p>
        </w:tc>
      </w:tr>
      <w:tr>
        <w:trPr>
          <w:trHeight w:val="117"/>
        </w:trPr>
        <w:tc>
          <w:tcPr>
            <w:tcW w:w="514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8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880" w:type="dxa"/>
            <w:vAlign w:val="bottom"/>
          </w:tcPr>
          <w:p>
            <w:pPr>
              <w:jc w:val="center"/>
              <w:ind w:right="166"/>
              <w:spacing w:after="0" w:line="117" w:lineRule="exact"/>
              <w:rPr>
                <w:sz w:val="20"/>
                <w:szCs w:val="20"/>
                <w:color w:val="auto"/>
              </w:rPr>
            </w:pPr>
            <w:r>
              <w:rPr>
                <w:rFonts w:ascii="Arial" w:cs="Arial" w:eastAsia="Arial" w:hAnsi="Arial"/>
                <w:sz w:val="12"/>
                <w:szCs w:val="12"/>
                <w:b w:val="1"/>
                <w:bCs w:val="1"/>
                <w:color w:val="auto"/>
                <w:w w:val="97"/>
              </w:rPr>
              <w:t>Than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86"/>
              <w:spacing w:after="0" w:line="117" w:lineRule="exact"/>
              <w:rPr>
                <w:sz w:val="20"/>
                <w:szCs w:val="20"/>
                <w:color w:val="auto"/>
              </w:rPr>
            </w:pPr>
            <w:r>
              <w:rPr>
                <w:rFonts w:ascii="Arial" w:cs="Arial" w:eastAsia="Arial" w:hAnsi="Arial"/>
                <w:sz w:val="12"/>
                <w:szCs w:val="12"/>
                <w:b w:val="1"/>
                <w:bCs w:val="1"/>
                <w:color w:val="auto"/>
                <w:w w:val="97"/>
              </w:rPr>
              <w:t>Than</w:t>
            </w:r>
          </w:p>
        </w:tc>
        <w:tc>
          <w:tcPr>
            <w:tcW w:w="0" w:type="dxa"/>
            <w:vAlign w:val="bottom"/>
          </w:tcPr>
          <w:p>
            <w:pPr>
              <w:spacing w:after="0"/>
              <w:rPr>
                <w:sz w:val="1"/>
                <w:szCs w:val="1"/>
                <w:color w:val="auto"/>
              </w:rPr>
            </w:pPr>
          </w:p>
        </w:tc>
      </w:tr>
      <w:tr>
        <w:trPr>
          <w:trHeight w:val="163"/>
        </w:trPr>
        <w:tc>
          <w:tcPr>
            <w:tcW w:w="5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66"/>
              <w:spacing w:after="0"/>
              <w:rPr>
                <w:sz w:val="20"/>
                <w:szCs w:val="20"/>
                <w:color w:val="auto"/>
              </w:rPr>
            </w:pPr>
            <w:r>
              <w:rPr>
                <w:rFonts w:ascii="Arial" w:cs="Arial" w:eastAsia="Arial" w:hAnsi="Arial"/>
                <w:sz w:val="12"/>
                <w:szCs w:val="12"/>
                <w:b w:val="1"/>
                <w:bCs w:val="1"/>
                <w:color w:val="auto"/>
                <w:w w:val="99"/>
              </w:rPr>
              <w:t>1 Year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Years</w:t>
            </w:r>
          </w:p>
        </w:tc>
        <w:tc>
          <w:tcPr>
            <w:tcW w:w="2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Years</w:t>
            </w:r>
          </w:p>
        </w:tc>
        <w:tc>
          <w:tcPr>
            <w:tcW w:w="240" w:type="dxa"/>
            <w:vAlign w:val="bottom"/>
          </w:tcPr>
          <w:p>
            <w:pPr>
              <w:spacing w:after="0"/>
              <w:rPr>
                <w:sz w:val="14"/>
                <w:szCs w:val="14"/>
                <w:color w:val="auto"/>
              </w:rPr>
            </w:pPr>
          </w:p>
        </w:tc>
        <w:tc>
          <w:tcPr>
            <w:tcW w:w="900" w:type="dxa"/>
            <w:vAlign w:val="bottom"/>
          </w:tcPr>
          <w:p>
            <w:pPr>
              <w:jc w:val="center"/>
              <w:ind w:right="166"/>
              <w:spacing w:after="0"/>
              <w:rPr>
                <w:sz w:val="20"/>
                <w:szCs w:val="20"/>
                <w:color w:val="auto"/>
              </w:rPr>
            </w:pPr>
            <w:r>
              <w:rPr>
                <w:rFonts w:ascii="Arial" w:cs="Arial" w:eastAsia="Arial" w:hAnsi="Arial"/>
                <w:sz w:val="12"/>
                <w:szCs w:val="12"/>
                <w:b w:val="1"/>
                <w:bCs w:val="1"/>
                <w:color w:val="auto"/>
                <w:w w:val="88"/>
              </w:rPr>
              <w:t>5 Years</w:t>
            </w:r>
          </w:p>
        </w:tc>
        <w:tc>
          <w:tcPr>
            <w:tcW w:w="0" w:type="dxa"/>
            <w:vAlign w:val="bottom"/>
          </w:tcPr>
          <w:p>
            <w:pPr>
              <w:spacing w:after="0"/>
              <w:rPr>
                <w:sz w:val="1"/>
                <w:szCs w:val="1"/>
                <w:color w:val="auto"/>
              </w:rPr>
            </w:pPr>
          </w:p>
        </w:tc>
      </w:tr>
      <w:tr>
        <w:trPr>
          <w:trHeight w:val="181"/>
        </w:trPr>
        <w:tc>
          <w:tcPr>
            <w:tcW w:w="51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140" w:type="dxa"/>
            <w:vAlign w:val="bottom"/>
          </w:tcPr>
          <w:p>
            <w:pPr>
              <w:spacing w:after="0" w:line="199" w:lineRule="exact"/>
              <w:rPr>
                <w:sz w:val="20"/>
                <w:szCs w:val="20"/>
                <w:color w:val="auto"/>
              </w:rPr>
            </w:pPr>
            <w:r>
              <w:rPr>
                <w:rFonts w:ascii="Arial" w:cs="Arial" w:eastAsia="Arial" w:hAnsi="Arial"/>
                <w:sz w:val="16"/>
                <w:szCs w:val="16"/>
                <w:color w:val="auto"/>
              </w:rPr>
              <w:t>Borrowings, including letters of credit</w:t>
            </w:r>
            <w:r>
              <w:rPr>
                <w:rFonts w:ascii="Arial" w:cs="Arial" w:eastAsia="Arial" w:hAnsi="Arial"/>
                <w:sz w:val="20"/>
                <w:szCs w:val="20"/>
                <w:color w:val="auto"/>
                <w:vertAlign w:val="superscript"/>
              </w:rPr>
              <w:t>(1)</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654,773</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654,773</w:t>
            </w:r>
          </w:p>
        </w:tc>
        <w:tc>
          <w:tcPr>
            <w:tcW w:w="10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Senior unsecured notes</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1,050,000</w:t>
            </w:r>
          </w:p>
        </w:tc>
        <w:tc>
          <w:tcPr>
            <w:tcW w:w="0" w:type="dxa"/>
            <w:vAlign w:val="bottom"/>
          </w:tcPr>
          <w:p>
            <w:pPr>
              <w:spacing w:after="0"/>
              <w:rPr>
                <w:sz w:val="1"/>
                <w:szCs w:val="1"/>
                <w:color w:val="auto"/>
              </w:rPr>
            </w:pPr>
          </w:p>
        </w:tc>
      </w:tr>
      <w:tr>
        <w:trPr>
          <w:trHeight w:val="199"/>
        </w:trPr>
        <w:tc>
          <w:tcPr>
            <w:tcW w:w="5140" w:type="dxa"/>
            <w:vAlign w:val="bottom"/>
          </w:tcPr>
          <w:p>
            <w:pPr>
              <w:spacing w:after="0"/>
              <w:rPr>
                <w:sz w:val="20"/>
                <w:szCs w:val="20"/>
                <w:color w:val="auto"/>
              </w:rPr>
            </w:pPr>
            <w:r>
              <w:rPr>
                <w:rFonts w:ascii="Arial" w:cs="Arial" w:eastAsia="Arial" w:hAnsi="Arial"/>
                <w:sz w:val="16"/>
                <w:szCs w:val="16"/>
                <w:color w:val="auto"/>
              </w:rPr>
              <w:t>Office leases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8,441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8,010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Non-operated drilling and other capital commitments</w:t>
            </w:r>
            <w:r>
              <w:rPr>
                <w:rFonts w:ascii="Arial" w:cs="Arial" w:eastAsia="Arial" w:hAnsi="Arial"/>
                <w:sz w:val="20"/>
                <w:szCs w:val="20"/>
                <w:color w:val="auto"/>
                <w:vertAlign w:val="superscript"/>
              </w:rPr>
              <w:t>(3)</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19,525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140" w:type="dxa"/>
            <w:vAlign w:val="bottom"/>
          </w:tcPr>
          <w:p>
            <w:pPr>
              <w:spacing w:after="0" w:line="199" w:lineRule="exact"/>
              <w:rPr>
                <w:sz w:val="20"/>
                <w:szCs w:val="20"/>
                <w:color w:val="auto"/>
              </w:rPr>
            </w:pPr>
            <w:r>
              <w:rPr>
                <w:rFonts w:ascii="Arial" w:cs="Arial" w:eastAsia="Arial" w:hAnsi="Arial"/>
                <w:sz w:val="16"/>
                <w:szCs w:val="16"/>
                <w:color w:val="auto"/>
              </w:rPr>
              <w:t>Drilling rig contracts</w:t>
            </w:r>
            <w:r>
              <w:rPr>
                <w:rFonts w:ascii="Arial" w:cs="Arial" w:eastAsia="Arial" w:hAnsi="Arial"/>
                <w:sz w:val="20"/>
                <w:szCs w:val="20"/>
                <w:color w:val="auto"/>
                <w:vertAlign w:val="superscript"/>
              </w:rPr>
              <w:t>(4)</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Asset retirement obligations</w:t>
            </w:r>
            <w:r>
              <w:rPr>
                <w:rFonts w:ascii="Arial" w:cs="Arial" w:eastAsia="Arial" w:hAnsi="Arial"/>
                <w:sz w:val="20"/>
                <w:szCs w:val="20"/>
                <w:color w:val="auto"/>
                <w:vertAlign w:val="superscript"/>
              </w:rPr>
              <w:t>(5)</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33,076</w:t>
            </w:r>
          </w:p>
        </w:tc>
        <w:tc>
          <w:tcPr>
            <w:tcW w:w="0" w:type="dxa"/>
            <w:vAlign w:val="bottom"/>
          </w:tcPr>
          <w:p>
            <w:pPr>
              <w:spacing w:after="0"/>
              <w:rPr>
                <w:sz w:val="1"/>
                <w:szCs w:val="1"/>
                <w:color w:val="auto"/>
              </w:rPr>
            </w:pPr>
          </w:p>
        </w:tc>
      </w:tr>
      <w:tr>
        <w:trPr>
          <w:trHeight w:val="152"/>
        </w:trPr>
        <w:tc>
          <w:tcPr>
            <w:tcW w:w="5140" w:type="dxa"/>
            <w:vAlign w:val="bottom"/>
          </w:tcPr>
          <w:p>
            <w:pPr>
              <w:spacing w:after="0" w:line="152" w:lineRule="exact"/>
              <w:rPr>
                <w:sz w:val="20"/>
                <w:szCs w:val="20"/>
                <w:color w:val="auto"/>
              </w:rPr>
            </w:pPr>
            <w:r>
              <w:rPr>
                <w:rFonts w:ascii="Arial" w:cs="Arial" w:eastAsia="Arial" w:hAnsi="Arial"/>
                <w:sz w:val="16"/>
                <w:szCs w:val="16"/>
                <w:color w:val="auto"/>
                <w:w w:val="98"/>
              </w:rPr>
              <w:t>Transportation, gathering, processing and disposal agreements with non-</w:t>
            </w: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632,458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70,167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6"/>
                <w:szCs w:val="16"/>
                <w:color w:val="auto"/>
              </w:rPr>
              <w:t>149,531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6"/>
                <w:szCs w:val="16"/>
                <w:color w:val="auto"/>
              </w:rPr>
              <w:t>150,593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262,167</w:t>
            </w:r>
          </w:p>
        </w:tc>
        <w:tc>
          <w:tcPr>
            <w:tcW w:w="0" w:type="dxa"/>
            <w:vAlign w:val="bottom"/>
          </w:tcPr>
          <w:p>
            <w:pPr>
              <w:spacing w:after="0"/>
              <w:rPr>
                <w:sz w:val="1"/>
                <w:szCs w:val="1"/>
                <w:color w:val="auto"/>
              </w:rPr>
            </w:pPr>
          </w:p>
        </w:tc>
      </w:tr>
      <w:tr>
        <w:trPr>
          <w:trHeight w:val="199"/>
        </w:trPr>
        <w:tc>
          <w:tcPr>
            <w:tcW w:w="5140" w:type="dxa"/>
            <w:vAlign w:val="bottom"/>
          </w:tcPr>
          <w:p>
            <w:pPr>
              <w:spacing w:after="0" w:line="199" w:lineRule="exact"/>
              <w:rPr>
                <w:sz w:val="20"/>
                <w:szCs w:val="20"/>
                <w:color w:val="auto"/>
              </w:rPr>
            </w:pPr>
            <w:r>
              <w:rPr>
                <w:rFonts w:ascii="Arial" w:cs="Arial" w:eastAsia="Arial" w:hAnsi="Arial"/>
                <w:sz w:val="16"/>
                <w:szCs w:val="16"/>
                <w:color w:val="auto"/>
              </w:rPr>
              <w:t>affiliates</w:t>
            </w:r>
            <w:r>
              <w:rPr>
                <w:rFonts w:ascii="Arial" w:cs="Arial" w:eastAsia="Arial" w:hAnsi="Arial"/>
                <w:sz w:val="20"/>
                <w:szCs w:val="20"/>
                <w:color w:val="auto"/>
                <w:vertAlign w:val="superscript"/>
              </w:rPr>
              <w:t>(6)</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w w:val="88"/>
              </w:rPr>
              <w:t>Transportation, gathering, processing and disposal agreements with San Mateo</w:t>
            </w:r>
            <w:r>
              <w:rPr>
                <w:rFonts w:ascii="Arial" w:cs="Arial" w:eastAsia="Arial" w:hAnsi="Arial"/>
                <w:sz w:val="20"/>
                <w:szCs w:val="20"/>
                <w:color w:val="auto"/>
                <w:w w:val="88"/>
                <w:vertAlign w:val="superscript"/>
              </w:rPr>
              <w:t>(7)</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429,978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129,378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182,740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107,466</w:t>
            </w:r>
          </w:p>
        </w:tc>
        <w:tc>
          <w:tcPr>
            <w:tcW w:w="0" w:type="dxa"/>
            <w:vAlign w:val="bottom"/>
          </w:tcPr>
          <w:p>
            <w:pPr>
              <w:spacing w:after="0"/>
              <w:rPr>
                <w:sz w:val="1"/>
                <w:szCs w:val="1"/>
                <w:color w:val="auto"/>
              </w:rPr>
            </w:pPr>
          </w:p>
        </w:tc>
      </w:tr>
      <w:tr>
        <w:trPr>
          <w:trHeight w:val="191"/>
        </w:trPr>
        <w:tc>
          <w:tcPr>
            <w:tcW w:w="5140" w:type="dxa"/>
            <w:vAlign w:val="bottom"/>
          </w:tcPr>
          <w:p>
            <w:pPr>
              <w:ind w:left="300"/>
              <w:spacing w:after="0" w:line="179" w:lineRule="exact"/>
              <w:rPr>
                <w:sz w:val="20"/>
                <w:szCs w:val="20"/>
                <w:color w:val="auto"/>
              </w:rPr>
            </w:pPr>
            <w:r>
              <w:rPr>
                <w:rFonts w:ascii="Arial" w:cs="Arial" w:eastAsia="Arial" w:hAnsi="Arial"/>
                <w:sz w:val="16"/>
                <w:szCs w:val="16"/>
                <w:color w:val="auto"/>
              </w:rPr>
              <w:t>Total contractual cash obligations</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2,887,100</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966,808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342,844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1,452,709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w:t>
      </w:r>
    </w:p>
    <w:p>
      <w:pPr>
        <w:spacing w:after="0" w:line="94" w:lineRule="exact"/>
        <w:rPr>
          <w:sz w:val="20"/>
          <w:szCs w:val="20"/>
          <w:color w:val="auto"/>
        </w:rPr>
      </w:pPr>
    </w:p>
    <w:p>
      <w:pPr>
        <w:ind w:left="286" w:right="20" w:hanging="286"/>
        <w:spacing w:after="0" w:line="252" w:lineRule="auto"/>
        <w:tabs>
          <w:tab w:leader="none" w:pos="279"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amounts included in the table above represent principal maturities only. At June 30, 2021, we had $240.0 million in borrowings outstanding under the Credit Agreement, approximately $45.8 million in outstanding letters of credit issued pursuant to the Credit Agreement and $7.5 million in borrowings outstanding under the SBA loan. The Credit Agreement matures in October 2023. At June 30, 2021, San Mateo had $352.5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1.60% and 2.36%, for the Credit Agreement and the San Mateo Credit Facility, respectively, at June 30, 2021, the interest expense for such facilities is expected to be approximately $3.9 million and $8.4 million each year until maturity.</w:t>
      </w:r>
    </w:p>
    <w:p>
      <w:pPr>
        <w:spacing w:after="0" w:line="72" w:lineRule="exact"/>
        <w:rPr>
          <w:rFonts w:ascii="Arial" w:cs="Arial" w:eastAsia="Arial" w:hAnsi="Arial"/>
          <w:sz w:val="12"/>
          <w:szCs w:val="12"/>
          <w:color w:val="auto"/>
        </w:rPr>
      </w:pPr>
    </w:p>
    <w:p>
      <w:pPr>
        <w:ind w:left="286" w:right="200" w:hanging="286"/>
        <w:spacing w:after="0" w:line="278" w:lineRule="auto"/>
        <w:tabs>
          <w:tab w:leader="none" w:pos="279"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amounts included in the table above represent principal maturities only. Interest expense on the $1.05 billion of Notes that were outstanding as of June 30, 2021 is expected to be approximately $61.7 million each year until maturity.</w:t>
      </w:r>
    </w:p>
    <w:p>
      <w:pPr>
        <w:spacing w:after="0" w:line="55" w:lineRule="exact"/>
        <w:rPr>
          <w:rFonts w:ascii="Arial" w:cs="Arial" w:eastAsia="Arial" w:hAnsi="Arial"/>
          <w:sz w:val="12"/>
          <w:szCs w:val="12"/>
          <w:color w:val="auto"/>
        </w:rPr>
      </w:pPr>
    </w:p>
    <w:p>
      <w:pPr>
        <w:ind w:left="266" w:hanging="266"/>
        <w:spacing w:after="0"/>
        <w:tabs>
          <w:tab w:leader="none" w:pos="266"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June 30, 2021, we had outstanding commitments to drill and complete and to participate in the drilling and completion of various operated and non-operated wells.</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do not own or operate our own drilling rigs, but instead we enter into contracts with third parties for such drilling rigs.</w:t>
      </w:r>
    </w:p>
    <w:p>
      <w:pPr>
        <w:spacing w:after="0" w:line="96" w:lineRule="exact"/>
        <w:rPr>
          <w:rFonts w:ascii="Arial" w:cs="Arial" w:eastAsia="Arial" w:hAnsi="Arial"/>
          <w:sz w:val="12"/>
          <w:szCs w:val="12"/>
          <w:color w:val="auto"/>
        </w:rPr>
      </w:pPr>
    </w:p>
    <w:p>
      <w:pPr>
        <w:ind w:left="266" w:hanging="266"/>
        <w:spacing w:after="0"/>
        <w:tabs>
          <w:tab w:leader="none" w:pos="266"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amounts included in the table above represent discounted cash flow estimates for future asset retirement obligations at June 30, 2021.</w:t>
      </w:r>
    </w:p>
    <w:p>
      <w:pPr>
        <w:spacing w:after="0" w:line="200" w:lineRule="exact"/>
        <w:rPr>
          <w:sz w:val="20"/>
          <w:szCs w:val="20"/>
          <w:color w:val="auto"/>
        </w:rPr>
      </w:pPr>
    </w:p>
    <w:p>
      <w:pPr>
        <w:spacing w:after="0" w:line="32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37" w:name="page38"/>
    <w:bookmarkEnd w:id="37"/>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6" w:right="100" w:hanging="286"/>
        <w:spacing w:after="0" w:line="296" w:lineRule="auto"/>
        <w:tabs>
          <w:tab w:leader="none" w:pos="279" w:val="left"/>
        </w:tabs>
        <w:numPr>
          <w:ilvl w:val="0"/>
          <w:numId w:val="14"/>
        </w:numPr>
        <w:rPr>
          <w:rFonts w:ascii="Arial" w:cs="Arial" w:eastAsia="Arial" w:hAnsi="Arial"/>
          <w:sz w:val="11"/>
          <w:szCs w:val="11"/>
          <w:color w:val="auto"/>
        </w:rPr>
      </w:pPr>
      <w:r>
        <w:rPr>
          <w:rFonts w:ascii="Arial" w:cs="Arial" w:eastAsia="Arial" w:hAnsi="Arial"/>
          <w:sz w:val="11"/>
          <w:szCs w:val="11"/>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47" w:lineRule="exact"/>
        <w:rPr>
          <w:rFonts w:ascii="Arial" w:cs="Arial" w:eastAsia="Arial" w:hAnsi="Arial"/>
          <w:sz w:val="11"/>
          <w:szCs w:val="11"/>
          <w:color w:val="auto"/>
        </w:rPr>
      </w:pPr>
    </w:p>
    <w:p>
      <w:pPr>
        <w:ind w:left="286" w:right="20" w:hanging="286"/>
        <w:spacing w:after="0" w:line="255" w:lineRule="auto"/>
        <w:tabs>
          <w:tab w:leader="none" w:pos="279"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dedicated to San Mateo our current and certain future leasehold interests in the Rustler Breaks and Wolf asset areas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spacing w:after="0" w:line="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General Outlook and Trends</w:t>
      </w:r>
    </w:p>
    <w:p>
      <w:pPr>
        <w:spacing w:after="0" w:line="101" w:lineRule="exact"/>
        <w:rPr>
          <w:sz w:val="20"/>
          <w:szCs w:val="20"/>
          <w:color w:val="auto"/>
        </w:rPr>
      </w:pPr>
    </w:p>
    <w:p>
      <w:pPr>
        <w:ind w:left="386"/>
        <w:spacing w:after="0"/>
        <w:rPr>
          <w:sz w:val="20"/>
          <w:szCs w:val="20"/>
          <w:color w:val="auto"/>
        </w:rPr>
      </w:pPr>
      <w:r>
        <w:rPr>
          <w:rFonts w:ascii="Arial" w:cs="Arial" w:eastAsia="Arial" w:hAnsi="Arial"/>
          <w:sz w:val="13"/>
          <w:szCs w:val="13"/>
          <w:color w:val="auto"/>
        </w:rPr>
        <w:t>During the first quarter and through April 2020, the oil and natural gas industry witnessed an abrupt and significant decline in oil prices resulting from two primary factors:</w:t>
      </w:r>
    </w:p>
    <w:p>
      <w:pPr>
        <w:spacing w:after="0" w:line="50" w:lineRule="exact"/>
        <w:rPr>
          <w:sz w:val="20"/>
          <w:szCs w:val="20"/>
          <w:color w:val="auto"/>
        </w:rPr>
      </w:pPr>
    </w:p>
    <w:p>
      <w:pPr>
        <w:ind w:left="6" w:right="80" w:hanging="6"/>
        <w:spacing w:after="0" w:line="246" w:lineRule="auto"/>
        <w:tabs>
          <w:tab w:leader="none" w:pos="19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precipitous decline in global oil demand resulting from the worldwide spread of COVID-19 and (ii) the increase in global oil supply resulting from actions of OPEC+. The sudden decline in oil prices began to improve later in the second quarter of 2020 and generally continued throughout the remainder of 2020 and the first half of 2021. For the three months ended June 30, 2021, oil prices averaged $66.17 per Bbl, ranging from a low of $58.65 per Bbl in early April to a high of $74.05 per Bbl in late June, based upon the WTI oil futures contract price for the earliest delivery date.</w:t>
      </w:r>
    </w:p>
    <w:p>
      <w:pPr>
        <w:spacing w:after="0" w:line="78" w:lineRule="exact"/>
        <w:rPr>
          <w:sz w:val="20"/>
          <w:szCs w:val="20"/>
          <w:color w:val="auto"/>
        </w:rPr>
      </w:pPr>
    </w:p>
    <w:p>
      <w:pPr>
        <w:ind w:left="6" w:right="160" w:firstLine="387"/>
        <w:spacing w:after="0" w:line="251" w:lineRule="auto"/>
        <w:rPr>
          <w:sz w:val="20"/>
          <w:szCs w:val="20"/>
          <w:color w:val="auto"/>
        </w:rPr>
      </w:pPr>
      <w:r>
        <w:rPr>
          <w:rFonts w:ascii="Arial" w:cs="Arial" w:eastAsia="Arial" w:hAnsi="Arial"/>
          <w:sz w:val="16"/>
          <w:szCs w:val="16"/>
          <w:color w:val="auto"/>
        </w:rPr>
        <w:t>We realized a weighted average oil price of $64.90 per Bbl ($56.13 per Bbl including realized losses from oil derivatives) for our oil production for the three months ended June 30, 2021, as compared to $24.03 per Bbl ($35.28 per Bbl including realized gains from oil derivatives) for our oil production for the three months ended June 30, 2020. At July 27, 2021, the WTI oil futures contract for the earliest delivery date had increased from the average price for the second quarter of 2021 of $66.17 per Bbl, settling at $71.65 per Bbl, which was a significant increase as compared to $41.60 per Bbl at July 27, 2020.</w:t>
      </w:r>
    </w:p>
    <w:p>
      <w:pPr>
        <w:spacing w:after="0" w:line="74" w:lineRule="exact"/>
        <w:rPr>
          <w:sz w:val="20"/>
          <w:szCs w:val="20"/>
          <w:color w:val="auto"/>
        </w:rPr>
      </w:pPr>
    </w:p>
    <w:p>
      <w:pPr>
        <w:jc w:val="both"/>
        <w:ind w:left="6" w:right="200" w:firstLine="387"/>
        <w:spacing w:after="0" w:line="254" w:lineRule="auto"/>
        <w:rPr>
          <w:sz w:val="20"/>
          <w:szCs w:val="20"/>
          <w:color w:val="auto"/>
        </w:rPr>
      </w:pPr>
      <w:r>
        <w:rPr>
          <w:rFonts w:ascii="Arial" w:cs="Arial" w:eastAsia="Arial" w:hAnsi="Arial"/>
          <w:sz w:val="16"/>
          <w:szCs w:val="16"/>
          <w:color w:val="auto"/>
        </w:rPr>
        <w:t>Natural gas prices were also higher in the second quarter of 2021, as compared to the second quarter of 2020. For the three months ended June 30, 2021, natural gas prices averaged $2.98 per MMBtu, ranging from a low of $2.46 per MMBtu in early April to a high of $3.65 per MMBtu in late June, based upon the NYMEX Henry Hub natural gas futures contract price for the earliest delivery date.</w:t>
      </w:r>
    </w:p>
    <w:p>
      <w:pPr>
        <w:spacing w:after="0" w:line="72" w:lineRule="exact"/>
        <w:rPr>
          <w:sz w:val="20"/>
          <w:szCs w:val="20"/>
          <w:color w:val="auto"/>
        </w:rPr>
      </w:pPr>
    </w:p>
    <w:p>
      <w:pPr>
        <w:ind w:left="6" w:firstLine="387"/>
        <w:spacing w:after="0" w:line="314" w:lineRule="auto"/>
        <w:rPr>
          <w:sz w:val="20"/>
          <w:szCs w:val="20"/>
          <w:color w:val="auto"/>
        </w:rPr>
      </w:pPr>
      <w:r>
        <w:rPr>
          <w:rFonts w:ascii="Arial" w:cs="Arial" w:eastAsia="Arial" w:hAnsi="Arial"/>
          <w:sz w:val="13"/>
          <w:szCs w:val="13"/>
          <w:color w:val="auto"/>
        </w:rPr>
        <w:t>We realized a weighted average natural gas price of $4.46 per Mcf (with no realized gains or losses from natural gas derivatives) for our natural gas production (including revenues attributable to NGLs) for the three months ended June 30, 2021, as compared to $1.49 per Mcf (with no realized gains or losses from natural gas derivatives) for our natural gas production (including revenues attributable to NGLs) for the three months ended June 30, 2020. While most of our natural gas production is typically sold at prices established at the beginning of each month by the various markets where we sell our natural gas production, certain volumes of our natural gas production are sold at daily market prices. NGL prices, and especially propane prices, were also strong in the second quarter of 2021, which further contributed to our second quarter weighted average realized natural gas price. At July 27, 2021, the NYMEX Henry Hub natural gas futures contract price for the earliest delivery date had increased from the average price for the second quarter of 2021 of $2.98 per MMBtu, settling at $3.97 per MMBtu, which was also a significant increase as compared to $1.73 per MMBtu at July 27, 2020.</w:t>
      </w:r>
    </w:p>
    <w:p>
      <w:pPr>
        <w:spacing w:after="0" w:line="37" w:lineRule="exact"/>
        <w:rPr>
          <w:sz w:val="20"/>
          <w:szCs w:val="20"/>
          <w:color w:val="auto"/>
        </w:rPr>
      </w:pPr>
    </w:p>
    <w:p>
      <w:pPr>
        <w:ind w:left="6" w:right="20" w:firstLine="387"/>
        <w:spacing w:after="0" w:line="266" w:lineRule="auto"/>
        <w:rPr>
          <w:sz w:val="20"/>
          <w:szCs w:val="20"/>
          <w:color w:val="auto"/>
        </w:rPr>
      </w:pPr>
      <w:r>
        <w:rPr>
          <w:rFonts w:ascii="Arial" w:cs="Arial" w:eastAsia="Arial" w:hAnsi="Arial"/>
          <w:sz w:val="15"/>
          <w:szCs w:val="15"/>
          <w:color w:val="auto"/>
        </w:rPr>
        <w:t>The prices we receive for oil, natural gas and NGLs heavily influence our revenues,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oil and natural gas prices will rise from their current levels, and in fact, oil and natural gas prices may decrease in future periods.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64" w:lineRule="exact"/>
        <w:rPr>
          <w:sz w:val="20"/>
          <w:szCs w:val="20"/>
          <w:color w:val="auto"/>
        </w:rPr>
      </w:pPr>
    </w:p>
    <w:p>
      <w:pPr>
        <w:ind w:left="6" w:firstLine="387"/>
        <w:spacing w:after="0" w:line="320" w:lineRule="auto"/>
        <w:rPr>
          <w:sz w:val="20"/>
          <w:szCs w:val="20"/>
          <w:color w:val="auto"/>
        </w:rPr>
      </w:pPr>
      <w:r>
        <w:rPr>
          <w:rFonts w:ascii="Arial" w:cs="Arial" w:eastAsia="Arial" w:hAnsi="Arial"/>
          <w:sz w:val="13"/>
          <w:szCs w:val="13"/>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six months of 2021, we incurred realized losses on our oil derivative contracts of approximately $68.7 million primarily as a result of oil prices that were above the ceiling prices of certain of our oil costless collar contracts and above the strike price of certain of our oil swap and oil basis</w:t>
      </w:r>
    </w:p>
    <w:p>
      <w:pPr>
        <w:spacing w:after="0" w:line="200" w:lineRule="exact"/>
        <w:rPr>
          <w:sz w:val="20"/>
          <w:szCs w:val="20"/>
          <w:color w:val="auto"/>
        </w:rPr>
      </w:pP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7"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swap contracts. Should oil prices remain at or near their current levels for the remainder of 2021, we would expect to have similar or greater losses during the second half of 2021, until these derivative contracts have expired.</w:t>
      </w:r>
    </w:p>
    <w:p>
      <w:pPr>
        <w:spacing w:after="0" w:line="64" w:lineRule="exact"/>
        <w:rPr>
          <w:sz w:val="20"/>
          <w:szCs w:val="20"/>
          <w:color w:val="auto"/>
        </w:rPr>
      </w:pPr>
    </w:p>
    <w:p>
      <w:pPr>
        <w:ind w:right="280" w:firstLine="387"/>
        <w:spacing w:after="0" w:line="327" w:lineRule="auto"/>
        <w:rPr>
          <w:sz w:val="20"/>
          <w:szCs w:val="20"/>
          <w:color w:val="auto"/>
        </w:rPr>
      </w:pPr>
      <w:r>
        <w:rPr>
          <w:rFonts w:ascii="Arial" w:cs="Arial" w:eastAsia="Arial" w:hAnsi="Arial"/>
          <w:sz w:val="13"/>
          <w:szCs w:val="13"/>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June 30, 2021,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29" w:lineRule="exact"/>
        <w:rPr>
          <w:sz w:val="20"/>
          <w:szCs w:val="20"/>
          <w:color w:val="auto"/>
        </w:rPr>
      </w:pPr>
    </w:p>
    <w:p>
      <w:pPr>
        <w:ind w:right="20" w:firstLine="387"/>
        <w:spacing w:after="0" w:line="270" w:lineRule="auto"/>
        <w:rPr>
          <w:sz w:val="20"/>
          <w:szCs w:val="20"/>
          <w:color w:val="auto"/>
        </w:rPr>
      </w:pPr>
      <w:r>
        <w:rPr>
          <w:rFonts w:ascii="Arial" w:cs="Arial" w:eastAsia="Arial" w:hAnsi="Arial"/>
          <w:sz w:val="15"/>
          <w:szCs w:val="15"/>
          <w:color w:val="auto"/>
        </w:rPr>
        <w:t>The Midland-Cushing (Oklahoma) oil price differential has been highly volatile in recent years, but began 2020 slightly positive to the WTI oil price and remained positive through much of the first quarter of 2020. With the abrupt decline in oil prices during the first quarter of 2020, however, the Midland-Cushing (Oklahoma) oil price differential experienced significant volatility in April 2020, reaching ($6.00) per Bbl before becoming positive in the second quarter and improving through the rest of 2020 and into 2021. At July 27, 2021, this oil price differential was approximately ($0.29) per Bbl. At July 27, 2021, we had derivative contracts in place to mitigate our exposure to this Midland-Cushing (Oklahoma) oil price differential on a portion of our anticipated oil production for the remainder of 2021 and 2022.</w:t>
      </w:r>
    </w:p>
    <w:p>
      <w:pPr>
        <w:spacing w:after="0" w:line="61" w:lineRule="exact"/>
        <w:rPr>
          <w:sz w:val="20"/>
          <w:szCs w:val="20"/>
          <w:color w:val="auto"/>
        </w:rPr>
      </w:pPr>
    </w:p>
    <w:p>
      <w:pPr>
        <w:ind w:firstLine="387"/>
        <w:spacing w:after="0" w:line="247" w:lineRule="auto"/>
        <w:rPr>
          <w:sz w:val="20"/>
          <w:szCs w:val="20"/>
          <w:color w:val="auto"/>
        </w:rPr>
      </w:pPr>
      <w:r>
        <w:rPr>
          <w:rFonts w:ascii="Arial" w:cs="Arial" w:eastAsia="Arial" w:hAnsi="Arial"/>
          <w:sz w:val="16"/>
          <w:szCs w:val="16"/>
          <w:color w:val="auto"/>
        </w:rPr>
        <w:t>Certain volumes of our Delaware Basin natural gas production are exposed to the Waha-Henry Hub basis differential, which has also been highly volatile in recent years, including in April 2019 when natural gas was sold at the Waha hub for negative prices as high as ($7.00) to ($9.00) per MMBtu. In early 2020, the Waha basis differential remained significant at about ($1.20) per MMBtu and continued to deteriorate. Natural gas prices at the Waha hub were negative on certain days in April 2020. The Waha basis differential narrowed during the remainder of the second quarter of 2020. During the third quarter of 2020 and, in particular, at the beginning of October 2020, the Waha basis differential widened significantly again, including several days when natural gas was being sold at the Waha hub for negative prices, due to seasonal pipeline maintenance and other factors that reduced capacity out of the Waha hub. These capacity issues have been largely resolved and the Waha basis differential improved during the remainder of 2020 and throughout the first half of 2021.</w:t>
      </w:r>
    </w:p>
    <w:p>
      <w:pPr>
        <w:spacing w:after="0" w:line="81" w:lineRule="exact"/>
        <w:rPr>
          <w:sz w:val="20"/>
          <w:szCs w:val="20"/>
          <w:color w:val="auto"/>
        </w:rPr>
      </w:pPr>
    </w:p>
    <w:p>
      <w:pPr>
        <w:jc w:val="both"/>
        <w:ind w:right="160" w:firstLine="387"/>
        <w:spacing w:after="0" w:line="340" w:lineRule="auto"/>
        <w:rPr>
          <w:sz w:val="20"/>
          <w:szCs w:val="20"/>
          <w:color w:val="auto"/>
        </w:rPr>
      </w:pPr>
      <w:r>
        <w:rPr>
          <w:rFonts w:ascii="Arial" w:cs="Arial" w:eastAsia="Arial" w:hAnsi="Arial"/>
          <w:sz w:val="13"/>
          <w:szCs w:val="13"/>
          <w:color w:val="auto"/>
        </w:rPr>
        <w:t>A significant portion of our Delaware Basin natural gas production, however, is typically sold at Houston Ship Channel pricing and is not exposed to Waha pricing. During 2020 and most of the first half of 2021, we typically realized a premium to natural gas sold at the Waha hub despite higher transportation charges incurred to transport the natural gas to the Gulf Coast. At certain times, we may also sell a portion of our natural gas production to other markets to improve our realized natural gas pricing.</w:t>
      </w:r>
    </w:p>
    <w:p>
      <w:pPr>
        <w:spacing w:after="0" w:line="21" w:lineRule="exact"/>
        <w:rPr>
          <w:sz w:val="20"/>
          <w:szCs w:val="20"/>
          <w:color w:val="auto"/>
        </w:rPr>
      </w:pPr>
    </w:p>
    <w:p>
      <w:pPr>
        <w:ind w:right="120" w:firstLine="387"/>
        <w:spacing w:after="0" w:line="251" w:lineRule="auto"/>
        <w:rPr>
          <w:sz w:val="20"/>
          <w:szCs w:val="20"/>
          <w:color w:val="auto"/>
        </w:rPr>
      </w:pPr>
      <w:r>
        <w:rPr>
          <w:rFonts w:ascii="Arial" w:cs="Arial" w:eastAsia="Arial" w:hAnsi="Arial"/>
          <w:sz w:val="16"/>
          <w:szCs w:val="16"/>
          <w:color w:val="auto"/>
        </w:rPr>
        <w:t>Although the natural gas price differentials have recently at times been positive,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during the remainder of 2021 or for future periods.</w:t>
      </w:r>
    </w:p>
    <w:p>
      <w:pPr>
        <w:spacing w:after="0" w:line="74" w:lineRule="exact"/>
        <w:rPr>
          <w:sz w:val="20"/>
          <w:szCs w:val="20"/>
          <w:color w:val="auto"/>
        </w:rPr>
      </w:pPr>
    </w:p>
    <w:p>
      <w:pPr>
        <w:ind w:right="20" w:firstLine="387"/>
        <w:spacing w:after="0" w:line="248" w:lineRule="auto"/>
        <w:rPr>
          <w:sz w:val="20"/>
          <w:szCs w:val="20"/>
          <w:color w:val="auto"/>
        </w:rPr>
      </w:pPr>
      <w:r>
        <w:rPr>
          <w:rFonts w:ascii="Arial" w:cs="Arial" w:eastAsia="Arial" w:hAnsi="Arial"/>
          <w:sz w:val="16"/>
          <w:szCs w:val="16"/>
          <w:color w:val="auto"/>
        </w:rPr>
        <w:t>In addition to concerns regarding oil and natural gas prices and basis differentials, the destruction of global oil demand resulting from the decline in economic activity associated with COVID-19, in conjunction with the actions initiated by Saudi Arabia in March 2020 to increase its oil production to world markets, led to a significant oversupply of oil worldwide. OPEC+ (led by Saudi Arabia) reversed course in April 2020 and reduced oil production significantly for the remainder of 2020 and through the first half of 2021, which has contributed to improving oil prices. The members of OPEC+ have generally adhered to these production cuts, which have contributed to improving oil prices, although OPEC+ has begun to restore production levels as oil prices have improved. It is uncertain to what degree these production cuts may restore the balance between oil supply and demand.</w:t>
      </w:r>
    </w:p>
    <w:p>
      <w:pPr>
        <w:spacing w:after="0" w:line="78" w:lineRule="exact"/>
        <w:rPr>
          <w:sz w:val="20"/>
          <w:szCs w:val="20"/>
          <w:color w:val="auto"/>
        </w:rPr>
      </w:pPr>
    </w:p>
    <w:p>
      <w:pPr>
        <w:ind w:right="60" w:firstLine="387"/>
        <w:spacing w:after="0" w:line="270" w:lineRule="auto"/>
        <w:rPr>
          <w:sz w:val="20"/>
          <w:szCs w:val="20"/>
          <w:color w:val="auto"/>
        </w:rPr>
      </w:pPr>
      <w:r>
        <w:rPr>
          <w:rFonts w:ascii="Arial" w:cs="Arial" w:eastAsia="Arial" w:hAnsi="Arial"/>
          <w:sz w:val="15"/>
          <w:szCs w:val="15"/>
          <w:color w:val="auto"/>
        </w:rPr>
        <w:t>During times of low oil prices, we may elect to shut in or curtail certain volumes of our oil production temporarily rather than sell the oil at depressed prices. As most of our natural gas production in the Delaware Basin is associated with oil production, portions of our natural gas production may also be curtailed or shut in. Furthermore, portions of our Delaware Basin production in the first quarter of 2021 were impacted by the historically prolonged cold weather conditions in New Mexico and Texas in February due to Winter Storm Uri, although we were able to produce and sell the majority of our oil and natural gas during this period. We experienced minimal impact to our production volumes due to insufficient storage capacity or damage to refineries downstream of our operations as a result of Winter Storm Uri.</w:t>
      </w:r>
    </w:p>
    <w:p>
      <w:pPr>
        <w:spacing w:after="0" w:line="61" w:lineRule="exact"/>
        <w:rPr>
          <w:sz w:val="20"/>
          <w:szCs w:val="20"/>
          <w:color w:val="auto"/>
        </w:rPr>
      </w:pPr>
    </w:p>
    <w:p>
      <w:pPr>
        <w:jc w:val="both"/>
        <w:ind w:right="460" w:firstLine="387"/>
        <w:spacing w:after="0" w:line="251" w:lineRule="auto"/>
        <w:rPr>
          <w:sz w:val="20"/>
          <w:szCs w:val="20"/>
          <w:color w:val="auto"/>
        </w:rPr>
      </w:pPr>
      <w:r>
        <w:rPr>
          <w:rFonts w:ascii="Arial" w:cs="Arial" w:eastAsia="Arial" w:hAnsi="Arial"/>
          <w:sz w:val="16"/>
          <w:szCs w:val="16"/>
          <w:color w:val="auto"/>
        </w:rPr>
        <w:t>At July 27, 2021,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387"/>
        <w:spacing w:after="0" w:line="249" w:lineRule="auto"/>
        <w:rPr>
          <w:sz w:val="20"/>
          <w:szCs w:val="20"/>
          <w:color w:val="auto"/>
        </w:rPr>
      </w:pPr>
      <w:r>
        <w:rPr>
          <w:rFonts w:ascii="Arial" w:cs="Arial" w:eastAsia="Arial" w:hAnsi="Arial"/>
          <w:sz w:val="16"/>
          <w:szCs w:val="16"/>
          <w:color w:val="auto"/>
        </w:rPr>
        <w:t>As a result of the recent increases in oil and natural gas prices, we have begun to experience inflation in the costs of certain oilfield services, including diesel, steel, labor and trucking costs, among others. Should oil and natural gas prices remain at their current levels or increase further, we expect to be subject to additional service cost inflation in future periods, which may increase our costs to drill, complete, equip and operate wells. We budgeted a 10% increase in oilfield service costs for the second half of 2021 in preparing our full-year D/C/E and midstream capital expenditures for 2021. Should we experience service cost inflation above 10% during the second half of 2021, we may be required to increase our 2021 estimated capital expenditure budget.</w:t>
      </w:r>
    </w:p>
    <w:p>
      <w:pPr>
        <w:spacing w:after="0" w:line="77" w:lineRule="exact"/>
        <w:rPr>
          <w:sz w:val="20"/>
          <w:szCs w:val="20"/>
          <w:color w:val="auto"/>
        </w:rPr>
      </w:pPr>
    </w:p>
    <w:p>
      <w:pPr>
        <w:ind w:right="60" w:firstLine="387"/>
        <w:spacing w:after="0" w:line="308" w:lineRule="auto"/>
        <w:rPr>
          <w:sz w:val="20"/>
          <w:szCs w:val="20"/>
          <w:color w:val="auto"/>
        </w:rPr>
      </w:pPr>
      <w:r>
        <w:rPr>
          <w:rFonts w:ascii="Arial" w:cs="Arial" w:eastAsia="Arial" w:hAnsi="Arial"/>
          <w:sz w:val="13"/>
          <w:szCs w:val="13"/>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separate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also signed an executive order requiring a regulatory framework to ensure reductions of methane emissions. Following that executive order, the governing New Mexico regulatory bodies and New Mexico legislature have proposed various rules, regulations and bills regarding the reduction of natural gas waste and the control of emissions. In 2021, New Mexico adopted a rule that limits the ability of upstream and midstream operators to flare natural gas (which may caused unplanned shut-ins of our production) and requires upstream and midstream operators to reduce natural gas waste by a fixed amount each year and achieve a 98% natural gas capture rate by the end of 2026. See “Risk Factors—Risks Related to Laws and Regulations” in our Annual Report.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233" w:lineRule="exact"/>
        <w:rPr>
          <w:sz w:val="20"/>
          <w:szCs w:val="20"/>
          <w:color w:val="auto"/>
        </w:rPr>
      </w:pPr>
    </w:p>
    <w:p>
      <w:pPr>
        <w:ind w:firstLine="387"/>
        <w:spacing w:after="0" w:line="264" w:lineRule="auto"/>
        <w:rPr>
          <w:sz w:val="20"/>
          <w:szCs w:val="20"/>
          <w:color w:val="auto"/>
        </w:rPr>
      </w:pPr>
      <w:r>
        <w:rPr>
          <w:rFonts w:ascii="Arial" w:cs="Arial" w:eastAsia="Arial" w:hAnsi="Arial"/>
          <w:sz w:val="15"/>
          <w:szCs w:val="15"/>
          <w:color w:val="auto"/>
        </w:rPr>
        <w:t>In January 2021, the Biden administration issued (i) an order signed by the acting Secretary of the Interior dated January 20, 2021 providing for a 60-day pause limiting the authority of local offices of the Bureau of Land Management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Federal Lease Orders”). While certain of the Biden Federal Lease Orders were allowed to expire in March 2021, others were extended. The pause relating to federal oil and natural gas leases in these orders did not restrict our activities on existing valid leases. As such, we have continued our operations on federal properties. However, we can provide no assurances that federal regulations will not be adopted that limit our ability to develop our federal properties. Should such actions be taken, they would almost certainly impact our drilling and completion plans and could materially impact our production volumes, revenues, reserves, cash flows and availability under our Credit Agreement. See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our Annual Report.</w:t>
      </w:r>
    </w:p>
    <w:p>
      <w:pPr>
        <w:spacing w:after="0" w:line="69" w:lineRule="exact"/>
        <w:rPr>
          <w:sz w:val="20"/>
          <w:szCs w:val="20"/>
          <w:color w:val="auto"/>
        </w:rPr>
      </w:pPr>
    </w:p>
    <w:p>
      <w:pPr>
        <w:ind w:right="180" w:firstLine="387"/>
        <w:spacing w:after="0" w:line="251" w:lineRule="auto"/>
        <w:rPr>
          <w:sz w:val="20"/>
          <w:szCs w:val="20"/>
          <w:color w:val="auto"/>
        </w:rPr>
      </w:pPr>
      <w:r>
        <w:rPr>
          <w:rFonts w:ascii="Arial" w:cs="Arial" w:eastAsia="Arial" w:hAnsi="Arial"/>
          <w:sz w:val="16"/>
          <w:szCs w:val="16"/>
          <w:color w:val="auto"/>
        </w:rPr>
        <w:t>In addition, certain segments of the investor community have expressed negative sentiment towards investing in the oil and natural gas industry,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4" w:lineRule="exact"/>
        <w:rPr>
          <w:sz w:val="20"/>
          <w:szCs w:val="20"/>
          <w:color w:val="auto"/>
        </w:rPr>
      </w:pPr>
    </w:p>
    <w:p>
      <w:pPr>
        <w:ind w:right="40" w:firstLine="387"/>
        <w:spacing w:after="0" w:line="314" w:lineRule="auto"/>
        <w:rPr>
          <w:sz w:val="20"/>
          <w:szCs w:val="20"/>
          <w:color w:val="auto"/>
        </w:rPr>
      </w:pPr>
      <w:r>
        <w:rPr>
          <w:rFonts w:ascii="Arial" w:cs="Arial" w:eastAsia="Arial" w:hAnsi="Arial"/>
          <w:sz w:val="13"/>
          <w:szCs w:val="13"/>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37" w:lineRule="exact"/>
        <w:rPr>
          <w:sz w:val="20"/>
          <w:szCs w:val="20"/>
          <w:color w:val="auto"/>
        </w:rPr>
      </w:pPr>
    </w:p>
    <w:p>
      <w:pPr>
        <w:ind w:right="340" w:firstLine="387"/>
        <w:spacing w:after="0" w:line="264" w:lineRule="auto"/>
        <w:rPr>
          <w:sz w:val="20"/>
          <w:szCs w:val="20"/>
          <w:color w:val="auto"/>
        </w:rPr>
      </w:pPr>
      <w:r>
        <w:rPr>
          <w:rFonts w:ascii="Arial" w:cs="Arial" w:eastAsia="Arial" w:hAnsi="Arial"/>
          <w:sz w:val="16"/>
          <w:szCs w:val="16"/>
          <w:color w:val="auto"/>
        </w:rPr>
        <w:t>We strive to focus our efforts on increasing oil and natural gas reserves and production while controlling costs at a level that is appropriate for long-term operations. Our ability to find and develop sufficient quantities of oil and natural gas reserves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366" w:lineRule="auto"/>
        <w:rPr>
          <w:sz w:val="20"/>
          <w:szCs w:val="20"/>
          <w:color w:val="auto"/>
        </w:rPr>
      </w:pPr>
      <w:r>
        <w:rPr>
          <w:rFonts w:ascii="Arial" w:cs="Arial" w:eastAsia="Arial" w:hAnsi="Arial"/>
          <w:sz w:val="16"/>
          <w:szCs w:val="16"/>
          <w:color w:val="auto"/>
        </w:rPr>
        <w:t xml:space="preserve">at economical costs is critical to our long-term success. Future finding and development costs are subject to changes in the costs of acquiring, drilling and completing our prospects. </w:t>
      </w:r>
      <w:r>
        <w:rPr>
          <w:rFonts w:ascii="Arial" w:cs="Arial" w:eastAsia="Arial" w:hAnsi="Arial"/>
          <w:sz w:val="16"/>
          <w:szCs w:val="16"/>
          <w:b w:val="1"/>
          <w:bCs w:val="1"/>
          <w:color w:val="auto"/>
        </w:rPr>
        <w:t>Item 3. Quantitative and Qualitative Disclosures About Market Risk</w:t>
      </w:r>
    </w:p>
    <w:p>
      <w:pPr>
        <w:spacing w:after="0" w:line="1" w:lineRule="exact"/>
        <w:rPr>
          <w:sz w:val="20"/>
          <w:szCs w:val="20"/>
          <w:color w:val="auto"/>
        </w:rPr>
      </w:pPr>
    </w:p>
    <w:p>
      <w:pPr>
        <w:ind w:right="60" w:firstLine="387"/>
        <w:spacing w:after="0" w:line="264" w:lineRule="auto"/>
        <w:rPr>
          <w:sz w:val="20"/>
          <w:szCs w:val="20"/>
          <w:color w:val="auto"/>
        </w:rPr>
      </w:pPr>
      <w:r>
        <w:rPr>
          <w:rFonts w:ascii="Arial" w:cs="Arial" w:eastAsia="Arial" w:hAnsi="Arial"/>
          <w:sz w:val="16"/>
          <w:szCs w:val="16"/>
          <w:color w:val="auto"/>
        </w:rPr>
        <w:t>Except as set forth below, there have been no material changes to the sources and effects of our market risk since December 31, 2020, which are disclosed in Part II, Item 7A of the Annual Report and incorporated herein by reference.</w:t>
      </w:r>
    </w:p>
    <w:p>
      <w:pPr>
        <w:spacing w:after="0" w:line="64" w:lineRule="exact"/>
        <w:rPr>
          <w:sz w:val="20"/>
          <w:szCs w:val="20"/>
          <w:color w:val="auto"/>
        </w:rPr>
      </w:pPr>
    </w:p>
    <w:p>
      <w:pPr>
        <w:ind w:right="100" w:firstLine="387"/>
        <w:spacing w:after="0" w:line="254"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 demand and other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72" w:lineRule="exact"/>
        <w:rPr>
          <w:sz w:val="20"/>
          <w:szCs w:val="20"/>
          <w:color w:val="auto"/>
        </w:rPr>
      </w:pPr>
    </w:p>
    <w:p>
      <w:pPr>
        <w:ind w:right="20" w:firstLine="387"/>
        <w:spacing w:after="0" w:line="267" w:lineRule="auto"/>
        <w:rPr>
          <w:sz w:val="20"/>
          <w:szCs w:val="20"/>
          <w:color w:val="auto"/>
        </w:rPr>
      </w:pPr>
      <w:r>
        <w:rPr>
          <w:rFonts w:ascii="Arial" w:cs="Arial" w:eastAsia="Arial" w:hAnsi="Arial"/>
          <w:sz w:val="15"/>
          <w:szCs w:val="15"/>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63" w:lineRule="exact"/>
        <w:rPr>
          <w:sz w:val="20"/>
          <w:szCs w:val="20"/>
          <w:color w:val="auto"/>
        </w:rPr>
      </w:pPr>
    </w:p>
    <w:p>
      <w:pPr>
        <w:ind w:right="40" w:firstLine="387"/>
        <w:spacing w:after="0" w:line="249"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June 30, 2021, The Bank of Nova Scotia, BMO Harris Financing (Bank of Montreal), Truist Bank (or affiliates thereof), PNC Bank and the Royal Bank of Canada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Evaluation of Disclosure Controls and Procedures</w:t>
      </w:r>
    </w:p>
    <w:p>
      <w:pPr>
        <w:spacing w:after="0" w:line="97" w:lineRule="exact"/>
        <w:rPr>
          <w:sz w:val="20"/>
          <w:szCs w:val="20"/>
          <w:color w:val="auto"/>
        </w:rPr>
      </w:pPr>
    </w:p>
    <w:p>
      <w:pPr>
        <w:ind w:firstLine="387"/>
        <w:spacing w:after="0" w:line="316" w:lineRule="auto"/>
        <w:rPr>
          <w:sz w:val="20"/>
          <w:szCs w:val="20"/>
          <w:color w:val="auto"/>
        </w:rPr>
      </w:pPr>
      <w:r>
        <w:rPr>
          <w:rFonts w:ascii="Arial" w:cs="Arial" w:eastAsia="Arial" w:hAnsi="Arial"/>
          <w:sz w:val="13"/>
          <w:szCs w:val="13"/>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June 30, 2021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Changes in Internal Control over Financial Reporting</w:t>
      </w:r>
    </w:p>
    <w:p>
      <w:pPr>
        <w:spacing w:after="0" w:line="74" w:lineRule="exact"/>
        <w:rPr>
          <w:sz w:val="20"/>
          <w:szCs w:val="20"/>
          <w:color w:val="auto"/>
        </w:rPr>
      </w:pPr>
    </w:p>
    <w:p>
      <w:pPr>
        <w:ind w:right="40" w:firstLine="387"/>
        <w:spacing w:after="0" w:line="264" w:lineRule="auto"/>
        <w:rPr>
          <w:sz w:val="20"/>
          <w:szCs w:val="20"/>
          <w:color w:val="auto"/>
        </w:rPr>
      </w:pPr>
      <w:r>
        <w:rPr>
          <w:rFonts w:ascii="Arial" w:cs="Arial" w:eastAsia="Arial" w:hAnsi="Arial"/>
          <w:sz w:val="16"/>
          <w:szCs w:val="16"/>
          <w:color w:val="auto"/>
        </w:rPr>
        <w:t>There were no changes in our internal controls during the three months ended June 30, 2021 that have materially affected or are reasonably likely to have a material effect on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ind w:left="6"/>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85"/>
        <w:spacing w:after="0"/>
        <w:rPr>
          <w:sz w:val="20"/>
          <w:szCs w:val="20"/>
          <w:color w:val="auto"/>
        </w:rPr>
      </w:pPr>
      <w:r>
        <w:rPr>
          <w:rFonts w:ascii="Arial" w:cs="Arial" w:eastAsia="Arial" w:hAnsi="Arial"/>
          <w:sz w:val="16"/>
          <w:szCs w:val="16"/>
          <w:b w:val="1"/>
          <w:bCs w:val="1"/>
          <w:color w:val="auto"/>
        </w:rPr>
        <w:t>Part II — OTHER INFORMATION</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 Legal Proceedings</w:t>
      </w:r>
    </w:p>
    <w:p>
      <w:pPr>
        <w:spacing w:after="0" w:line="101" w:lineRule="exact"/>
        <w:rPr>
          <w:sz w:val="20"/>
          <w:szCs w:val="20"/>
          <w:color w:val="auto"/>
        </w:rPr>
      </w:pPr>
    </w:p>
    <w:p>
      <w:pPr>
        <w:ind w:left="6" w:firstLine="387"/>
        <w:spacing w:after="0" w:line="376" w:lineRule="auto"/>
        <w:rPr>
          <w:sz w:val="20"/>
          <w:szCs w:val="20"/>
          <w:color w:val="auto"/>
        </w:rPr>
      </w:pPr>
      <w:r>
        <w:rPr>
          <w:rFonts w:ascii="Arial" w:cs="Arial" w:eastAsia="Arial" w:hAnsi="Arial"/>
          <w:sz w:val="13"/>
          <w:szCs w:val="13"/>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ind w:left="6" w:right="80" w:firstLine="387"/>
        <w:spacing w:after="0" w:line="264" w:lineRule="auto"/>
        <w:rPr>
          <w:sz w:val="20"/>
          <w:szCs w:val="20"/>
          <w:color w:val="auto"/>
        </w:rPr>
      </w:pPr>
      <w:r>
        <w:rPr>
          <w:rFonts w:ascii="Arial" w:cs="Arial" w:eastAsia="Arial" w:hAnsi="Arial"/>
          <w:sz w:val="16"/>
          <w:szCs w:val="16"/>
          <w:color w:val="auto"/>
        </w:rPr>
        <w:t>For information on our legal proceeding with the Environmental Protection Agency and the New Mexico Environment Department, see “Item 3. Legal Proceedings” in the Annual Report. There have been no material changes regarding such legal proceeding.</w:t>
      </w:r>
    </w:p>
    <w:p>
      <w:pPr>
        <w:spacing w:after="0" w:line="6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1A. Risk Factors</w:t>
      </w:r>
    </w:p>
    <w:p>
      <w:pPr>
        <w:spacing w:after="0" w:line="101" w:lineRule="exact"/>
        <w:rPr>
          <w:sz w:val="20"/>
          <w:szCs w:val="20"/>
          <w:color w:val="auto"/>
        </w:rPr>
      </w:pPr>
    </w:p>
    <w:p>
      <w:pPr>
        <w:ind w:left="6" w:right="280" w:firstLine="387"/>
        <w:spacing w:after="0" w:line="264" w:lineRule="auto"/>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spacing w:after="0" w:line="6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1" w:lineRule="exact"/>
        <w:rPr>
          <w:sz w:val="20"/>
          <w:szCs w:val="20"/>
          <w:color w:val="auto"/>
        </w:rPr>
      </w:pPr>
    </w:p>
    <w:p>
      <w:pPr>
        <w:ind w:left="6" w:right="540" w:firstLine="387"/>
        <w:spacing w:after="0" w:line="264" w:lineRule="auto"/>
        <w:rPr>
          <w:sz w:val="20"/>
          <w:szCs w:val="20"/>
          <w:color w:val="auto"/>
        </w:rPr>
      </w:pPr>
      <w:r>
        <w:rPr>
          <w:rFonts w:ascii="Arial" w:cs="Arial" w:eastAsia="Arial" w:hAnsi="Arial"/>
          <w:sz w:val="16"/>
          <w:szCs w:val="16"/>
          <w:color w:val="auto"/>
        </w:rPr>
        <w:t>During the quarter ended June 30, 2021, the Company re-acquired shares of common stock from certain employees in order to satisfy the employees’ tax liability in connection with the vesting of restricted stock.</w:t>
      </w:r>
    </w:p>
    <w:p>
      <w:pPr>
        <w:spacing w:after="0" w:line="103" w:lineRule="exact"/>
        <w:rPr>
          <w:sz w:val="20"/>
          <w:szCs w:val="20"/>
          <w:color w:val="auto"/>
        </w:rPr>
      </w:pPr>
    </w:p>
    <w:tbl>
      <w:tblPr>
        <w:tblLayout w:type="fixed"/>
        <w:tblInd w:w="386"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 Number of</w:t>
            </w:r>
          </w:p>
        </w:tc>
        <w:tc>
          <w:tcPr>
            <w:tcW w:w="1860" w:type="dxa"/>
            <w:vAlign w:val="bottom"/>
          </w:tcPr>
          <w:p>
            <w:pPr>
              <w:jc w:val="right"/>
              <w:ind w:right="22"/>
              <w:spacing w:after="0"/>
              <w:rPr>
                <w:sz w:val="20"/>
                <w:szCs w:val="20"/>
                <w:color w:val="auto"/>
              </w:rPr>
            </w:pPr>
            <w:r>
              <w:rPr>
                <w:rFonts w:ascii="Arial" w:cs="Arial" w:eastAsia="Arial" w:hAnsi="Arial"/>
                <w:sz w:val="16"/>
                <w:szCs w:val="16"/>
                <w:b w:val="1"/>
                <w:bCs w:val="1"/>
                <w:color w:val="auto"/>
              </w:rPr>
              <w:t>Maximum Number</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w:t>
            </w:r>
          </w:p>
        </w:tc>
        <w:tc>
          <w:tcPr>
            <w:tcW w:w="1880" w:type="dxa"/>
            <w:vAlign w:val="bottom"/>
            <w:gridSpan w:val="2"/>
          </w:tcPr>
          <w:p>
            <w:pPr>
              <w:jc w:val="center"/>
              <w:ind w:right="100"/>
              <w:spacing w:after="0" w:line="152" w:lineRule="exact"/>
              <w:rPr>
                <w:sz w:val="20"/>
                <w:szCs w:val="20"/>
                <w:color w:val="auto"/>
              </w:rPr>
            </w:pPr>
            <w:r>
              <w:rPr>
                <w:rFonts w:ascii="Arial" w:cs="Arial" w:eastAsia="Arial" w:hAnsi="Arial"/>
                <w:sz w:val="16"/>
                <w:szCs w:val="16"/>
                <w:b w:val="1"/>
                <w:bCs w:val="1"/>
                <w:color w:val="auto"/>
                <w:w w:val="86"/>
              </w:rPr>
              <w:t>Shares Purchased as Part</w:t>
            </w:r>
          </w:p>
        </w:tc>
        <w:tc>
          <w:tcPr>
            <w:tcW w:w="1860" w:type="dxa"/>
            <w:vAlign w:val="bottom"/>
          </w:tcPr>
          <w:p>
            <w:pPr>
              <w:jc w:val="right"/>
              <w:spacing w:after="0" w:line="152" w:lineRule="exact"/>
              <w:rPr>
                <w:sz w:val="20"/>
                <w:szCs w:val="20"/>
                <w:color w:val="auto"/>
              </w:rPr>
            </w:pPr>
            <w:r>
              <w:rPr>
                <w:rFonts w:ascii="Arial" w:cs="Arial" w:eastAsia="Arial" w:hAnsi="Arial"/>
                <w:sz w:val="16"/>
                <w:szCs w:val="16"/>
                <w:b w:val="1"/>
                <w:bCs w:val="1"/>
                <w:color w:val="auto"/>
                <w:w w:val="90"/>
              </w:rPr>
              <w:t>of Shares that May Yet Be</w:t>
            </w:r>
          </w:p>
        </w:tc>
        <w:tc>
          <w:tcPr>
            <w:tcW w:w="0" w:type="dxa"/>
            <w:vAlign w:val="bottom"/>
          </w:tcPr>
          <w:p>
            <w:pPr>
              <w:spacing w:after="0"/>
              <w:rPr>
                <w:sz w:val="1"/>
                <w:szCs w:val="1"/>
                <w:color w:val="auto"/>
              </w:rPr>
            </w:pPr>
          </w:p>
        </w:tc>
      </w:tr>
      <w:tr>
        <w:trPr>
          <w:trHeight w:val="152"/>
        </w:trPr>
        <w:tc>
          <w:tcPr>
            <w:tcW w:w="3560" w:type="dxa"/>
            <w:vAlign w:val="bottom"/>
            <w:gridSpan w:val="2"/>
            <w:vMerge w:val="restart"/>
          </w:tcPr>
          <w:p>
            <w:pPr>
              <w:ind w:left="1700"/>
              <w:spacing w:after="0"/>
              <w:rPr>
                <w:sz w:val="20"/>
                <w:szCs w:val="20"/>
                <w:color w:val="auto"/>
              </w:rPr>
            </w:pPr>
            <w:r>
              <w:rPr>
                <w:rFonts w:ascii="Arial" w:cs="Arial" w:eastAsia="Arial" w:hAnsi="Arial"/>
                <w:sz w:val="16"/>
                <w:szCs w:val="16"/>
                <w:b w:val="1"/>
                <w:bCs w:val="1"/>
                <w:color w:val="auto"/>
              </w:rPr>
              <w:t>Period</w:t>
            </w:r>
          </w:p>
        </w:tc>
        <w:tc>
          <w:tcPr>
            <w:tcW w:w="1500" w:type="dxa"/>
            <w:vAlign w:val="bottom"/>
          </w:tcPr>
          <w:p>
            <w:pPr>
              <w:jc w:val="right"/>
              <w:ind w:right="362"/>
              <w:spacing w:after="0" w:line="15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80" w:type="dxa"/>
            <w:vAlign w:val="bottom"/>
            <w:gridSpan w:val="2"/>
          </w:tcPr>
          <w:p>
            <w:pPr>
              <w:jc w:val="center"/>
              <w:ind w:right="120"/>
              <w:spacing w:after="0" w:line="152" w:lineRule="exact"/>
              <w:rPr>
                <w:sz w:val="20"/>
                <w:szCs w:val="20"/>
                <w:color w:val="auto"/>
              </w:rPr>
            </w:pPr>
            <w:r>
              <w:rPr>
                <w:rFonts w:ascii="Arial" w:cs="Arial" w:eastAsia="Arial" w:hAnsi="Arial"/>
                <w:sz w:val="16"/>
                <w:szCs w:val="16"/>
                <w:b w:val="1"/>
                <w:bCs w:val="1"/>
                <w:color w:val="auto"/>
                <w:w w:val="87"/>
              </w:rPr>
              <w:t>of Publicly Announced</w:t>
            </w:r>
          </w:p>
        </w:tc>
        <w:tc>
          <w:tcPr>
            <w:tcW w:w="1860" w:type="dxa"/>
            <w:vAlign w:val="bottom"/>
          </w:tcPr>
          <w:p>
            <w:pPr>
              <w:jc w:val="right"/>
              <w:spacing w:after="0" w:line="152" w:lineRule="exact"/>
              <w:rPr>
                <w:sz w:val="20"/>
                <w:szCs w:val="20"/>
                <w:color w:val="auto"/>
              </w:rPr>
            </w:pPr>
            <w:r>
              <w:rPr>
                <w:rFonts w:ascii="Arial" w:cs="Arial" w:eastAsia="Arial" w:hAnsi="Arial"/>
                <w:sz w:val="16"/>
                <w:szCs w:val="16"/>
                <w:b w:val="1"/>
                <w:bCs w:val="1"/>
                <w:color w:val="auto"/>
                <w:w w:val="87"/>
              </w:rPr>
              <w:t>Purchased under the Plans</w:t>
            </w:r>
          </w:p>
        </w:tc>
        <w:tc>
          <w:tcPr>
            <w:tcW w:w="0" w:type="dxa"/>
            <w:vAlign w:val="bottom"/>
          </w:tcPr>
          <w:p>
            <w:pPr>
              <w:spacing w:after="0"/>
              <w:rPr>
                <w:sz w:val="1"/>
                <w:szCs w:val="1"/>
                <w:color w:val="auto"/>
              </w:rPr>
            </w:pPr>
          </w:p>
        </w:tc>
      </w:tr>
      <w:tr>
        <w:trPr>
          <w:trHeight w:val="199"/>
        </w:trPr>
        <w:tc>
          <w:tcPr>
            <w:tcW w:w="3560" w:type="dxa"/>
            <w:vAlign w:val="bottom"/>
            <w:gridSpan w:val="2"/>
            <w:vMerge w:val="continue"/>
          </w:tcPr>
          <w:p>
            <w:pPr>
              <w:spacing w:after="0"/>
              <w:rPr>
                <w:sz w:val="17"/>
                <w:szCs w:val="17"/>
                <w:color w:val="auto"/>
              </w:rPr>
            </w:pPr>
          </w:p>
        </w:tc>
        <w:tc>
          <w:tcPr>
            <w:tcW w:w="1500" w:type="dxa"/>
            <w:vAlign w:val="bottom"/>
          </w:tcPr>
          <w:p>
            <w:pPr>
              <w:jc w:val="right"/>
              <w:ind w:right="262"/>
              <w:spacing w:after="0" w:line="199"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100" w:type="dxa"/>
            <w:vAlign w:val="bottom"/>
          </w:tcPr>
          <w:p>
            <w:pPr>
              <w:spacing w:after="0"/>
              <w:rPr>
                <w:sz w:val="17"/>
                <w:szCs w:val="17"/>
                <w:color w:val="auto"/>
              </w:rPr>
            </w:pPr>
          </w:p>
        </w:tc>
        <w:tc>
          <w:tcPr>
            <w:tcW w:w="1700" w:type="dxa"/>
            <w:vAlign w:val="bottom"/>
            <w:gridSpan w:val="3"/>
          </w:tcPr>
          <w:p>
            <w:pPr>
              <w:ind w:left="300"/>
              <w:spacing w:after="0"/>
              <w:rPr>
                <w:sz w:val="20"/>
                <w:szCs w:val="20"/>
                <w:color w:val="auto"/>
              </w:rPr>
            </w:pPr>
            <w:r>
              <w:rPr>
                <w:rFonts w:ascii="Arial" w:cs="Arial" w:eastAsia="Arial" w:hAnsi="Arial"/>
                <w:sz w:val="16"/>
                <w:szCs w:val="16"/>
                <w:b w:val="1"/>
                <w:bCs w:val="1"/>
                <w:color w:val="auto"/>
              </w:rPr>
              <w:t>Paid Per Share</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Plans or Programs</w:t>
            </w:r>
          </w:p>
        </w:tc>
        <w:tc>
          <w:tcPr>
            <w:tcW w:w="1860" w:type="dxa"/>
            <w:vAlign w:val="bottom"/>
          </w:tcPr>
          <w:p>
            <w:pPr>
              <w:jc w:val="right"/>
              <w:ind w:right="442"/>
              <w:spacing w:after="0"/>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191"/>
        </w:trPr>
        <w:tc>
          <w:tcPr>
            <w:tcW w:w="34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April 1, 2021 to April 30, 2021</w:t>
            </w: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24,772</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560" w:type="dxa"/>
            <w:vAlign w:val="bottom"/>
            <w:gridSpan w:val="2"/>
          </w:tcPr>
          <w:p>
            <w:pPr>
              <w:ind w:left="400"/>
              <w:spacing w:after="0"/>
              <w:rPr>
                <w:sz w:val="20"/>
                <w:szCs w:val="20"/>
                <w:color w:val="auto"/>
              </w:rPr>
            </w:pPr>
            <w:r>
              <w:rPr>
                <w:rFonts w:ascii="Arial" w:cs="Arial" w:eastAsia="Arial" w:hAnsi="Arial"/>
                <w:sz w:val="16"/>
                <w:szCs w:val="16"/>
                <w:color w:val="auto"/>
              </w:rPr>
              <w:t>May 1, 2021 to May 31, 2021</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975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7"/>
                <w:szCs w:val="17"/>
                <w:color w:val="auto"/>
              </w:rPr>
            </w:pPr>
          </w:p>
        </w:tc>
        <w:tc>
          <w:tcPr>
            <w:tcW w:w="188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5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June 1, 2021 to June 30, 2021</w:t>
            </w: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1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560" w:type="dxa"/>
            <w:vAlign w:val="bottom"/>
            <w:gridSpan w:val="2"/>
          </w:tcPr>
          <w:p>
            <w:pPr>
              <w:ind w:left="6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29,105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28.28</w:t>
            </w:r>
          </w:p>
        </w:tc>
        <w:tc>
          <w:tcPr>
            <w:tcW w:w="120" w:type="dxa"/>
            <w:vAlign w:val="bottom"/>
          </w:tcPr>
          <w:p>
            <w:pPr>
              <w:spacing w:after="0"/>
              <w:rPr>
                <w:sz w:val="16"/>
                <w:szCs w:val="16"/>
                <w:color w:val="auto"/>
              </w:rPr>
            </w:pPr>
          </w:p>
        </w:tc>
        <w:tc>
          <w:tcPr>
            <w:tcW w:w="178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w:t>
      </w:r>
    </w:p>
    <w:p>
      <w:pPr>
        <w:spacing w:after="0" w:line="94" w:lineRule="exact"/>
        <w:rPr>
          <w:sz w:val="20"/>
          <w:szCs w:val="20"/>
          <w:color w:val="auto"/>
        </w:rPr>
      </w:pPr>
    </w:p>
    <w:p>
      <w:pPr>
        <w:ind w:left="286" w:hanging="286"/>
        <w:spacing w:after="0" w:line="278" w:lineRule="auto"/>
        <w:tabs>
          <w:tab w:leader="none" w:pos="279"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80" w:lineRule="exact"/>
        <w:rPr>
          <w:sz w:val="20"/>
          <w:szCs w:val="20"/>
          <w:color w:val="auto"/>
        </w:rPr>
      </w:pPr>
    </w:p>
    <w:p>
      <w:pPr>
        <w:jc w:val="center"/>
        <w:ind w:right="-85"/>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6"/>
          </w:cols>
          <w:pgMar w:left="314" w:top="127" w:right="4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gridSpan w:val="16"/>
            <w:vMerge w:val="restart"/>
          </w:tcPr>
          <w:p>
            <w:pPr>
              <w:ind w:left="44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3"/>
        </w:trPr>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0"/>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940" w:type="dxa"/>
            <w:vAlign w:val="bottom"/>
            <w:tcBorders>
              <w:top w:val="single" w:sz="8" w:color="auto"/>
            </w:tcBorders>
            <w:gridSpan w:val="23"/>
          </w:tcPr>
          <w:p>
            <w:pPr>
              <w:spacing w:after="0"/>
              <w:rPr>
                <w:rFonts w:ascii="Arial" w:cs="Arial" w:eastAsia="Arial" w:hAnsi="Arial"/>
                <w:sz w:val="16"/>
                <w:szCs w:val="16"/>
                <w:color w:val="0000FF"/>
                <w:w w:val="91"/>
              </w:rPr>
            </w:pPr>
            <w:hyperlink r:id="rId58">
              <w:r>
                <w:rPr>
                  <w:rFonts w:ascii="Arial" w:cs="Arial" w:eastAsia="Arial" w:hAnsi="Arial"/>
                  <w:sz w:val="16"/>
                  <w:szCs w:val="16"/>
                  <w:color w:val="0000FF"/>
                  <w:w w:val="91"/>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80" w:type="dxa"/>
            <w:vAlign w:val="bottom"/>
            <w:tcBorders>
              <w:top w:val="single" w:sz="8" w:color="0000FF"/>
            </w:tcBorders>
            <w:gridSpan w:val="14"/>
          </w:tcPr>
          <w:p>
            <w:pPr>
              <w:spacing w:after="0" w:line="133" w:lineRule="exact"/>
              <w:rPr>
                <w:rFonts w:ascii="Arial" w:cs="Arial" w:eastAsia="Arial" w:hAnsi="Arial"/>
                <w:sz w:val="15"/>
                <w:szCs w:val="15"/>
                <w:color w:val="0000FF"/>
              </w:rPr>
            </w:pPr>
            <w:hyperlink r:id="rId58">
              <w:r>
                <w:rPr>
                  <w:rFonts w:ascii="Arial" w:cs="Arial" w:eastAsia="Arial" w:hAnsi="Arial"/>
                  <w:sz w:val="15"/>
                  <w:szCs w:val="15"/>
                  <w:color w:val="0000FF"/>
                </w:rPr>
                <w:t>Report on Form 10-Q for the quarter ended June 30, 2017).</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94"/>
              </w:rPr>
            </w:pPr>
            <w:hyperlink r:id="rId59">
              <w:r>
                <w:rPr>
                  <w:rFonts w:ascii="Arial" w:cs="Arial" w:eastAsia="Arial" w:hAnsi="Arial"/>
                  <w:sz w:val="16"/>
                  <w:szCs w:val="16"/>
                  <w:color w:val="0000FF"/>
                  <w:w w:val="94"/>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20" w:type="dxa"/>
            <w:vAlign w:val="bottom"/>
            <w:tcBorders>
              <w:top w:val="single" w:sz="8" w:color="0000FF"/>
              <w:bottom w:val="single" w:sz="8" w:color="0000FF"/>
            </w:tcBorders>
            <w:gridSpan w:val="8"/>
          </w:tcPr>
          <w:p>
            <w:pPr>
              <w:spacing w:after="0" w:line="133" w:lineRule="exact"/>
              <w:rPr>
                <w:rFonts w:ascii="Arial" w:cs="Arial" w:eastAsia="Arial" w:hAnsi="Arial"/>
                <w:sz w:val="15"/>
                <w:szCs w:val="15"/>
                <w:color w:val="0000FF"/>
                <w:w w:val="94"/>
              </w:rPr>
            </w:pPr>
            <w:hyperlink r:id="rId59">
              <w:r>
                <w:rPr>
                  <w:rFonts w:ascii="Arial" w:cs="Arial" w:eastAsia="Arial" w:hAnsi="Arial"/>
                  <w:sz w:val="15"/>
                  <w:szCs w:val="15"/>
                  <w:color w:val="0000FF"/>
                  <w:w w:val="94"/>
                </w:rPr>
                <w:t>(incorporated by reference to Exhibit 3.3 to the Quarterly Report on Form 10-Q for the quarter ended June 30, 2017).</w:t>
              </w:r>
            </w:hyperlink>
          </w:p>
        </w:tc>
        <w:tc>
          <w:tcPr>
            <w:tcW w:w="1060" w:type="dxa"/>
            <w:vAlign w:val="bottom"/>
            <w:tcBorders>
              <w:top w:val="single" w:sz="8" w:color="0000FF"/>
            </w:tcBorders>
            <w:gridSpan w:val="3"/>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0"/>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92"/>
              </w:rPr>
            </w:pPr>
            <w:hyperlink r:id="rId60">
              <w:r>
                <w:rPr>
                  <w:rFonts w:ascii="Arial" w:cs="Arial" w:eastAsia="Arial" w:hAnsi="Arial"/>
                  <w:sz w:val="16"/>
                  <w:szCs w:val="16"/>
                  <w:color w:val="0000FF"/>
                  <w:w w:val="92"/>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20" w:type="dxa"/>
            <w:vAlign w:val="bottom"/>
            <w:tcBorders>
              <w:top w:val="single" w:sz="8" w:color="0000FF"/>
              <w:bottom w:val="single" w:sz="8" w:color="0000FF"/>
            </w:tcBorders>
            <w:gridSpan w:val="8"/>
          </w:tcPr>
          <w:p>
            <w:pPr>
              <w:spacing w:after="0" w:line="133" w:lineRule="exact"/>
              <w:rPr>
                <w:rFonts w:ascii="Arial" w:cs="Arial" w:eastAsia="Arial" w:hAnsi="Arial"/>
                <w:sz w:val="15"/>
                <w:szCs w:val="15"/>
                <w:color w:val="0000FF"/>
                <w:w w:val="94"/>
              </w:rPr>
            </w:pPr>
            <w:hyperlink r:id="rId60">
              <w:r>
                <w:rPr>
                  <w:rFonts w:ascii="Arial" w:cs="Arial" w:eastAsia="Arial" w:hAnsi="Arial"/>
                  <w:sz w:val="15"/>
                  <w:szCs w:val="15"/>
                  <w:color w:val="0000FF"/>
                  <w:w w:val="94"/>
                </w:rPr>
                <w:t>(incorporated by reference to Exhibit 3.4 to the Quarterly Report on Form 10-Q for the quarter ended June 30, 2017).</w:t>
              </w:r>
            </w:hyperlink>
          </w:p>
        </w:tc>
        <w:tc>
          <w:tcPr>
            <w:tcW w:w="1220" w:type="dxa"/>
            <w:vAlign w:val="bottom"/>
            <w:tcBorders>
              <w:top w:val="single" w:sz="8" w:color="0000FF"/>
            </w:tcBorders>
            <w:gridSpan w:val="4"/>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0"/>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89"/>
              </w:rPr>
            </w:pPr>
            <w:hyperlink r:id="rId61">
              <w:r>
                <w:rPr>
                  <w:rFonts w:ascii="Arial" w:cs="Arial" w:eastAsia="Arial" w:hAnsi="Arial"/>
                  <w:sz w:val="16"/>
                  <w:szCs w:val="16"/>
                  <w:color w:val="0000FF"/>
                  <w:w w:val="89"/>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5"/>
          </w:tcPr>
          <w:p>
            <w:pPr>
              <w:spacing w:after="0" w:line="133" w:lineRule="exact"/>
              <w:rPr>
                <w:rFonts w:ascii="Arial" w:cs="Arial" w:eastAsia="Arial" w:hAnsi="Arial"/>
                <w:sz w:val="15"/>
                <w:szCs w:val="15"/>
                <w:color w:val="0000FF"/>
                <w:w w:val="95"/>
              </w:rPr>
            </w:pPr>
            <w:hyperlink r:id="rId61">
              <w:r>
                <w:rPr>
                  <w:rFonts w:ascii="Arial" w:cs="Arial" w:eastAsia="Arial" w:hAnsi="Arial"/>
                  <w:sz w:val="15"/>
                  <w:szCs w:val="15"/>
                  <w:color w:val="0000FF"/>
                  <w:w w:val="95"/>
                </w:rPr>
                <w:t>on Form 8-K filed on February 22, 2018).</w:t>
              </w:r>
            </w:hyperlink>
          </w:p>
        </w:tc>
        <w:tc>
          <w:tcPr>
            <w:tcW w:w="616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10.1†</w:t>
            </w: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89"/>
              </w:rPr>
            </w:pPr>
            <w:hyperlink r:id="rId62">
              <w:r>
                <w:rPr>
                  <w:rFonts w:ascii="Arial" w:cs="Arial" w:eastAsia="Arial" w:hAnsi="Arial"/>
                  <w:sz w:val="16"/>
                  <w:szCs w:val="16"/>
                  <w:color w:val="0000FF"/>
                  <w:w w:val="89"/>
                </w:rPr>
                <w:t>Form of Stock Option Cancellation Agreement for certain stock options under the Matador Resources Company Amended and Restated 2012</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40" w:type="dxa"/>
            <w:vAlign w:val="bottom"/>
            <w:tcBorders>
              <w:top w:val="single" w:sz="8" w:color="0000FF"/>
            </w:tcBorders>
            <w:gridSpan w:val="19"/>
          </w:tcPr>
          <w:p>
            <w:pPr>
              <w:spacing w:after="0" w:line="133" w:lineRule="exact"/>
              <w:rPr>
                <w:rFonts w:ascii="Arial" w:cs="Arial" w:eastAsia="Arial" w:hAnsi="Arial"/>
                <w:sz w:val="15"/>
                <w:szCs w:val="15"/>
                <w:color w:val="0000FF"/>
                <w:w w:val="95"/>
              </w:rPr>
            </w:pPr>
            <w:hyperlink r:id="rId62">
              <w:r>
                <w:rPr>
                  <w:rFonts w:ascii="Arial" w:cs="Arial" w:eastAsia="Arial" w:hAnsi="Arial"/>
                  <w:sz w:val="15"/>
                  <w:szCs w:val="15"/>
                  <w:color w:val="0000FF"/>
                  <w:w w:val="95"/>
                </w:rPr>
                <w:t>Long-Term Incentive Plan (incorporated by reference to Exhibit 10.56 to the Annual Report on Form 10-K for the year ended December 31,</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0000FF"/>
              <w:bottom w:val="single" w:sz="8" w:color="0000FF"/>
            </w:tcBorders>
          </w:tcPr>
          <w:p>
            <w:pPr>
              <w:spacing w:after="0" w:line="133" w:lineRule="exact"/>
              <w:rPr>
                <w:rFonts w:ascii="Arial" w:cs="Arial" w:eastAsia="Arial" w:hAnsi="Arial"/>
                <w:sz w:val="15"/>
                <w:szCs w:val="15"/>
                <w:color w:val="0000FF"/>
                <w:w w:val="89"/>
              </w:rPr>
            </w:pPr>
            <w:hyperlink r:id="rId62">
              <w:r>
                <w:rPr>
                  <w:rFonts w:ascii="Arial" w:cs="Arial" w:eastAsia="Arial" w:hAnsi="Arial"/>
                  <w:sz w:val="15"/>
                  <w:szCs w:val="15"/>
                  <w:color w:val="0000FF"/>
                  <w:w w:val="89"/>
                </w:rPr>
                <w:t>2020).</w:t>
              </w:r>
            </w:hyperlink>
          </w:p>
        </w:tc>
        <w:tc>
          <w:tcPr>
            <w:tcW w:w="24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6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90"/>
              </w:rPr>
            </w:pPr>
            <w:hyperlink r:id="rId63">
              <w:r>
                <w:rPr>
                  <w:rFonts w:ascii="Arial" w:cs="Arial" w:eastAsia="Arial" w:hAnsi="Arial"/>
                  <w:sz w:val="16"/>
                  <w:szCs w:val="16"/>
                  <w:color w:val="0000FF"/>
                  <w:w w:val="90"/>
                </w:rPr>
                <w:t>Fifteenth Amendment to Third Amended and Restated Credit Agreement, dated as of April 23, 2021, by and among MRC Energy Company,</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20" w:type="dxa"/>
            <w:vAlign w:val="bottom"/>
            <w:tcBorders>
              <w:top w:val="single" w:sz="8" w:color="0000FF"/>
            </w:tcBorders>
            <w:gridSpan w:val="18"/>
          </w:tcPr>
          <w:p>
            <w:pPr>
              <w:spacing w:after="0" w:line="133" w:lineRule="exact"/>
              <w:rPr>
                <w:rFonts w:ascii="Arial" w:cs="Arial" w:eastAsia="Arial" w:hAnsi="Arial"/>
                <w:sz w:val="15"/>
                <w:szCs w:val="15"/>
                <w:color w:val="0000FF"/>
                <w:w w:val="94"/>
              </w:rPr>
            </w:pPr>
            <w:hyperlink r:id="rId63">
              <w:r>
                <w:rPr>
                  <w:rFonts w:ascii="Arial" w:cs="Arial" w:eastAsia="Arial" w:hAnsi="Arial"/>
                  <w:sz w:val="15"/>
                  <w:szCs w:val="15"/>
                  <w:color w:val="0000FF"/>
                  <w:w w:val="94"/>
                </w:rPr>
                <w:t>as Borrower, the Lenders party thereto and Royal Bank of Canada, as Administrative Agent (incorporated by reference to Exhibit 10.1 to the</w:t>
              </w:r>
            </w:hyperlink>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60" w:type="dxa"/>
            <w:vAlign w:val="bottom"/>
            <w:tcBorders>
              <w:top w:val="single" w:sz="8" w:color="0000FF"/>
              <w:bottom w:val="single" w:sz="8" w:color="0000FF"/>
            </w:tcBorders>
            <w:gridSpan w:val="6"/>
          </w:tcPr>
          <w:p>
            <w:pPr>
              <w:spacing w:after="0" w:line="133" w:lineRule="exact"/>
              <w:rPr>
                <w:rFonts w:ascii="Arial" w:cs="Arial" w:eastAsia="Arial" w:hAnsi="Arial"/>
                <w:sz w:val="15"/>
                <w:szCs w:val="15"/>
                <w:color w:val="0000FF"/>
                <w:w w:val="96"/>
              </w:rPr>
            </w:pPr>
            <w:hyperlink r:id="rId63">
              <w:r>
                <w:rPr>
                  <w:rFonts w:ascii="Arial" w:cs="Arial" w:eastAsia="Arial" w:hAnsi="Arial"/>
                  <w:sz w:val="15"/>
                  <w:szCs w:val="15"/>
                  <w:color w:val="0000FF"/>
                  <w:w w:val="96"/>
                </w:rPr>
                <w:t>Current Report on Form 8-K filed on April 29, 2021).</w:t>
              </w:r>
            </w:hyperlink>
          </w:p>
        </w:tc>
        <w:tc>
          <w:tcPr>
            <w:tcW w:w="5440" w:type="dxa"/>
            <w:vAlign w:val="bottom"/>
            <w:tcBorders>
              <w:top w:val="single" w:sz="8" w:color="0000FF"/>
            </w:tcBorders>
            <w:gridSpan w:val="11"/>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10.3†</w:t>
            </w:r>
          </w:p>
        </w:tc>
        <w:tc>
          <w:tcPr>
            <w:tcW w:w="20" w:type="dxa"/>
            <w:vAlign w:val="bottom"/>
          </w:tcPr>
          <w:p>
            <w:pPr>
              <w:spacing w:after="0"/>
              <w:rPr>
                <w:sz w:val="19"/>
                <w:szCs w:val="19"/>
                <w:color w:val="auto"/>
              </w:rPr>
            </w:pPr>
          </w:p>
        </w:tc>
        <w:tc>
          <w:tcPr>
            <w:tcW w:w="8920" w:type="dxa"/>
            <w:vAlign w:val="bottom"/>
            <w:tcBorders>
              <w:bottom w:val="single" w:sz="8" w:color="0000FF"/>
            </w:tcBorders>
            <w:gridSpan w:val="2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Form of Phantom Unit Award Agreement for awards under the Matador Resources Company 2019 Long-Term Incentive Plan (filed herewith).</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10.4†</w:t>
            </w: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Form of Performance Stock Unit Award Agreement for awards under the Matador Resources Company 2019 Long-Term Incentive Plan (filed</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0000FF"/>
              <w:bottom w:val="single" w:sz="8" w:color="0000FF"/>
            </w:tcBorders>
            <w:gridSpan w:val="2"/>
          </w:tcPr>
          <w:p>
            <w:pPr>
              <w:spacing w:after="0" w:line="133" w:lineRule="exact"/>
              <w:rPr>
                <w:rFonts w:ascii="Arial" w:cs="Arial" w:eastAsia="Arial" w:hAnsi="Arial"/>
                <w:sz w:val="15"/>
                <w:szCs w:val="15"/>
                <w:color w:val="0000FF"/>
                <w:w w:val="94"/>
              </w:rPr>
            </w:pPr>
            <w:hyperlink w:anchor="page52">
              <w:r>
                <w:rPr>
                  <w:rFonts w:ascii="Arial" w:cs="Arial" w:eastAsia="Arial" w:hAnsi="Arial"/>
                  <w:sz w:val="15"/>
                  <w:szCs w:val="15"/>
                  <w:color w:val="0000FF"/>
                  <w:w w:val="94"/>
                </w:rPr>
                <w:t>herewith).</w:t>
              </w:r>
            </w:hyperlink>
          </w:p>
        </w:tc>
        <w:tc>
          <w:tcPr>
            <w:tcW w:w="824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3"/>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3"/>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0"/>
              </w:rPr>
            </w:pPr>
            <w:hyperlink w:anchor="page60">
              <w:r>
                <w:rPr>
                  <w:rFonts w:ascii="Arial" w:cs="Arial" w:eastAsia="Arial" w:hAnsi="Arial"/>
                  <w:sz w:val="16"/>
                  <w:szCs w:val="16"/>
                  <w:color w:val="0000FF"/>
                  <w:w w:val="90"/>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19"/>
                <w:szCs w:val="19"/>
                <w:color w:val="auto"/>
              </w:rPr>
            </w:pPr>
          </w:p>
        </w:tc>
        <w:tc>
          <w:tcPr>
            <w:tcW w:w="1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3"/>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91"/>
              </w:rPr>
            </w:pPr>
            <w:hyperlink w:anchor="page61">
              <w:r>
                <w:rPr>
                  <w:rFonts w:ascii="Arial" w:cs="Arial" w:eastAsia="Arial" w:hAnsi="Arial"/>
                  <w:sz w:val="16"/>
                  <w:szCs w:val="16"/>
                  <w:color w:val="0000FF"/>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0000FF"/>
              <w:bottom w:val="single" w:sz="8" w:color="0000FF"/>
            </w:tcBorders>
            <w:gridSpan w:val="4"/>
          </w:tcPr>
          <w:p>
            <w:pPr>
              <w:spacing w:after="0" w:line="133" w:lineRule="exact"/>
              <w:rPr>
                <w:rFonts w:ascii="Arial" w:cs="Arial" w:eastAsia="Arial" w:hAnsi="Arial"/>
                <w:sz w:val="15"/>
                <w:szCs w:val="15"/>
                <w:color w:val="0000FF"/>
                <w:w w:val="95"/>
              </w:rPr>
            </w:pPr>
            <w:hyperlink w:anchor="page61">
              <w:r>
                <w:rPr>
                  <w:rFonts w:ascii="Arial" w:cs="Arial" w:eastAsia="Arial" w:hAnsi="Arial"/>
                  <w:sz w:val="15"/>
                  <w:szCs w:val="15"/>
                  <w:color w:val="0000FF"/>
                  <w:w w:val="95"/>
                </w:rPr>
                <w:t>Act of 2002 (furnished herewith).</w:t>
              </w:r>
            </w:hyperlink>
          </w:p>
        </w:tc>
        <w:tc>
          <w:tcPr>
            <w:tcW w:w="6560" w:type="dxa"/>
            <w:vAlign w:val="bottom"/>
            <w:tcBorders>
              <w:top w:val="single" w:sz="8" w:color="0000FF"/>
            </w:tcBorders>
            <w:gridSpan w:val="9"/>
          </w:tcPr>
          <w:p>
            <w:pPr>
              <w:spacing w:after="0"/>
              <w:rPr>
                <w:sz w:val="11"/>
                <w:szCs w:val="11"/>
                <w:color w:val="auto"/>
              </w:rPr>
            </w:pPr>
          </w:p>
        </w:tc>
        <w:tc>
          <w:tcPr>
            <w:tcW w:w="240" w:type="dxa"/>
            <w:vAlign w:val="bottom"/>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40" w:type="dxa"/>
            <w:vAlign w:val="bottom"/>
          </w:tcPr>
          <w:p>
            <w:pPr>
              <w:jc w:val="center"/>
              <w:spacing w:after="0"/>
              <w:rPr>
                <w:sz w:val="20"/>
                <w:szCs w:val="20"/>
                <w:color w:val="auto"/>
              </w:rPr>
            </w:pPr>
            <w:r>
              <w:rPr>
                <w:rFonts w:ascii="Arial" w:cs="Arial" w:eastAsia="Arial" w:hAnsi="Arial"/>
                <w:sz w:val="16"/>
                <w:szCs w:val="16"/>
                <w:color w:val="auto"/>
                <w:w w:val="83"/>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gridSpan w:val="23"/>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3"/>
          </w:tcPr>
          <w:p>
            <w:pPr>
              <w:spacing w:after="0" w:line="133" w:lineRule="exact"/>
              <w:rPr>
                <w:rFonts w:ascii="Arial" w:cs="Arial" w:eastAsia="Arial" w:hAnsi="Arial"/>
                <w:sz w:val="15"/>
                <w:szCs w:val="15"/>
                <w:color w:val="0000FF"/>
                <w:w w:val="95"/>
              </w:rPr>
            </w:pPr>
            <w:hyperlink w:anchor="page62">
              <w:r>
                <w:rPr>
                  <w:rFonts w:ascii="Arial" w:cs="Arial" w:eastAsia="Arial" w:hAnsi="Arial"/>
                  <w:sz w:val="15"/>
                  <w:szCs w:val="15"/>
                  <w:color w:val="0000FF"/>
                  <w:w w:val="95"/>
                </w:rPr>
                <w:t>of 2002 (furnished herewith).</w:t>
              </w:r>
            </w:hyperlink>
          </w:p>
        </w:tc>
        <w:tc>
          <w:tcPr>
            <w:tcW w:w="7060" w:type="dxa"/>
            <w:vAlign w:val="bottom"/>
            <w:tcBorders>
              <w:top w:val="single" w:sz="8" w:color="0000FF"/>
            </w:tcBorders>
            <w:gridSpan w:val="18"/>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880" w:right="339" w:hanging="570"/>
        <w:spacing w:after="0" w:line="224"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following financial information from Matador Resources Company’s Quarterly Report on Form 10-Q for the quarter ended June 30, 2021,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50" w:lineRule="exact"/>
        <w:rPr>
          <w:sz w:val="20"/>
          <w:szCs w:val="20"/>
          <w:color w:val="auto"/>
        </w:rPr>
      </w:pPr>
    </w:p>
    <w:p>
      <w:pPr>
        <w:ind w:left="880" w:hanging="570"/>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(included as Exhibit 101).</w:t>
      </w:r>
    </w:p>
    <w:p>
      <w:pPr>
        <w:spacing w:after="0" w:line="24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01" w:lineRule="exact"/>
        <w:rPr>
          <w:sz w:val="20"/>
          <w:szCs w:val="20"/>
          <w:color w:val="auto"/>
        </w:rPr>
      </w:pPr>
    </w:p>
    <w:p>
      <w:pPr>
        <w:ind w:right="220" w:firstLine="387"/>
        <w:spacing w:after="0" w:line="26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3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MATADOR RESOURCES COMPANY</w:t>
            </w:r>
          </w:p>
        </w:tc>
      </w:tr>
      <w:tr>
        <w:trPr>
          <w:trHeight w:val="247"/>
        </w:trPr>
        <w:tc>
          <w:tcPr>
            <w:tcW w:w="3020" w:type="dxa"/>
            <w:vAlign w:val="bottom"/>
          </w:tcPr>
          <w:p>
            <w:pPr>
              <w:spacing w:after="0"/>
              <w:rPr>
                <w:sz w:val="20"/>
                <w:szCs w:val="20"/>
                <w:color w:val="auto"/>
              </w:rPr>
            </w:pPr>
            <w:r>
              <w:rPr>
                <w:rFonts w:ascii="Arial" w:cs="Arial" w:eastAsia="Arial" w:hAnsi="Arial"/>
                <w:sz w:val="16"/>
                <w:szCs w:val="16"/>
                <w:color w:val="auto"/>
              </w:rPr>
              <w:t>Date: July 30, 2021</w:t>
            </w:r>
          </w:p>
        </w:tc>
        <w:tc>
          <w:tcPr>
            <w:tcW w:w="2540" w:type="dxa"/>
            <w:vAlign w:val="bottom"/>
          </w:tcPr>
          <w:p>
            <w:pPr>
              <w:ind w:left="1800"/>
              <w:spacing w:after="0"/>
              <w:rPr>
                <w:sz w:val="20"/>
                <w:szCs w:val="20"/>
                <w:color w:val="auto"/>
              </w:rPr>
            </w:pPr>
            <w:r>
              <w:rPr>
                <w:rFonts w:ascii="Arial" w:cs="Arial" w:eastAsia="Arial" w:hAnsi="Arial"/>
                <w:sz w:val="16"/>
                <w:szCs w:val="16"/>
                <w:color w:val="auto"/>
              </w:rPr>
              <w:t>By:</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Wm. Foran</w:t>
            </w:r>
          </w:p>
        </w:tc>
      </w:tr>
      <w:tr>
        <w:trPr>
          <w:trHeight w:val="191"/>
        </w:trPr>
        <w:tc>
          <w:tcPr>
            <w:tcW w:w="30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Joseph Wm. Foran</w:t>
            </w:r>
          </w:p>
        </w:tc>
      </w:tr>
      <w:tr>
        <w:trPr>
          <w:trHeight w:val="199"/>
        </w:trPr>
        <w:tc>
          <w:tcPr>
            <w:tcW w:w="3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93"/>
        </w:trPr>
        <w:tc>
          <w:tcPr>
            <w:tcW w:w="3020" w:type="dxa"/>
            <w:vAlign w:val="bottom"/>
          </w:tcPr>
          <w:p>
            <w:pPr>
              <w:spacing w:after="0"/>
              <w:rPr>
                <w:sz w:val="20"/>
                <w:szCs w:val="20"/>
                <w:color w:val="auto"/>
              </w:rPr>
            </w:pPr>
            <w:r>
              <w:rPr>
                <w:rFonts w:ascii="Arial" w:cs="Arial" w:eastAsia="Arial" w:hAnsi="Arial"/>
                <w:sz w:val="16"/>
                <w:szCs w:val="16"/>
                <w:color w:val="auto"/>
              </w:rPr>
              <w:t>Date: July 30, 2021</w:t>
            </w:r>
          </w:p>
        </w:tc>
        <w:tc>
          <w:tcPr>
            <w:tcW w:w="2540" w:type="dxa"/>
            <w:vAlign w:val="bottom"/>
          </w:tcPr>
          <w:p>
            <w:pPr>
              <w:ind w:left="1800"/>
              <w:spacing w:after="0"/>
              <w:rPr>
                <w:sz w:val="20"/>
                <w:szCs w:val="20"/>
                <w:color w:val="auto"/>
              </w:rPr>
            </w:pPr>
            <w:r>
              <w:rPr>
                <w:rFonts w:ascii="Arial" w:cs="Arial" w:eastAsia="Arial" w:hAnsi="Arial"/>
                <w:sz w:val="16"/>
                <w:szCs w:val="16"/>
                <w:color w:val="auto"/>
              </w:rPr>
              <w:t>By:</w:t>
            </w: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E. Lancaster</w:t>
            </w:r>
          </w:p>
        </w:tc>
      </w:tr>
      <w:tr>
        <w:trPr>
          <w:trHeight w:val="191"/>
        </w:trPr>
        <w:tc>
          <w:tcPr>
            <w:tcW w:w="30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David E. Lancaster</w:t>
            </w:r>
          </w:p>
        </w:tc>
      </w:tr>
      <w:tr>
        <w:trPr>
          <w:trHeight w:val="199"/>
        </w:trPr>
        <w:tc>
          <w:tcPr>
            <w:tcW w:w="3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127"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PHANTOM UNIT AWARD AGREEMENT</w:t>
      </w: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MATADOR RESOURCES COMPANY</w:t>
      </w:r>
    </w:p>
    <w:p>
      <w:pPr>
        <w:spacing w:after="0" w:line="2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2019 LONG-TERM INCENTIVE PLAN</w:t>
      </w:r>
    </w:p>
    <w:p>
      <w:pPr>
        <w:spacing w:after="0" w:line="189" w:lineRule="exact"/>
        <w:rPr>
          <w:sz w:val="20"/>
          <w:szCs w:val="20"/>
          <w:color w:val="auto"/>
        </w:rPr>
      </w:pPr>
    </w:p>
    <w:p>
      <w:pPr>
        <w:ind w:right="20" w:firstLine="556"/>
        <w:spacing w:after="0" w:line="242" w:lineRule="auto"/>
        <w:tabs>
          <w:tab w:leader="none" w:pos="89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Award of Phantom Units</w:t>
      </w:r>
      <w:r>
        <w:rPr>
          <w:rFonts w:ascii="Arial" w:cs="Arial" w:eastAsia="Arial" w:hAnsi="Arial"/>
          <w:sz w:val="17"/>
          <w:szCs w:val="17"/>
          <w:color w:val="auto"/>
        </w:rPr>
        <w:t>. Pursuant to the Matador Resources Company 2019 Long-Term Incentive Plan (as the same may be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Matador Resources Company,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grants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 Award of [●] Phantom Units (the “</w:t>
      </w:r>
      <w:r>
        <w:rPr>
          <w:rFonts w:ascii="Arial" w:cs="Arial" w:eastAsia="Arial" w:hAnsi="Arial"/>
          <w:sz w:val="17"/>
          <w:szCs w:val="17"/>
          <w:b w:val="1"/>
          <w:bCs w:val="1"/>
          <w:i w:val="1"/>
          <w:iCs w:val="1"/>
          <w:color w:val="auto"/>
        </w:rPr>
        <w:t>Awarded Units</w:t>
      </w:r>
      <w:r>
        <w:rPr>
          <w:rFonts w:ascii="Arial" w:cs="Arial" w:eastAsia="Arial" w:hAnsi="Arial"/>
          <w:sz w:val="17"/>
          <w:szCs w:val="17"/>
          <w:color w:val="auto"/>
        </w:rPr>
        <w:t>”) subject to the terms and conditions of this Phantom Unit Award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and the Plan.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of this Award is [●]. Each Awarded Unit shall represent a notional share of Common Stock, with the value of each Awarded Unit being equal to the Fair Market Value of a share of Common Stock at any given time.</w:t>
      </w:r>
    </w:p>
    <w:p>
      <w:pPr>
        <w:spacing w:after="0" w:line="169" w:lineRule="exact"/>
        <w:rPr>
          <w:sz w:val="20"/>
          <w:szCs w:val="20"/>
          <w:color w:val="auto"/>
        </w:rPr>
      </w:pPr>
    </w:p>
    <w:p>
      <w:pPr>
        <w:jc w:val="both"/>
        <w:ind w:firstLine="556"/>
        <w:spacing w:after="0" w:line="224" w:lineRule="auto"/>
        <w:tabs>
          <w:tab w:leader="none" w:pos="86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Subject to Plan; Definitions</w:t>
      </w:r>
      <w:r>
        <w:rPr>
          <w:rFonts w:ascii="Arial" w:cs="Arial" w:eastAsia="Arial" w:hAnsi="Arial"/>
          <w:sz w:val="17"/>
          <w:szCs w:val="17"/>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 ● ], by and between the Company and the Participant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right="20" w:firstLine="556"/>
        <w:spacing w:after="0" w:line="242" w:lineRule="auto"/>
        <w:tabs>
          <w:tab w:leader="none" w:pos="89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Vesting; Settlement of Awarded Units</w:t>
      </w:r>
      <w:r>
        <w:rPr>
          <w:rFonts w:ascii="Arial" w:cs="Arial" w:eastAsia="Arial" w:hAnsi="Arial"/>
          <w:sz w:val="17"/>
          <w:szCs w:val="17"/>
          <w:color w:val="auto"/>
        </w:rPr>
        <w:t>. Awarded Units which have become vested pursuant to the terms of this Section 3 are collectively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All other Awarded Units are collectively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w:t>
      </w:r>
    </w:p>
    <w:p>
      <w:pPr>
        <w:spacing w:after="0" w:line="168" w:lineRule="exact"/>
        <w:rPr>
          <w:sz w:val="20"/>
          <w:szCs w:val="20"/>
          <w:color w:val="auto"/>
        </w:rPr>
      </w:pPr>
    </w:p>
    <w:p>
      <w:pPr>
        <w:ind w:firstLine="556"/>
        <w:spacing w:after="0" w:line="242" w:lineRule="auto"/>
        <w:tabs>
          <w:tab w:leader="none" w:pos="879"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specifically provided in this Agreement and subject to certain restrictions and conditions set forth in the Plan, the Awarded Units shall vest as follows (each such vesting date referred to below,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p>
    <w:p>
      <w:pPr>
        <w:spacing w:after="0" w:line="203" w:lineRule="exact"/>
        <w:rPr>
          <w:sz w:val="20"/>
          <w:szCs w:val="20"/>
          <w:color w:val="auto"/>
        </w:rPr>
      </w:pPr>
    </w:p>
    <w:p>
      <w:pPr>
        <w:jc w:val="both"/>
        <w:ind w:firstLine="556"/>
        <w:spacing w:after="0" w:line="297" w:lineRule="auto"/>
        <w:tabs>
          <w:tab w:leader="none" w:pos="877"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Notwithstanding the foregoing, if within thirty (30) days prior to or twelve (12) months following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all Unvested Units shall thereupon immediately become Vested Units, and the date of such Termination of Service shall be the applicable Vesting Date for such Vested Units.</w:t>
      </w:r>
    </w:p>
    <w:p>
      <w:pPr>
        <w:spacing w:after="0" w:line="153" w:lineRule="exact"/>
        <w:rPr>
          <w:rFonts w:ascii="Arial" w:cs="Arial" w:eastAsia="Arial" w:hAnsi="Arial"/>
          <w:sz w:val="15"/>
          <w:szCs w:val="15"/>
          <w:color w:val="auto"/>
        </w:rPr>
      </w:pPr>
    </w:p>
    <w:p>
      <w:pPr>
        <w:ind w:right="20" w:firstLine="556"/>
        <w:spacing w:after="0" w:line="271" w:lineRule="auto"/>
        <w:tabs>
          <w:tab w:leader="none" w:pos="8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Following each Vesting Date, the Awarded Units that vest on such date shall be settled in cash, in an amount equal to the number of Awarded Units that vested on such Vesting Date multiplied by the Fair Market Value of the Common Stock on such Vesting Date.</w:t>
      </w:r>
    </w:p>
    <w:p>
      <w:pPr>
        <w:spacing w:after="0" w:line="167" w:lineRule="exact"/>
        <w:rPr>
          <w:rFonts w:ascii="Arial" w:cs="Arial" w:eastAsia="Arial" w:hAnsi="Arial"/>
          <w:sz w:val="17"/>
          <w:szCs w:val="17"/>
          <w:color w:val="auto"/>
        </w:rPr>
      </w:pPr>
    </w:p>
    <w:p>
      <w:pPr>
        <w:ind w:firstLine="556"/>
        <w:spacing w:after="0" w:line="271" w:lineRule="auto"/>
        <w:tabs>
          <w:tab w:leader="none" w:pos="887"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Payment in settlement of the Vested Units shall be made within thirty (30) days of each applicable Vesting Date, and in no event later than two and a half (2½) months following the close of the calendar year in which the applicable Vesting Date occurred.</w:t>
      </w:r>
    </w:p>
    <w:p>
      <w:pPr>
        <w:sectPr>
          <w:pgSz w:w="11900" w:h="16838" w:orient="portrait"/>
          <w:cols w:equalWidth="0" w:num="1">
            <w:col w:w="11260"/>
          </w:cols>
          <w:pgMar w:left="320" w:top="123" w:right="319" w:bottom="1440" w:gutter="0" w:footer="0" w:header="0"/>
        </w:sectPr>
      </w:pPr>
    </w:p>
    <w:bookmarkStart w:id="46" w:name="page47"/>
    <w:bookmarkEnd w:id="46"/>
    <w:p>
      <w:pPr>
        <w:spacing w:after="0" w:line="9" w:lineRule="exact"/>
        <w:rPr>
          <w:sz w:val="20"/>
          <w:szCs w:val="20"/>
          <w:color w:val="auto"/>
        </w:rPr>
      </w:pPr>
    </w:p>
    <w:p>
      <w:pPr>
        <w:jc w:val="both"/>
        <w:ind w:right="20" w:firstLine="556"/>
        <w:spacing w:after="0" w:line="232" w:lineRule="auto"/>
        <w:tabs>
          <w:tab w:leader="none" w:pos="8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Forfeiture of Awarded Units</w:t>
      </w:r>
      <w:r>
        <w:rPr>
          <w:rFonts w:ascii="Arial" w:cs="Arial" w:eastAsia="Arial" w:hAnsi="Arial"/>
          <w:sz w:val="17"/>
          <w:szCs w:val="17"/>
          <w:color w:val="auto"/>
        </w:rPr>
        <w:t>. Unvested Units shall be forfeited, without the payment of any consideration therefor, immediately upon the Participant’s Termination of Service. Upon forfeiture, all of the Participant’s rights with respect to the forfeited Awarded Units shall cease and terminate, without any further obligations on the part of the Company.</w:t>
      </w:r>
    </w:p>
    <w:p>
      <w:pPr>
        <w:spacing w:after="0" w:line="171" w:lineRule="exact"/>
        <w:rPr>
          <w:rFonts w:ascii="Arial" w:cs="Arial" w:eastAsia="Arial" w:hAnsi="Arial"/>
          <w:sz w:val="17"/>
          <w:szCs w:val="17"/>
          <w:color w:val="auto"/>
        </w:rPr>
      </w:pPr>
    </w:p>
    <w:p>
      <w:pPr>
        <w:jc w:val="both"/>
        <w:ind w:firstLine="556"/>
        <w:spacing w:after="0" w:line="253" w:lineRule="auto"/>
        <w:tabs>
          <w:tab w:leader="none" w:pos="91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Restrictions on Awarded Units</w:t>
      </w:r>
      <w:r>
        <w:rPr>
          <w:rFonts w:ascii="Arial" w:cs="Arial" w:eastAsia="Arial" w:hAnsi="Arial"/>
          <w:sz w:val="15"/>
          <w:szCs w:val="15"/>
          <w:color w:val="auto"/>
        </w:rPr>
        <w:t>. Subject to the provisions of the Plan and the terms of this Agreement, the Participant shall not be permitted to sell, transfer, pledge, hypothecate, margin, assign or otherwise encumber any of the Awarded Units, except that, the Participant may transfer for no consideration some or all of the Awarded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Awarded Units whenever it may determine that, by reason of changes in applicable laws or changes in circumstances after the date of this Agreement, such action is appropriate.</w:t>
      </w:r>
    </w:p>
    <w:p>
      <w:pPr>
        <w:spacing w:after="0" w:line="161" w:lineRule="exact"/>
        <w:rPr>
          <w:rFonts w:ascii="Arial" w:cs="Arial" w:eastAsia="Arial" w:hAnsi="Arial"/>
          <w:sz w:val="15"/>
          <w:szCs w:val="15"/>
          <w:color w:val="auto"/>
        </w:rPr>
      </w:pPr>
    </w:p>
    <w:p>
      <w:pPr>
        <w:ind w:right="20" w:firstLine="556"/>
        <w:spacing w:after="0" w:line="242" w:lineRule="auto"/>
        <w:tabs>
          <w:tab w:leader="none" w:pos="91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Rights of a Shareholder</w:t>
      </w:r>
      <w:r>
        <w:rPr>
          <w:rFonts w:ascii="Arial" w:cs="Arial" w:eastAsia="Arial" w:hAnsi="Arial"/>
          <w:sz w:val="17"/>
          <w:szCs w:val="17"/>
          <w:color w:val="auto"/>
        </w:rPr>
        <w:t>. The Participant will have no rights as a shareholder with respect to any of the Awarded Units covered by this Agreement (including, without limitation, any voting rights or the right to receive any dividends).</w:t>
      </w:r>
    </w:p>
    <w:p>
      <w:pPr>
        <w:spacing w:after="0" w:line="168" w:lineRule="exact"/>
        <w:rPr>
          <w:rFonts w:ascii="Arial" w:cs="Arial" w:eastAsia="Arial" w:hAnsi="Arial"/>
          <w:sz w:val="17"/>
          <w:szCs w:val="17"/>
          <w:color w:val="auto"/>
        </w:rPr>
      </w:pPr>
    </w:p>
    <w:p>
      <w:pPr>
        <w:ind w:left="860" w:hanging="304"/>
        <w:spacing w:after="0"/>
        <w:tabs>
          <w:tab w:leader="none" w:pos="860"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Adjustment to Number of Awarded Units</w:t>
      </w:r>
      <w:r>
        <w:rPr>
          <w:rFonts w:ascii="Arial" w:cs="Arial" w:eastAsia="Arial" w:hAnsi="Arial"/>
          <w:sz w:val="15"/>
          <w:szCs w:val="15"/>
          <w:color w:val="auto"/>
        </w:rPr>
        <w:t xml:space="preserve">. The number of Awarded Units shall be subject to adjustment in accordance with </w:t>
      </w:r>
      <w:r>
        <w:rPr>
          <w:rFonts w:ascii="Arial" w:cs="Arial" w:eastAsia="Arial" w:hAnsi="Arial"/>
          <w:sz w:val="15"/>
          <w:szCs w:val="15"/>
          <w:u w:val="single" w:color="auto"/>
          <w:color w:val="auto"/>
        </w:rPr>
        <w:t>Articles 11-13</w:t>
      </w:r>
      <w:r>
        <w:rPr>
          <w:rFonts w:ascii="Arial" w:cs="Arial" w:eastAsia="Arial" w:hAnsi="Arial"/>
          <w:sz w:val="15"/>
          <w:szCs w:val="15"/>
          <w:color w:val="auto"/>
        </w:rPr>
        <w:t xml:space="preserve"> of the Plan.</w:t>
      </w:r>
    </w:p>
    <w:p>
      <w:pPr>
        <w:spacing w:after="0" w:line="214" w:lineRule="exact"/>
        <w:rPr>
          <w:rFonts w:ascii="Arial" w:cs="Arial" w:eastAsia="Arial" w:hAnsi="Arial"/>
          <w:sz w:val="15"/>
          <w:szCs w:val="15"/>
          <w:color w:val="auto"/>
        </w:rPr>
      </w:pPr>
    </w:p>
    <w:p>
      <w:pPr>
        <w:jc w:val="both"/>
        <w:ind w:firstLine="556"/>
        <w:spacing w:after="0"/>
        <w:tabs>
          <w:tab w:leader="none" w:pos="89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w:t>
      </w:r>
      <w:r>
        <w:rPr>
          <w:rFonts w:ascii="Arial" w:cs="Arial" w:eastAsia="Arial" w:hAnsi="Arial"/>
          <w:sz w:val="16"/>
          <w:szCs w:val="16"/>
          <w:color w:val="auto"/>
        </w:rPr>
        <w:t>. Notwithstanding any of the provisions hereof, the Participant hereby agrees that the Company will not be obligated to settle any Awarded Units hereunder if the settlement of such Awarded Units would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spacing w:after="0" w:line="169" w:lineRule="exact"/>
        <w:rPr>
          <w:rFonts w:ascii="Arial" w:cs="Arial" w:eastAsia="Arial" w:hAnsi="Arial"/>
          <w:sz w:val="16"/>
          <w:szCs w:val="16"/>
          <w:color w:val="auto"/>
        </w:rPr>
      </w:pPr>
    </w:p>
    <w:p>
      <w:pPr>
        <w:jc w:val="both"/>
        <w:ind w:firstLine="556"/>
        <w:spacing w:after="0" w:line="232" w:lineRule="auto"/>
        <w:tabs>
          <w:tab w:leader="none" w:pos="87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Participant’s Acknowledgments</w:t>
      </w:r>
      <w:r>
        <w:rPr>
          <w:rFonts w:ascii="Arial" w:cs="Arial" w:eastAsia="Arial" w:hAnsi="Arial"/>
          <w:sz w:val="17"/>
          <w:szCs w:val="17"/>
          <w:color w:val="auto"/>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69" w:lineRule="exact"/>
        <w:rPr>
          <w:rFonts w:ascii="Arial" w:cs="Arial" w:eastAsia="Arial" w:hAnsi="Arial"/>
          <w:sz w:val="17"/>
          <w:szCs w:val="17"/>
          <w:color w:val="auto"/>
        </w:rPr>
      </w:pPr>
    </w:p>
    <w:p>
      <w:pPr>
        <w:ind w:right="20" w:firstLine="556"/>
        <w:spacing w:after="0" w:line="272" w:lineRule="auto"/>
        <w:tabs>
          <w:tab w:leader="none" w:pos="99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Law Governing</w:t>
      </w:r>
      <w:r>
        <w:rPr>
          <w:rFonts w:ascii="Arial" w:cs="Arial" w:eastAsia="Arial" w:hAnsi="Arial"/>
          <w:sz w:val="16"/>
          <w:szCs w:val="16"/>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145" w:lineRule="exact"/>
        <w:rPr>
          <w:rFonts w:ascii="Arial" w:cs="Arial" w:eastAsia="Arial" w:hAnsi="Arial"/>
          <w:sz w:val="16"/>
          <w:szCs w:val="16"/>
          <w:color w:val="auto"/>
        </w:rPr>
      </w:pPr>
    </w:p>
    <w:p>
      <w:pPr>
        <w:ind w:right="20" w:firstLine="556"/>
        <w:spacing w:after="0" w:line="272" w:lineRule="auto"/>
        <w:tabs>
          <w:tab w:leader="none" w:pos="94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 Right to Continue Service or Employment</w:t>
      </w:r>
      <w:r>
        <w:rPr>
          <w:rFonts w:ascii="Arial" w:cs="Arial" w:eastAsia="Arial" w:hAnsi="Arial"/>
          <w:sz w:val="16"/>
          <w:szCs w:val="16"/>
          <w:color w:val="auto"/>
        </w:rPr>
        <w:t>. Nothing herein shall be construed to confer upon the Participant the right to continue in the employ or to provide services to the Company or any Subsidiary, whether as an Employee or as a Contractor or as an Outside Director, or interfere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440"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restrict in any way the right of the Company or any Subsidiary to discharge the Participant as an Employee, Contractor, or Outside Director at any time.</w:t>
      </w:r>
    </w:p>
    <w:p>
      <w:pPr>
        <w:spacing w:after="0" w:line="203" w:lineRule="exact"/>
        <w:rPr>
          <w:sz w:val="20"/>
          <w:szCs w:val="20"/>
          <w:color w:val="auto"/>
        </w:rPr>
      </w:pPr>
    </w:p>
    <w:p>
      <w:pPr>
        <w:jc w:val="both"/>
        <w:ind w:firstLine="556"/>
        <w:spacing w:after="0" w:line="228"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Legal Construction.</w:t>
      </w:r>
      <w:r>
        <w:rPr>
          <w:rFonts w:ascii="Arial" w:cs="Arial" w:eastAsia="Arial" w:hAnsi="Arial"/>
          <w:sz w:val="17"/>
          <w:szCs w:val="17"/>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171" w:lineRule="exact"/>
        <w:rPr>
          <w:rFonts w:ascii="Arial" w:cs="Arial" w:eastAsia="Arial" w:hAnsi="Arial"/>
          <w:sz w:val="17"/>
          <w:szCs w:val="17"/>
          <w:color w:val="auto"/>
        </w:rPr>
      </w:pPr>
    </w:p>
    <w:p>
      <w:pPr>
        <w:jc w:val="both"/>
        <w:ind w:firstLine="556"/>
        <w:spacing w:after="0" w:line="228"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Covenants and Agreements as Independent Agreements</w:t>
      </w:r>
      <w:r>
        <w:rPr>
          <w:rFonts w:ascii="Arial" w:cs="Arial" w:eastAsia="Arial" w:hAnsi="Arial"/>
          <w:sz w:val="17"/>
          <w:szCs w:val="17"/>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171" w:lineRule="exact"/>
        <w:rPr>
          <w:rFonts w:ascii="Arial" w:cs="Arial" w:eastAsia="Arial" w:hAnsi="Arial"/>
          <w:sz w:val="17"/>
          <w:szCs w:val="17"/>
          <w:color w:val="auto"/>
        </w:rPr>
      </w:pPr>
    </w:p>
    <w:p>
      <w:pPr>
        <w:jc w:val="both"/>
        <w:ind w:firstLine="556"/>
        <w:spacing w:after="0" w:line="238" w:lineRule="auto"/>
        <w:tabs>
          <w:tab w:leader="none" w:pos="1089"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170" w:lineRule="exact"/>
        <w:rPr>
          <w:rFonts w:ascii="Arial" w:cs="Arial" w:eastAsia="Arial" w:hAnsi="Arial"/>
          <w:sz w:val="16"/>
          <w:szCs w:val="16"/>
          <w:color w:val="auto"/>
        </w:rPr>
      </w:pPr>
    </w:p>
    <w:p>
      <w:pPr>
        <w:jc w:val="both"/>
        <w:ind w:firstLine="556"/>
        <w:spacing w:after="0" w:line="228" w:lineRule="auto"/>
        <w:tabs>
          <w:tab w:leader="none" w:pos="94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Parties Bound</w:t>
      </w:r>
      <w:r>
        <w:rPr>
          <w:rFonts w:ascii="Arial" w:cs="Arial" w:eastAsia="Arial" w:hAnsi="Arial"/>
          <w:sz w:val="17"/>
          <w:szCs w:val="17"/>
          <w:color w:val="auto"/>
        </w:rPr>
        <w:t>. The terms, provisions, and agreements that are contained in this Agreement shall apply to, be binding upon, and inure to the benefit of the parties and their respective heirs, executors, administrators, legal representatives, and permitted successors and assigns, subject to the limitation on assignment expressly set forth herein. No person shall be permitted to acquire any Awarded Units without first executing and delivering an agreement in a form satisfactory to the Company making such person subject to the restrictions on transfer contained herein.</w:t>
      </w:r>
    </w:p>
    <w:p>
      <w:pPr>
        <w:spacing w:after="0" w:line="171" w:lineRule="exact"/>
        <w:rPr>
          <w:rFonts w:ascii="Arial" w:cs="Arial" w:eastAsia="Arial" w:hAnsi="Arial"/>
          <w:sz w:val="17"/>
          <w:szCs w:val="17"/>
          <w:color w:val="auto"/>
        </w:rPr>
      </w:pPr>
    </w:p>
    <w:p>
      <w:pPr>
        <w:jc w:val="both"/>
        <w:ind w:firstLine="556"/>
        <w:spacing w:after="0" w:line="221" w:lineRule="auto"/>
        <w:tabs>
          <w:tab w:leader="none" w:pos="104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the Company may amend the Plan to the extent permitted by the Plan.</w:t>
      </w:r>
    </w:p>
    <w:p>
      <w:pPr>
        <w:spacing w:after="0" w:line="172" w:lineRule="exact"/>
        <w:rPr>
          <w:rFonts w:ascii="Arial" w:cs="Arial" w:eastAsia="Arial" w:hAnsi="Arial"/>
          <w:sz w:val="17"/>
          <w:szCs w:val="17"/>
          <w:color w:val="auto"/>
        </w:rPr>
      </w:pPr>
    </w:p>
    <w:p>
      <w:pPr>
        <w:ind w:right="20" w:firstLine="556"/>
        <w:spacing w:after="0" w:line="242" w:lineRule="auto"/>
        <w:tabs>
          <w:tab w:leader="none" w:pos="101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that are used in this Agreement are used for reference and convenience purposes only and do not constitute substantive matters to be considered in construing the terms and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238" w:right="319" w:bottom="1440" w:gutter="0" w:footer="0" w:header="0"/>
        </w:sectPr>
      </w:pPr>
    </w:p>
    <w:bookmarkStart w:id="48" w:name="page49"/>
    <w:bookmarkEnd w:id="48"/>
    <w:p>
      <w:pPr>
        <w:ind w:left="6" w:right="20" w:firstLine="556"/>
        <w:spacing w:after="0" w:line="242" w:lineRule="auto"/>
        <w:tabs>
          <w:tab w:leader="none" w:pos="96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Gender and Number</w:t>
      </w:r>
      <w:r>
        <w:rPr>
          <w:rFonts w:ascii="Arial" w:cs="Arial" w:eastAsia="Arial" w:hAnsi="Arial"/>
          <w:sz w:val="17"/>
          <w:szCs w:val="17"/>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68" w:lineRule="exact"/>
        <w:rPr>
          <w:rFonts w:ascii="Arial" w:cs="Arial" w:eastAsia="Arial" w:hAnsi="Arial"/>
          <w:sz w:val="17"/>
          <w:szCs w:val="17"/>
          <w:color w:val="auto"/>
        </w:rPr>
      </w:pPr>
    </w:p>
    <w:p>
      <w:pPr>
        <w:jc w:val="both"/>
        <w:ind w:left="6" w:firstLine="556"/>
        <w:spacing w:after="0" w:line="232" w:lineRule="auto"/>
        <w:tabs>
          <w:tab w:leader="none" w:pos="978"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183" w:lineRule="exact"/>
        <w:rPr>
          <w:sz w:val="20"/>
          <w:szCs w:val="20"/>
          <w:color w:val="auto"/>
        </w:rPr>
      </w:pPr>
    </w:p>
    <w:p>
      <w:pPr>
        <w:ind w:left="566"/>
        <w:spacing w:after="0"/>
        <w:tabs>
          <w:tab w:leader="none" w:pos="826"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Notice to the Company shall be addressed and delivered as follows:</w:t>
      </w:r>
    </w:p>
    <w:p>
      <w:pPr>
        <w:spacing w:after="0" w:line="215" w:lineRule="exact"/>
        <w:rPr>
          <w:sz w:val="20"/>
          <w:szCs w:val="20"/>
          <w:color w:val="auto"/>
        </w:rPr>
      </w:pPr>
    </w:p>
    <w:p>
      <w:pPr>
        <w:ind w:left="1686"/>
        <w:spacing w:after="0"/>
        <w:rPr>
          <w:sz w:val="20"/>
          <w:szCs w:val="20"/>
          <w:color w:val="auto"/>
        </w:rPr>
      </w:pPr>
      <w:r>
        <w:rPr>
          <w:rFonts w:ascii="Arial" w:cs="Arial" w:eastAsia="Arial" w:hAnsi="Arial"/>
          <w:sz w:val="17"/>
          <w:szCs w:val="17"/>
          <w:color w:val="auto"/>
        </w:rPr>
        <w:t>Matador Resources Company</w:t>
      </w:r>
    </w:p>
    <w:p>
      <w:pPr>
        <w:spacing w:after="0" w:line="18" w:lineRule="exact"/>
        <w:rPr>
          <w:sz w:val="20"/>
          <w:szCs w:val="20"/>
          <w:color w:val="auto"/>
        </w:rPr>
      </w:pPr>
    </w:p>
    <w:p>
      <w:pPr>
        <w:ind w:left="1686"/>
        <w:spacing w:after="0"/>
        <w:rPr>
          <w:sz w:val="20"/>
          <w:szCs w:val="20"/>
          <w:color w:val="auto"/>
        </w:rPr>
      </w:pPr>
      <w:r>
        <w:rPr>
          <w:rFonts w:ascii="Arial" w:cs="Arial" w:eastAsia="Arial" w:hAnsi="Arial"/>
          <w:sz w:val="17"/>
          <w:szCs w:val="17"/>
          <w:color w:val="auto"/>
        </w:rPr>
        <w:t>5400 LBJ Fwy, Suite 1500</w:t>
      </w:r>
    </w:p>
    <w:p>
      <w:pPr>
        <w:spacing w:after="0" w:line="4" w:lineRule="exact"/>
        <w:rPr>
          <w:sz w:val="20"/>
          <w:szCs w:val="20"/>
          <w:color w:val="auto"/>
        </w:rPr>
      </w:pPr>
    </w:p>
    <w:p>
      <w:pPr>
        <w:ind w:left="1686"/>
        <w:spacing w:after="0"/>
        <w:rPr>
          <w:sz w:val="20"/>
          <w:szCs w:val="20"/>
          <w:color w:val="auto"/>
        </w:rPr>
      </w:pPr>
      <w:r>
        <w:rPr>
          <w:rFonts w:ascii="Arial" w:cs="Arial" w:eastAsia="Arial" w:hAnsi="Arial"/>
          <w:sz w:val="17"/>
          <w:szCs w:val="17"/>
          <w:color w:val="auto"/>
        </w:rPr>
        <w:t>Dallas, TX 75240</w:t>
      </w:r>
    </w:p>
    <w:p>
      <w:pPr>
        <w:spacing w:after="0" w:line="4" w:lineRule="exact"/>
        <w:rPr>
          <w:sz w:val="20"/>
          <w:szCs w:val="20"/>
          <w:color w:val="auto"/>
        </w:rPr>
      </w:pPr>
    </w:p>
    <w:p>
      <w:pPr>
        <w:ind w:left="1686"/>
        <w:spacing w:after="0"/>
        <w:rPr>
          <w:sz w:val="20"/>
          <w:szCs w:val="20"/>
          <w:color w:val="auto"/>
        </w:rPr>
      </w:pPr>
      <w:r>
        <w:rPr>
          <w:rFonts w:ascii="Arial" w:cs="Arial" w:eastAsia="Arial" w:hAnsi="Arial"/>
          <w:sz w:val="17"/>
          <w:szCs w:val="17"/>
          <w:color w:val="auto"/>
        </w:rPr>
        <w:t>Attn: General Counsel</w:t>
      </w:r>
    </w:p>
    <w:p>
      <w:pPr>
        <w:spacing w:after="0" w:line="4" w:lineRule="exact"/>
        <w:rPr>
          <w:sz w:val="20"/>
          <w:szCs w:val="20"/>
          <w:color w:val="auto"/>
        </w:rPr>
      </w:pPr>
    </w:p>
    <w:p>
      <w:pPr>
        <w:ind w:left="1686"/>
        <w:spacing w:after="0"/>
        <w:rPr>
          <w:sz w:val="20"/>
          <w:szCs w:val="20"/>
          <w:color w:val="auto"/>
        </w:rPr>
      </w:pPr>
      <w:r>
        <w:rPr>
          <w:rFonts w:ascii="Arial" w:cs="Arial" w:eastAsia="Arial" w:hAnsi="Arial"/>
          <w:sz w:val="17"/>
          <w:szCs w:val="17"/>
          <w:color w:val="auto"/>
        </w:rPr>
        <w:t>Facsimile: (972) 371-5201</w:t>
      </w:r>
    </w:p>
    <w:p>
      <w:pPr>
        <w:spacing w:after="0" w:line="201" w:lineRule="exact"/>
        <w:rPr>
          <w:sz w:val="20"/>
          <w:szCs w:val="20"/>
          <w:color w:val="auto"/>
        </w:rPr>
      </w:pPr>
    </w:p>
    <w:p>
      <w:pPr>
        <w:ind w:left="866" w:hanging="304"/>
        <w:spacing w:after="0"/>
        <w:tabs>
          <w:tab w:leader="none" w:pos="866"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Notice to the Participant shall be addressed and delivered to the Participant’s address as set forth in the Company’s records.</w:t>
      </w:r>
    </w:p>
    <w:p>
      <w:pPr>
        <w:spacing w:after="0" w:line="203" w:lineRule="exact"/>
        <w:rPr>
          <w:sz w:val="20"/>
          <w:szCs w:val="20"/>
          <w:color w:val="auto"/>
        </w:rPr>
      </w:pPr>
    </w:p>
    <w:p>
      <w:pPr>
        <w:jc w:val="both"/>
        <w:ind w:left="6" w:firstLine="556"/>
        <w:spacing w:after="0" w:line="248" w:lineRule="auto"/>
        <w:tabs>
          <w:tab w:leader="none" w:pos="978"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Tax Requirements</w:t>
      </w:r>
      <w:r>
        <w:rPr>
          <w:rFonts w:ascii="Arial" w:cs="Arial" w:eastAsia="Arial" w:hAnsi="Arial"/>
          <w:sz w:val="15"/>
          <w:szCs w:val="15"/>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15"/>
          <w:szCs w:val="15"/>
          <w:u w:val="single" w:color="auto"/>
          <w:color w:val="auto"/>
        </w:rPr>
        <w:t>Section 20</w:t>
      </w:r>
      <w:r>
        <w:rPr>
          <w:rFonts w:ascii="Arial" w:cs="Arial" w:eastAsia="Arial" w:hAnsi="Arial"/>
          <w:sz w:val="15"/>
          <w:szCs w:val="15"/>
          <w:color w:val="auto"/>
        </w:rPr>
        <w:t>, the term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xml:space="preserve">” 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Such payments shall be required to be made when requested by Company and may be required to be made prior to the delivery of the payment discussed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above. Such payments may be made, in the sole discretion of the Company,</w:t>
      </w:r>
    </w:p>
    <w:p>
      <w:pPr>
        <w:spacing w:after="0" w:line="1" w:lineRule="exact"/>
        <w:rPr>
          <w:rFonts w:ascii="Arial" w:cs="Arial" w:eastAsia="Arial" w:hAnsi="Arial"/>
          <w:sz w:val="15"/>
          <w:szCs w:val="15"/>
          <w:color w:val="auto"/>
        </w:rPr>
      </w:pPr>
    </w:p>
    <w:p>
      <w:pPr>
        <w:jc w:val="both"/>
        <w:ind w:left="6" w:hanging="6"/>
        <w:spacing w:after="0" w:line="221" w:lineRule="auto"/>
        <w:tabs>
          <w:tab w:leader="none" w:pos="2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by the delivery of cash to the Company in an amount that equals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the applicable tax withholding payment; (iii) the Company’s withholding an amount upon the vesting of the Awarded Units with aggregate Fair Market Value that equals the applicable tax withholding payment; or (iv) any combination of the foregoing or any other method consented to by the Company in writing. The Company may, in its sole discretion, withhold any such taxes from any other cash remuneration otherwise paid by the Company to the Participant.</w:t>
      </w:r>
    </w:p>
    <w:p>
      <w:pPr>
        <w:spacing w:after="0" w:line="171" w:lineRule="exact"/>
        <w:rPr>
          <w:rFonts w:ascii="Arial" w:cs="Arial" w:eastAsia="Arial" w:hAnsi="Arial"/>
          <w:sz w:val="17"/>
          <w:szCs w:val="17"/>
          <w:color w:val="auto"/>
        </w:rPr>
      </w:pPr>
    </w:p>
    <w:p>
      <w:pPr>
        <w:jc w:val="both"/>
        <w:ind w:left="6" w:firstLine="556"/>
        <w:spacing w:after="0" w:line="235" w:lineRule="auto"/>
        <w:tabs>
          <w:tab w:leader="none" w:pos="96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 § 1.409A-1(b)(9)(iii)(A)), shall be delayed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6"/>
          </w:cols>
          <w:pgMar w:left="314" w:top="1238" w:right="319" w:bottom="1440" w:gutter="0" w:footer="0" w:header="0"/>
        </w:sectPr>
      </w:pPr>
    </w:p>
    <w:bookmarkStart w:id="49" w:name="page50"/>
    <w:bookmarkEnd w:id="49"/>
    <w:p>
      <w:pPr>
        <w:spacing w:after="0" w:line="242" w:lineRule="auto"/>
        <w:rPr>
          <w:sz w:val="20"/>
          <w:szCs w:val="20"/>
          <w:color w:val="auto"/>
        </w:rPr>
      </w:pPr>
      <w:r>
        <w:rPr>
          <w:rFonts w:ascii="Arial" w:cs="Arial" w:eastAsia="Arial" w:hAnsi="Arial"/>
          <w:sz w:val="17"/>
          <w:szCs w:val="17"/>
          <w:color w:val="auto"/>
        </w:rPr>
        <w:t>paid or provided to the Participant on the earlier of the date which immediately follows six (6) months after the Participant’s separation from service or, if earlier, the date of the Participant’s death.</w:t>
      </w:r>
    </w:p>
    <w:p>
      <w:pPr>
        <w:spacing w:after="0" w:line="168" w:lineRule="exact"/>
        <w:rPr>
          <w:sz w:val="20"/>
          <w:szCs w:val="20"/>
          <w:color w:val="auto"/>
        </w:rPr>
      </w:pPr>
    </w:p>
    <w:p>
      <w:pPr>
        <w:jc w:val="both"/>
        <w:ind w:firstLine="556"/>
        <w:spacing w:after="0" w:line="232" w:lineRule="auto"/>
        <w:tabs>
          <w:tab w:leader="none" w:pos="98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Awarded Units via Company web site or other electronic delivery.</w:t>
      </w:r>
    </w:p>
    <w:p>
      <w:pPr>
        <w:spacing w:after="0" w:line="183" w:lineRule="exact"/>
        <w:rPr>
          <w:rFonts w:ascii="Arial" w:cs="Arial" w:eastAsia="Arial" w:hAnsi="Arial"/>
          <w:sz w:val="17"/>
          <w:szCs w:val="17"/>
          <w:color w:val="auto"/>
        </w:rPr>
      </w:pPr>
    </w:p>
    <w:p>
      <w:pPr>
        <w:ind w:left="5000"/>
        <w:spacing w:after="0"/>
        <w:rPr>
          <w:rFonts w:ascii="Arial" w:cs="Arial" w:eastAsia="Arial" w:hAnsi="Arial"/>
          <w:sz w:val="17"/>
          <w:szCs w:val="17"/>
          <w:color w:val="auto"/>
        </w:rPr>
      </w:pPr>
      <w:r>
        <w:rPr>
          <w:rFonts w:ascii="Arial" w:cs="Arial" w:eastAsia="Arial" w:hAnsi="Arial"/>
          <w:sz w:val="17"/>
          <w:szCs w:val="17"/>
          <w:color w:val="auto"/>
        </w:rPr>
        <w:t>* * * * * * * * * *</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38" w:right="339" w:bottom="1440" w:gutter="0" w:footer="0" w:header="0"/>
        </w:sectPr>
      </w:pPr>
    </w:p>
    <w:bookmarkStart w:id="50" w:name="page51"/>
    <w:bookmarkEnd w:id="50"/>
    <w:p>
      <w:pPr>
        <w:ind w:right="60" w:firstLine="562"/>
        <w:spacing w:after="0" w:line="302" w:lineRule="auto"/>
        <w:rPr>
          <w:sz w:val="20"/>
          <w:szCs w:val="20"/>
          <w:color w:val="auto"/>
        </w:rPr>
      </w:pPr>
      <w:r>
        <w:rPr>
          <w:rFonts w:ascii="Arial" w:cs="Arial" w:eastAsia="Arial" w:hAnsi="Arial"/>
          <w:sz w:val="16"/>
          <w:szCs w:val="16"/>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w:t>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COMPANY:</w:t>
      </w:r>
    </w:p>
    <w:p>
      <w:pPr>
        <w:spacing w:after="0" w:line="29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MATADOR RESOURCES COMPANY</w:t>
      </w: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26670</wp:posOffset>
            </wp:positionV>
            <wp:extent cx="26066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42" w:lineRule="exact"/>
        <w:rPr>
          <w:sz w:val="20"/>
          <w:szCs w:val="20"/>
          <w:color w:val="auto"/>
        </w:rPr>
      </w:pPr>
    </w:p>
    <w:p>
      <w:pPr>
        <w:ind w:left="10620"/>
        <w:spacing w:after="0"/>
        <w:rPr>
          <w:sz w:val="20"/>
          <w:szCs w:val="20"/>
          <w:color w:val="auto"/>
        </w:rPr>
      </w:pPr>
      <w:r>
        <w:rPr>
          <w:rFonts w:ascii="Arial" w:cs="Arial" w:eastAsia="Arial" w:hAnsi="Arial"/>
          <w:sz w:val="17"/>
          <w:szCs w:val="17"/>
          <w:color w:val="auto"/>
        </w:rPr>
        <w:t>David E.</w:t>
      </w:r>
    </w:p>
    <w:p>
      <w:pPr>
        <w:spacing w:after="0" w:line="18"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 Lancaster</w:t>
      </w:r>
    </w:p>
    <w:p>
      <w:pPr>
        <w:spacing w:after="0" w:line="37" w:lineRule="exact"/>
        <w:rPr>
          <w:sz w:val="20"/>
          <w:szCs w:val="20"/>
          <w:color w:val="auto"/>
        </w:rPr>
      </w:pPr>
    </w:p>
    <w:p>
      <w:pPr>
        <w:jc w:val="both"/>
        <w:ind w:left="6760"/>
        <w:spacing w:after="0"/>
        <w:tabs>
          <w:tab w:leader="none" w:pos="106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w:t>
      </w:r>
    </w:p>
    <w:p>
      <w:pPr>
        <w:spacing w:after="0" w:line="18"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Vice President</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328295</wp:posOffset>
            </wp:positionV>
            <wp:extent cx="50622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062220"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Signature</w:t>
      </w:r>
    </w:p>
    <w:p>
      <w:pPr>
        <w:spacing w:after="0" w:line="285" w:lineRule="exact"/>
        <w:rPr>
          <w:sz w:val="20"/>
          <w:szCs w:val="20"/>
          <w:color w:val="auto"/>
        </w:rPr>
      </w:pPr>
    </w:p>
    <w:p>
      <w:pPr>
        <w:ind w:left="6760"/>
        <w:spacing w:after="0"/>
        <w:tabs>
          <w:tab w:leader="none" w:pos="10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20"/>
          </w:cols>
          <w:pgMar w:left="320" w:top="1250"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STOCK UNIT AWARD AGREEMENT</w:t>
      </w: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MATADOR RESOURCES COMPANY</w:t>
      </w:r>
    </w:p>
    <w:p>
      <w:pPr>
        <w:spacing w:after="0" w:line="24"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2019 LONG-TERM INCENTIVE PLAN</w:t>
      </w:r>
    </w:p>
    <w:p>
      <w:pPr>
        <w:spacing w:after="0" w:line="189" w:lineRule="exact"/>
        <w:rPr>
          <w:sz w:val="20"/>
          <w:szCs w:val="20"/>
          <w:color w:val="auto"/>
        </w:rPr>
      </w:pPr>
    </w:p>
    <w:p>
      <w:pPr>
        <w:ind w:right="20" w:firstLine="556"/>
        <w:spacing w:after="0" w:line="242" w:lineRule="auto"/>
        <w:tabs>
          <w:tab w:leader="none" w:pos="88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Award of Performance Stock Units</w:t>
      </w:r>
      <w:r>
        <w:rPr>
          <w:rFonts w:ascii="Arial" w:cs="Arial" w:eastAsia="Arial" w:hAnsi="Arial"/>
          <w:sz w:val="17"/>
          <w:szCs w:val="17"/>
          <w:color w:val="auto"/>
        </w:rPr>
        <w:t>. Pursuant to the Matador Resources Company 2019 Long-Term Incentive Plan (as the same may be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Matador Resources Company, a Texas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grants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an Award of Performance Stock Units (the “</w:t>
      </w:r>
      <w:r>
        <w:rPr>
          <w:rFonts w:ascii="Arial" w:cs="Arial" w:eastAsia="Arial" w:hAnsi="Arial"/>
          <w:sz w:val="16"/>
          <w:szCs w:val="16"/>
          <w:b w:val="1"/>
          <w:bCs w:val="1"/>
          <w:i w:val="1"/>
          <w:iCs w:val="1"/>
          <w:color w:val="auto"/>
        </w:rPr>
        <w:t>Performance Stock Units</w:t>
      </w:r>
      <w:r>
        <w:rPr>
          <w:rFonts w:ascii="Arial" w:cs="Arial" w:eastAsia="Arial" w:hAnsi="Arial"/>
          <w:sz w:val="16"/>
          <w:szCs w:val="16"/>
          <w:color w:val="auto"/>
        </w:rPr>
        <w:t xml:space="preserve">”) subject to the terms and conditions of this Performance Stock Unit Award Agreement (including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attached hereto,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the Plan. The target number of Performance Stock Units awarded under this Agreement is [●] (the “</w:t>
      </w:r>
      <w:r>
        <w:rPr>
          <w:rFonts w:ascii="Arial" w:cs="Arial" w:eastAsia="Arial" w:hAnsi="Arial"/>
          <w:sz w:val="16"/>
          <w:szCs w:val="16"/>
          <w:b w:val="1"/>
          <w:bCs w:val="1"/>
          <w:i w:val="1"/>
          <w:iCs w:val="1"/>
          <w:color w:val="auto"/>
        </w:rPr>
        <w:t>Target Units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xml:space="preserve">” of this Award is </w:t>
      </w:r>
      <w:r>
        <w:rPr>
          <w:rFonts w:ascii="Arial" w:cs="Arial" w:eastAsia="Arial" w:hAnsi="Arial"/>
          <w:sz w:val="16"/>
          <w:szCs w:val="16"/>
          <w:b w:val="1"/>
          <w:bCs w:val="1"/>
          <w:color w:val="auto"/>
        </w:rPr>
        <w:t>[●]</w:t>
      </w:r>
      <w:r>
        <w:rPr>
          <w:rFonts w:ascii="Arial" w:cs="Arial" w:eastAsia="Arial" w:hAnsi="Arial"/>
          <w:sz w:val="16"/>
          <w:szCs w:val="16"/>
          <w:color w:val="auto"/>
        </w:rPr>
        <w:t>. Each Performance Stock Unit subject to this Award shall represent a notional share of Common Stock, with the value of each Performance Stock Unit being equal to the Fair Market Value of a share of Common Stock at any given time.</w:t>
      </w:r>
    </w:p>
    <w:p>
      <w:pPr>
        <w:spacing w:after="0" w:line="156" w:lineRule="exact"/>
        <w:rPr>
          <w:sz w:val="20"/>
          <w:szCs w:val="20"/>
          <w:color w:val="auto"/>
        </w:rPr>
      </w:pPr>
    </w:p>
    <w:p>
      <w:pPr>
        <w:jc w:val="both"/>
        <w:ind w:firstLine="556"/>
        <w:spacing w:after="0" w:line="224" w:lineRule="auto"/>
        <w:tabs>
          <w:tab w:leader="none" w:pos="86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Subject to Plan; Definitions</w:t>
      </w:r>
      <w:r>
        <w:rPr>
          <w:rFonts w:ascii="Arial" w:cs="Arial" w:eastAsia="Arial" w:hAnsi="Arial"/>
          <w:sz w:val="17"/>
          <w:szCs w:val="17"/>
          <w:color w:val="auto"/>
        </w:rPr>
        <w:t>. This Agreement is subject to the terms and conditions of the Plan, and the terms of the Plan shall control to the extent not otherwise inconsistent with the provisions of this Agreement. To the extent the terms of the Plan are inconsistent with the provisions of this Agreement, this Agreement shall control. This Agreement is subject to any rules promulgated pursuant to the Plan by the Board or the Committee and communicated to the Participant in writing. Unless defined herein, the capitalized terms used herein that are defined in the Plan shall have the same meanings assigned to them in the Plan, or where indicated, as defined in that certain Employment Agreement, effective as of [ ● ], by and between the Company and the Participant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w:t>
      </w:r>
    </w:p>
    <w:p>
      <w:pPr>
        <w:spacing w:after="0" w:line="170" w:lineRule="exact"/>
        <w:rPr>
          <w:rFonts w:ascii="Arial" w:cs="Arial" w:eastAsia="Arial" w:hAnsi="Arial"/>
          <w:sz w:val="17"/>
          <w:szCs w:val="17"/>
          <w:color w:val="auto"/>
        </w:rPr>
      </w:pPr>
    </w:p>
    <w:p>
      <w:pPr>
        <w:ind w:left="860" w:hanging="304"/>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Vesting; Settlement of Performance Stock Units</w:t>
      </w:r>
      <w:r>
        <w:rPr>
          <w:rFonts w:ascii="Arial" w:cs="Arial" w:eastAsia="Arial" w:hAnsi="Arial"/>
          <w:sz w:val="17"/>
          <w:szCs w:val="17"/>
          <w:color w:val="auto"/>
        </w:rPr>
        <w:t>.</w:t>
      </w:r>
    </w:p>
    <w:p>
      <w:pPr>
        <w:spacing w:after="0" w:line="191" w:lineRule="exact"/>
        <w:rPr>
          <w:sz w:val="20"/>
          <w:szCs w:val="20"/>
          <w:color w:val="auto"/>
        </w:rPr>
      </w:pPr>
    </w:p>
    <w:p>
      <w:pPr>
        <w:jc w:val="both"/>
        <w:ind w:firstLine="556"/>
        <w:spacing w:after="0" w:line="225" w:lineRule="auto"/>
        <w:tabs>
          <w:tab w:leader="none" w:pos="90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Subject to the Participant’s continuous employment with or service to the Company or a Subsidiary through the end of the Performance Period (as defined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the actual number of shares of Common Stock that may become issuable pursuant to the Performance Stock Units shall be determined in accordance with the performance-based vesting requirements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attached hereto and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Performance Stock Units that become vested pursuant to the terms of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or this Section 3 are collectively referred to herein as “</w:t>
      </w:r>
      <w:r>
        <w:rPr>
          <w:rFonts w:ascii="Arial" w:cs="Arial" w:eastAsia="Arial" w:hAnsi="Arial"/>
          <w:sz w:val="17"/>
          <w:szCs w:val="17"/>
          <w:b w:val="1"/>
          <w:bCs w:val="1"/>
          <w:i w:val="1"/>
          <w:iCs w:val="1"/>
          <w:color w:val="auto"/>
        </w:rPr>
        <w:t>Vested Units</w:t>
      </w:r>
      <w:r>
        <w:rPr>
          <w:rFonts w:ascii="Arial" w:cs="Arial" w:eastAsia="Arial" w:hAnsi="Arial"/>
          <w:sz w:val="17"/>
          <w:szCs w:val="17"/>
          <w:color w:val="auto"/>
        </w:rPr>
        <w:t>.” All other Performance Stock Units are collectively referred to herein as “</w:t>
      </w:r>
      <w:r>
        <w:rPr>
          <w:rFonts w:ascii="Arial" w:cs="Arial" w:eastAsia="Arial" w:hAnsi="Arial"/>
          <w:sz w:val="17"/>
          <w:szCs w:val="17"/>
          <w:b w:val="1"/>
          <w:bCs w:val="1"/>
          <w:i w:val="1"/>
          <w:iCs w:val="1"/>
          <w:color w:val="auto"/>
        </w:rPr>
        <w:t>Unvested Units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firstLine="556"/>
        <w:spacing w:after="0" w:line="254" w:lineRule="auto"/>
        <w:tabs>
          <w:tab w:leader="none" w:pos="885"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The Vested Units, as determined pursuant to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shall vest on the Vesting Date (as defined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Subject to the provisions of the Plan and this Agreement, within thirty (30) days following the Vesting Date, and in no event later than two and a half (2½) months following the close of the calendar year in which the Performance Period (as defined in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ends, the Company shall deliver to the Participant or the Participant’s personal representative a number of shares of Common Stock equal to the number of Vested Units credited to the Participant. Vested Units may be converted only with respect to full shares, and no fractional share of Common Stock shall be issued. Notwithstanding anything herein to the contrary, if the Participant incurs a Termination of Service for any reason after the last day of the Performance Period, but prior to the Vesting Date, the Participant shall not forfeit the Performance Stock Units by reason of such Termination of Service to the extent such Performance Stock Units would have otherwise vested in accordance with this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ectPr>
          <w:pgSz w:w="11900" w:h="16838" w:orient="portrait"/>
          <w:cols w:equalWidth="0" w:num="1">
            <w:col w:w="11260"/>
          </w:cols>
          <w:pgMar w:left="320" w:top="123" w:right="319" w:bottom="1440" w:gutter="0" w:footer="0" w:header="0"/>
        </w:sectPr>
      </w:pPr>
    </w:p>
    <w:bookmarkStart w:id="52" w:name="page53"/>
    <w:bookmarkEnd w:id="52"/>
    <w:p>
      <w:pPr>
        <w:jc w:val="both"/>
        <w:ind w:firstLine="556"/>
        <w:spacing w:after="0" w:line="260" w:lineRule="auto"/>
        <w:tabs>
          <w:tab w:leader="none" w:pos="923"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Notwithstanding the foregoing, if within thirty (30) days prior to a Change in Control (as defined in the Employment Agreement), the Participant incurs a Termination of Service by the Company without Just Cause (as defined in the Employment Agreement) or by the Participant with [or without] Good Reason (as defined in the Employment Agreement), then effective immediately prior to such Termination of Service, Participant shall vest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such Termination of Service.</w:t>
      </w:r>
    </w:p>
    <w:p>
      <w:pPr>
        <w:spacing w:after="0" w:line="155" w:lineRule="exact"/>
        <w:rPr>
          <w:rFonts w:ascii="Arial" w:cs="Arial" w:eastAsia="Arial" w:hAnsi="Arial"/>
          <w:sz w:val="15"/>
          <w:szCs w:val="15"/>
          <w:color w:val="auto"/>
        </w:rPr>
      </w:pPr>
    </w:p>
    <w:p>
      <w:pPr>
        <w:jc w:val="both"/>
        <w:ind w:firstLine="556"/>
        <w:spacing w:after="0" w:line="243" w:lineRule="auto"/>
        <w:tabs>
          <w:tab w:leader="none" w:pos="9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a Change in Control occurs prior to the completion of the Performance Period and Participant has not experienced a Termination of Service prior to the effective date of the Change in Control, Participant shall vest immediately prior to the consummation of such Change in Control in a number of shares of Common Stock equal to the number of Performance Stock Units that would have otherwise vested based on the Company’s performance, as determined by the Committee, through an abbreviated Performance Period that ends as of immediately prior to the effective date of the Change in Control.</w:t>
      </w:r>
    </w:p>
    <w:p>
      <w:pPr>
        <w:spacing w:after="0" w:line="169" w:lineRule="exact"/>
        <w:rPr>
          <w:sz w:val="20"/>
          <w:szCs w:val="20"/>
          <w:color w:val="auto"/>
        </w:rPr>
      </w:pPr>
    </w:p>
    <w:p>
      <w:pPr>
        <w:jc w:val="both"/>
        <w:ind w:firstLine="556"/>
        <w:spacing w:after="0" w:line="228" w:lineRule="auto"/>
        <w:tabs>
          <w:tab w:leader="none" w:pos="91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Forfeiture of Performance Stock Units</w:t>
      </w:r>
      <w:r>
        <w:rPr>
          <w:rFonts w:ascii="Arial" w:cs="Arial" w:eastAsia="Arial" w:hAnsi="Arial"/>
          <w:sz w:val="17"/>
          <w:szCs w:val="17"/>
          <w:color w:val="auto"/>
        </w:rPr>
        <w:t xml:space="preserve">. Unvested Units shall be forfeited, without the payment of any consideration therefor, immediately upon the earlier of (i) the Vesting Date, to the extent the performance-based vesting conditions have not been satisfied and the Performance Stock Units have not vested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(ii) subject to </w:t>
      </w:r>
      <w:r>
        <w:rPr>
          <w:rFonts w:ascii="Arial" w:cs="Arial" w:eastAsia="Arial" w:hAnsi="Arial"/>
          <w:sz w:val="17"/>
          <w:szCs w:val="17"/>
          <w:u w:val="single" w:color="auto"/>
          <w:color w:val="auto"/>
        </w:rPr>
        <w:t>Section 3</w:t>
      </w:r>
      <w:r>
        <w:rPr>
          <w:rFonts w:ascii="Arial" w:cs="Arial" w:eastAsia="Arial" w:hAnsi="Arial"/>
          <w:sz w:val="17"/>
          <w:szCs w:val="17"/>
          <w:color w:val="auto"/>
        </w:rPr>
        <w:t>, the Participant’s Termination of Service. Upon forfeiture, all of the Participant’s rights with respect to the forfeited Unvested Units shall cease and terminate, without any further obligations on the part of the Company.</w:t>
      </w:r>
    </w:p>
    <w:p>
      <w:pPr>
        <w:spacing w:after="0" w:line="171" w:lineRule="exact"/>
        <w:rPr>
          <w:rFonts w:ascii="Arial" w:cs="Arial" w:eastAsia="Arial" w:hAnsi="Arial"/>
          <w:sz w:val="17"/>
          <w:szCs w:val="17"/>
          <w:color w:val="auto"/>
        </w:rPr>
      </w:pPr>
    </w:p>
    <w:p>
      <w:pPr>
        <w:jc w:val="both"/>
        <w:ind w:firstLine="556"/>
        <w:spacing w:after="0" w:line="235" w:lineRule="auto"/>
        <w:tabs>
          <w:tab w:leader="none" w:pos="87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Restrictions on Performance Stock Units</w:t>
      </w:r>
      <w:r>
        <w:rPr>
          <w:rFonts w:ascii="Arial" w:cs="Arial" w:eastAsia="Arial" w:hAnsi="Arial"/>
          <w:sz w:val="16"/>
          <w:szCs w:val="16"/>
          <w:color w:val="auto"/>
        </w:rPr>
        <w:t>. Subject to the provisions of the Plan and the terms of this Agreement, the Participant shall not be permitted to sell, transfer, pledge, hypothecate, margin, assign or otherwise encumber any of the Performance Stock Units, except that, the Participant may transfer for no consideration some or all of the Performance Stock Units to (a) one or more members of the Participant’s Immediate Family, (b) a trust in which the Participant or members of his or her Immediate Family have more than fifty percent of the beneficial interest, (c) a foundation in which the Participant or members of his or her Immediate Family control the management of assets or (d) any other entity in which the Participant or members of his or her Immediate Family own more than fifty percent of the voting interests. Any such transferee must agree in writing on a form prescribed by the Company to be bound by all of the provisions of this Agreement to the same extent as they apply to the Participant. Notwithstanding any such transfer, any vesting conditioned upon the Participant’s continued employment or service with the Company or its Subsidiaries shall continue to relate to the Participant’s continued employment or service and any covenants applicable to Participant hereunder shall continue to apply to Participant. In addition, the Committee may in its sole discretion, remove any or all of the restrictions on such Performance Stock Units whenever it may determine that, by reason of changes in applicable laws or changes in circumstances after the date of this Agreement, such action is appropriate.</w:t>
      </w:r>
    </w:p>
    <w:p>
      <w:pPr>
        <w:spacing w:after="0" w:line="174" w:lineRule="exact"/>
        <w:rPr>
          <w:rFonts w:ascii="Arial" w:cs="Arial" w:eastAsia="Arial" w:hAnsi="Arial"/>
          <w:sz w:val="16"/>
          <w:szCs w:val="16"/>
          <w:color w:val="auto"/>
        </w:rPr>
      </w:pPr>
    </w:p>
    <w:p>
      <w:pPr>
        <w:jc w:val="both"/>
        <w:ind w:firstLine="556"/>
        <w:spacing w:after="0"/>
        <w:tabs>
          <w:tab w:leader="none" w:pos="87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Rights of a Shareholder</w:t>
      </w:r>
      <w:r>
        <w:rPr>
          <w:rFonts w:ascii="Arial" w:cs="Arial" w:eastAsia="Arial" w:hAnsi="Arial"/>
          <w:sz w:val="16"/>
          <w:szCs w:val="16"/>
          <w:color w:val="auto"/>
        </w:rPr>
        <w:t xml:space="preserve">. The Participant will have no rights as a shareholder with respect to any Performance Stock Units covered by this Agreement (including, without limitation, any voting rights or the right to receive any dividends) until the issuance of a certificate or certificates to the Participant or the registration of such shares in the Participant’s name for shares of Common Stock. Except as otherwise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no adjustment shall be made for dividends or other rights for which the record date is prior to the issuance of such shares of Common Stock. The Participant, by his or her execution of this Agreement, agrees to execute any documents requested by the Company in connection with the issuance of such shares of Common Stock.</w:t>
      </w:r>
    </w:p>
    <w:p>
      <w:pPr>
        <w:spacing w:after="0" w:line="169" w:lineRule="exact"/>
        <w:rPr>
          <w:rFonts w:ascii="Arial" w:cs="Arial" w:eastAsia="Arial" w:hAnsi="Arial"/>
          <w:sz w:val="16"/>
          <w:szCs w:val="16"/>
          <w:color w:val="auto"/>
        </w:rPr>
      </w:pPr>
    </w:p>
    <w:p>
      <w:pPr>
        <w:ind w:left="900" w:hanging="344"/>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Adjustment to Number of Performance Stock Units</w:t>
      </w:r>
      <w:r>
        <w:rPr>
          <w:rFonts w:ascii="Arial" w:cs="Arial" w:eastAsia="Arial" w:hAnsi="Arial"/>
          <w:sz w:val="16"/>
          <w:szCs w:val="16"/>
          <w:color w:val="auto"/>
        </w:rPr>
        <w:t xml:space="preserve">. The number of Target Units shall be subject to adjustment in accordance with </w:t>
      </w:r>
      <w:r>
        <w:rPr>
          <w:rFonts w:ascii="Arial" w:cs="Arial" w:eastAsia="Arial" w:hAnsi="Arial"/>
          <w:sz w:val="16"/>
          <w:szCs w:val="16"/>
          <w:u w:val="single" w:color="auto"/>
          <w:color w:val="auto"/>
        </w:rPr>
        <w:t>Articles 11-13</w:t>
      </w:r>
      <w:r>
        <w:rPr>
          <w:rFonts w:ascii="Arial" w:cs="Arial" w:eastAsia="Arial" w:hAnsi="Arial"/>
          <w:sz w:val="16"/>
          <w:szCs w:val="16"/>
          <w:color w:val="auto"/>
        </w:rPr>
        <w:t xml:space="preserve">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0"/>
          </w:cols>
          <w:pgMar w:left="320" w:top="1238" w:right="319" w:bottom="1440" w:gutter="0" w:footer="0" w:header="0"/>
        </w:sectPr>
      </w:pPr>
    </w:p>
    <w:bookmarkStart w:id="53" w:name="page54"/>
    <w:bookmarkEnd w:id="53"/>
    <w:p>
      <w:pPr>
        <w:jc w:val="both"/>
        <w:ind w:firstLine="556"/>
        <w:spacing w:after="0" w:line="224" w:lineRule="auto"/>
        <w:tabs>
          <w:tab w:leader="none" w:pos="87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Notwithstanding any of the provisions hereof, the Participant hereby agrees that he or she will not acquire any shares of Common Stock, and that the Company will not be obligated to issue any shares of Common Stock to the Participant hereunder if the issuance of such shares would constitute a violation by the Participant or the Company of any provision of any law or regulation of any governmental authority or any national securities exchange or inter-dealer quotation system or other forum in which shares of Common Stock are quoted or traded. Any determination in this connection by the Company shall be final, binding, and conclusive. The rights and obligations of the Company and the rights and obligations of the Participant are subject to all Applicable Laws, rules, and regulations.</w:t>
      </w:r>
    </w:p>
    <w:p>
      <w:pPr>
        <w:spacing w:after="0" w:line="170" w:lineRule="exact"/>
        <w:rPr>
          <w:rFonts w:ascii="Arial" w:cs="Arial" w:eastAsia="Arial" w:hAnsi="Arial"/>
          <w:sz w:val="17"/>
          <w:szCs w:val="17"/>
          <w:color w:val="auto"/>
        </w:rPr>
      </w:pPr>
    </w:p>
    <w:p>
      <w:pPr>
        <w:jc w:val="both"/>
        <w:ind w:firstLine="556"/>
        <w:spacing w:after="0" w:line="232" w:lineRule="auto"/>
        <w:tabs>
          <w:tab w:leader="none" w:pos="87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Participant’s Acknowledgments</w:t>
      </w:r>
      <w:r>
        <w:rPr>
          <w:rFonts w:ascii="Arial" w:cs="Arial" w:eastAsia="Arial" w:hAnsi="Arial"/>
          <w:sz w:val="17"/>
          <w:szCs w:val="17"/>
          <w:color w:val="auto"/>
        </w:rPr>
        <w:t>. The Participant acknowledges that a copy of the Plan has been made available for his or her review by the Company, and represents that he or she is familiar with the terms and provisions thereof, and hereby accepts this Award subject to all the terms and provisions thereof. The Participant hereby agrees to accept as binding, conclusive, and final all decisions or interpretations of the Committee or the Board, as appropriate, upon any questions arising under the Plan or this Agreement.</w:t>
      </w:r>
    </w:p>
    <w:p>
      <w:pPr>
        <w:spacing w:after="0" w:line="169" w:lineRule="exact"/>
        <w:rPr>
          <w:rFonts w:ascii="Arial" w:cs="Arial" w:eastAsia="Arial" w:hAnsi="Arial"/>
          <w:sz w:val="17"/>
          <w:szCs w:val="17"/>
          <w:color w:val="auto"/>
        </w:rPr>
      </w:pPr>
    </w:p>
    <w:p>
      <w:pPr>
        <w:ind w:right="20" w:firstLine="556"/>
        <w:spacing w:after="0" w:line="272" w:lineRule="auto"/>
        <w:tabs>
          <w:tab w:leader="none" w:pos="99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Law Governing</w:t>
      </w:r>
      <w:r>
        <w:rPr>
          <w:rFonts w:ascii="Arial" w:cs="Arial" w:eastAsia="Arial" w:hAnsi="Arial"/>
          <w:sz w:val="16"/>
          <w:szCs w:val="16"/>
          <w:color w:val="auto"/>
        </w:rPr>
        <w:t>. This Agreement shall be governed by, construed, and enforced in accordance with the laws of the State of Texas (excluding any conflict of laws rule or principle of Texas law that might refer the governance, construction, or interpretation of this Agreement to the laws of another state).</w:t>
      </w:r>
    </w:p>
    <w:p>
      <w:pPr>
        <w:spacing w:after="0" w:line="145" w:lineRule="exact"/>
        <w:rPr>
          <w:rFonts w:ascii="Arial" w:cs="Arial" w:eastAsia="Arial" w:hAnsi="Arial"/>
          <w:sz w:val="16"/>
          <w:szCs w:val="16"/>
          <w:color w:val="auto"/>
        </w:rPr>
      </w:pPr>
    </w:p>
    <w:p>
      <w:pPr>
        <w:jc w:val="both"/>
        <w:ind w:right="20" w:firstLine="556"/>
        <w:spacing w:after="0" w:line="250" w:lineRule="auto"/>
        <w:tabs>
          <w:tab w:leader="none" w:pos="94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 Right to Continue Service or Employment</w:t>
      </w:r>
      <w:r>
        <w:rPr>
          <w:rFonts w:ascii="Arial" w:cs="Arial" w:eastAsia="Arial" w:hAnsi="Arial"/>
          <w:sz w:val="16"/>
          <w:szCs w:val="16"/>
          <w:color w:val="auto"/>
        </w:rPr>
        <w:t>. Nothing herein shall be construed to confer upon the Participant the right to continue in the employ or to provide services to the Company or any Subsidiary, whether as an Employee or as a Contractor or as an Outside Director, or interfere with or restrict in any way the right of the Company or any Subsidiary to discharge the Participant as an Employee, Contractor, or Outside Director at any time.</w:t>
      </w:r>
    </w:p>
    <w:p>
      <w:pPr>
        <w:spacing w:after="0" w:line="163" w:lineRule="exact"/>
        <w:rPr>
          <w:rFonts w:ascii="Arial" w:cs="Arial" w:eastAsia="Arial" w:hAnsi="Arial"/>
          <w:sz w:val="16"/>
          <w:szCs w:val="16"/>
          <w:color w:val="auto"/>
        </w:rPr>
      </w:pPr>
    </w:p>
    <w:p>
      <w:pPr>
        <w:jc w:val="both"/>
        <w:ind w:firstLine="556"/>
        <w:spacing w:after="0" w:line="22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Legal Construction.</w:t>
      </w:r>
      <w:r>
        <w:rPr>
          <w:rFonts w:ascii="Arial" w:cs="Arial" w:eastAsia="Arial" w:hAnsi="Arial"/>
          <w:sz w:val="17"/>
          <w:szCs w:val="17"/>
          <w:color w:val="auto"/>
        </w:rPr>
        <w:t xml:space="preserve"> In the event that any one or more of the terms, provisions, or agreements that are contained in this Agreement shall be held by a court of competent jurisdiction to be invalid, illegal, or unenforceable in any respect for any reason, the invalid, illegal, or unenforceable term, provision, or agreement shall not affect any other term, provision, or agreement that is contained in this Agreement and this Agreement shall be construed in all respects as if the invalid, illegal, or unenforceable term, provision, or agreement had never been contained herein.</w:t>
      </w:r>
    </w:p>
    <w:p>
      <w:pPr>
        <w:spacing w:after="0" w:line="171" w:lineRule="exact"/>
        <w:rPr>
          <w:rFonts w:ascii="Arial" w:cs="Arial" w:eastAsia="Arial" w:hAnsi="Arial"/>
          <w:sz w:val="17"/>
          <w:szCs w:val="17"/>
          <w:color w:val="auto"/>
        </w:rPr>
      </w:pPr>
    </w:p>
    <w:p>
      <w:pPr>
        <w:jc w:val="both"/>
        <w:ind w:firstLine="556"/>
        <w:spacing w:after="0" w:line="22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Covenants and Agreements as Independent Agreements</w:t>
      </w:r>
      <w:r>
        <w:rPr>
          <w:rFonts w:ascii="Arial" w:cs="Arial" w:eastAsia="Arial" w:hAnsi="Arial"/>
          <w:sz w:val="17"/>
          <w:szCs w:val="17"/>
          <w:color w:val="auto"/>
        </w:rPr>
        <w:t>. Each of the covenants and agreements that is set forth in this Agreement shall be construed as a covenant and agreement independent of any other provision of this Agreement. The existence of any claim or cause of action of the Participant against the Company, whether predicated on this Agreement or otherwise, shall not constitute a defense to the enforcement by the Company of the covenants and agreements that are set forth in this Agreement.</w:t>
      </w:r>
    </w:p>
    <w:p>
      <w:pPr>
        <w:spacing w:after="0" w:line="171" w:lineRule="exact"/>
        <w:rPr>
          <w:rFonts w:ascii="Arial" w:cs="Arial" w:eastAsia="Arial" w:hAnsi="Arial"/>
          <w:sz w:val="17"/>
          <w:szCs w:val="17"/>
          <w:color w:val="auto"/>
        </w:rPr>
      </w:pPr>
    </w:p>
    <w:p>
      <w:pPr>
        <w:jc w:val="both"/>
        <w:ind w:firstLine="556"/>
        <w:spacing w:after="0" w:line="238" w:lineRule="auto"/>
        <w:tabs>
          <w:tab w:leader="none" w:pos="108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(as each may be amended from time to time) supersede any and all other prior understandings and agreements, either oral or in writing, between the parties with respect to the subject matter hereof and constitute the sole and only agreements between the parties with respect to the said subject matter. All prior negotiations and agreements between the parties with respect to the subject matter hereof are merged into this Agreement and the Plan. Each party to this Agreement acknowledges that no representations, inducements, promises, or agreements, orally or otherwise, have been made by any party or by anyone acting on behalf of any party, which are not embodied in this Agreement or the Plan and that any agreement, statement or promise that is not contained in this Agreement or the Plan shall not be valid or binding or of any force or effect.</w:t>
      </w:r>
    </w:p>
    <w:p>
      <w:pPr>
        <w:spacing w:after="0" w:line="170" w:lineRule="exact"/>
        <w:rPr>
          <w:rFonts w:ascii="Arial" w:cs="Arial" w:eastAsia="Arial" w:hAnsi="Arial"/>
          <w:sz w:val="16"/>
          <w:szCs w:val="16"/>
          <w:color w:val="auto"/>
        </w:rPr>
      </w:pPr>
    </w:p>
    <w:p>
      <w:pPr>
        <w:ind w:right="20" w:firstLine="556"/>
        <w:spacing w:after="0" w:line="242" w:lineRule="auto"/>
        <w:tabs>
          <w:tab w:leader="none" w:pos="949"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Parties Bound</w:t>
      </w:r>
      <w:r>
        <w:rPr>
          <w:rFonts w:ascii="Arial" w:cs="Arial" w:eastAsia="Arial" w:hAnsi="Arial"/>
          <w:sz w:val="17"/>
          <w:szCs w:val="17"/>
          <w:color w:val="auto"/>
        </w:rPr>
        <w:t>. The terms, provisions, and agreements that are contained in this Agreement shall apply to, be binding upon, and inure to the benefit of the parties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238" w:right="319" w:bottom="1440" w:gutter="0" w:footer="0" w:header="0"/>
        </w:sectPr>
      </w:pPr>
    </w:p>
    <w:bookmarkStart w:id="54" w:name="page55"/>
    <w:bookmarkEnd w:id="54"/>
    <w:p>
      <w:pPr>
        <w:jc w:val="both"/>
        <w:spacing w:after="0" w:line="232" w:lineRule="auto"/>
        <w:rPr>
          <w:sz w:val="20"/>
          <w:szCs w:val="20"/>
          <w:color w:val="auto"/>
        </w:rPr>
      </w:pPr>
      <w:r>
        <w:rPr>
          <w:rFonts w:ascii="Arial" w:cs="Arial" w:eastAsia="Arial" w:hAnsi="Arial"/>
          <w:sz w:val="17"/>
          <w:szCs w:val="17"/>
          <w:color w:val="auto"/>
        </w:rPr>
        <w:t>heirs, executors, administrators, legal representatives, and permitted successors and assigns, subject to the limitation on assignment expressly set forth herein. No person shall be permitted to acquire any Performance Stock Units without first executing and delivering an agreement in a form satisfactory to the Company making such person subject to the restrictions on transfer contained herein.</w:t>
      </w:r>
    </w:p>
    <w:p>
      <w:pPr>
        <w:spacing w:after="0" w:line="171" w:lineRule="exact"/>
        <w:rPr>
          <w:sz w:val="20"/>
          <w:szCs w:val="20"/>
          <w:color w:val="auto"/>
        </w:rPr>
      </w:pPr>
    </w:p>
    <w:p>
      <w:pPr>
        <w:jc w:val="both"/>
        <w:ind w:firstLine="556"/>
        <w:spacing w:after="0" w:line="221" w:lineRule="auto"/>
        <w:tabs>
          <w:tab w:leader="none" w:pos="104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xml:space="preserve">. The Committee may amend this Agreement at any time and from time to time without the consent of the Participant; provided, however that no such amendment may materially and adversely affect the rights of the Participant without his or her consent; and provided, further, that the Company may change or modify this Agreement without the Participant’s consent or signature if the Company determines, in its sole discretion, that such change or modification is necessary for purposes of compliance with or exemption from the requirements of Code Section 409A or any regulations or other guidance issued thereunder. To the extent that any provision hereof is modified in order to comply with Code Section 409A, such modification shall be made in good faith and shall, to the maximum extent reasonably possible, maintain the original intent and economic benefit to the Participant and the Company of the applicable provision without violating the provisions of Code Section 409A, and in no event may any such amendment modify the time or form of payment of any amount payable pursuant to this Agreement if such modification would be in violation of Code Section 409A. Notwithstanding the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the Company may amend the Plan to the extent permitted by the Plan.</w:t>
      </w:r>
    </w:p>
    <w:p>
      <w:pPr>
        <w:spacing w:after="0" w:line="172" w:lineRule="exact"/>
        <w:rPr>
          <w:rFonts w:ascii="Arial" w:cs="Arial" w:eastAsia="Arial" w:hAnsi="Arial"/>
          <w:sz w:val="17"/>
          <w:szCs w:val="17"/>
          <w:color w:val="auto"/>
        </w:rPr>
      </w:pPr>
    </w:p>
    <w:p>
      <w:pPr>
        <w:ind w:right="20" w:firstLine="556"/>
        <w:spacing w:after="0" w:line="242" w:lineRule="auto"/>
        <w:tabs>
          <w:tab w:leader="none" w:pos="101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that are used in this Agreement are used for reference and convenience purposes only and do not constitute substantive matters to be considered in construing the terms and provisions of this Agreement.</w:t>
      </w:r>
    </w:p>
    <w:p>
      <w:pPr>
        <w:spacing w:after="0" w:line="168" w:lineRule="exact"/>
        <w:rPr>
          <w:rFonts w:ascii="Arial" w:cs="Arial" w:eastAsia="Arial" w:hAnsi="Arial"/>
          <w:sz w:val="17"/>
          <w:szCs w:val="17"/>
          <w:color w:val="auto"/>
        </w:rPr>
      </w:pPr>
    </w:p>
    <w:p>
      <w:pPr>
        <w:ind w:right="20" w:firstLine="556"/>
        <w:spacing w:after="0" w:line="242" w:lineRule="auto"/>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Gender and Number</w:t>
      </w:r>
      <w:r>
        <w:rPr>
          <w:rFonts w:ascii="Arial" w:cs="Arial" w:eastAsia="Arial" w:hAnsi="Arial"/>
          <w:sz w:val="17"/>
          <w:szCs w:val="17"/>
          <w:color w:val="auto"/>
        </w:rPr>
        <w:t>. Words of any gender used in this Agreement shall be held and construed to include any other gender, and words in the singular number shall be held to include the plural, and vice versa, unless the context requires otherwise.</w:t>
      </w:r>
    </w:p>
    <w:p>
      <w:pPr>
        <w:spacing w:after="0" w:line="168" w:lineRule="exact"/>
        <w:rPr>
          <w:rFonts w:ascii="Arial" w:cs="Arial" w:eastAsia="Arial" w:hAnsi="Arial"/>
          <w:sz w:val="17"/>
          <w:szCs w:val="17"/>
          <w:color w:val="auto"/>
        </w:rPr>
      </w:pPr>
    </w:p>
    <w:p>
      <w:pPr>
        <w:jc w:val="both"/>
        <w:ind w:firstLine="556"/>
        <w:spacing w:after="0" w:line="232" w:lineRule="auto"/>
        <w:tabs>
          <w:tab w:leader="none" w:pos="97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required or permitted to be delivered hereunder shall be deemed to be delivered only when actually received by the Company or by the Participant, as the case may be, at the addresses set forth below, or at such other addresses as they have theretofore specified by written notice delivered in accordance herewith:</w:t>
      </w:r>
    </w:p>
    <w:p>
      <w:pPr>
        <w:spacing w:after="0" w:line="183"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Notice to the Company shall be addressed and delivered as follows:</w:t>
      </w: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Matador Resources Company</w:t>
      </w:r>
    </w:p>
    <w:p>
      <w:pPr>
        <w:spacing w:after="0" w:line="18"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5400 LBJ Fwy, Suite 1500</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Dallas, TX 75240</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Attn: General Counsel</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Facsimile: (972) 371-5201</w:t>
      </w:r>
    </w:p>
    <w:p>
      <w:pPr>
        <w:spacing w:after="0" w:line="201" w:lineRule="exact"/>
        <w:rPr>
          <w:sz w:val="20"/>
          <w:szCs w:val="20"/>
          <w:color w:val="auto"/>
        </w:rPr>
      </w:pPr>
    </w:p>
    <w:p>
      <w:pPr>
        <w:ind w:left="860" w:hanging="304"/>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Notice to the Participant shall be addressed and delivered to the Participant’s address as set forth in the Company’s records.</w:t>
      </w:r>
    </w:p>
    <w:p>
      <w:pPr>
        <w:spacing w:after="0" w:line="203" w:lineRule="exact"/>
        <w:rPr>
          <w:sz w:val="20"/>
          <w:szCs w:val="20"/>
          <w:color w:val="auto"/>
        </w:rPr>
      </w:pPr>
    </w:p>
    <w:p>
      <w:pPr>
        <w:jc w:val="both"/>
        <w:ind w:firstLine="556"/>
        <w:spacing w:after="0" w:line="238" w:lineRule="auto"/>
        <w:tabs>
          <w:tab w:leader="none" w:pos="97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Tax Requirements</w:t>
      </w:r>
      <w:r>
        <w:rPr>
          <w:rFonts w:ascii="Arial" w:cs="Arial" w:eastAsia="Arial" w:hAnsi="Arial"/>
          <w:sz w:val="16"/>
          <w:szCs w:val="16"/>
          <w:color w:val="auto"/>
        </w:rPr>
        <w:t xml:space="preserve">. The Participant is hereby advised to consult immediately with his or her own tax advisor regarding the tax consequences of this Agreement. The Company or, if applicable, any Subsidiary (for purposes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be deemed to include any applicable Subsidiary), shall have the right to deduct from all amounts paid or payable to the Participant in cash or other form in connection with the Plan, any Federal, state, local, or other taxes permitted by law to be withheld in connection with this Award. The Company may, in its sole discretion, also require the Participant receiving shares of Common Stock issued under the Plan to pay the Company the amount of any taxes that the Company is permitted to withhold in connection with the Participant’s income arising with respect to the Award. Such payments shall be required to be made when requested by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238" w:right="319" w:bottom="1440" w:gutter="0" w:footer="0" w:header="0"/>
        </w:sectPr>
      </w:pPr>
    </w:p>
    <w:bookmarkStart w:id="55" w:name="page56"/>
    <w:bookmarkEnd w:id="55"/>
    <w:p>
      <w:pPr>
        <w:jc w:val="both"/>
        <w:ind w:left="6"/>
        <w:spacing w:after="0" w:line="253" w:lineRule="auto"/>
        <w:rPr>
          <w:sz w:val="20"/>
          <w:szCs w:val="20"/>
          <w:color w:val="auto"/>
        </w:rPr>
      </w:pPr>
      <w:r>
        <w:rPr>
          <w:rFonts w:ascii="Arial" w:cs="Arial" w:eastAsia="Arial" w:hAnsi="Arial"/>
          <w:sz w:val="15"/>
          <w:szCs w:val="15"/>
          <w:color w:val="auto"/>
        </w:rPr>
        <w:t>may be required to be made prior to the delivery of any certificate representing shares of Common Stock. Such payments may be made, in the sole discretion of the Company, (i) by the delivery of cash to the Company in an amount that equals or exceeds (to avoid the issuance of fractional shares under (iii) below) the applicable tax withholding obligations of the Company; (ii) the actual delivery by the Participant to the Company of shares of Common Stock that the Participant has not acquired from the Company within six (6) months prior thereto, which shares so delivered have an aggregate Fair Market Value that equals or exceeds (to avoid the issuance of fractional shares under (iii) below) the applicable tax withholding payment; (iii) the Company’s withholding of a number of shares to be delivered upon the vesting of this Award, which shares so withheld have an aggregate Fair Market Value that equals or exceeds (solely to avoid the issuance of fractional shares) the applicable tax withholding payment; or (iv) any combination of (i), (ii) or (iii) or any other method consented to by the Company in writing. The Company may, in its sole discretion, withhold any such taxes from any other cash remuneration otherwise paid by the Company to the Participant.</w:t>
      </w:r>
    </w:p>
    <w:p>
      <w:pPr>
        <w:spacing w:after="0" w:line="162" w:lineRule="exact"/>
        <w:rPr>
          <w:sz w:val="20"/>
          <w:szCs w:val="20"/>
          <w:color w:val="auto"/>
        </w:rPr>
      </w:pPr>
    </w:p>
    <w:p>
      <w:pPr>
        <w:jc w:val="both"/>
        <w:ind w:left="6" w:firstLine="556"/>
        <w:spacing w:after="0" w:line="246" w:lineRule="auto"/>
        <w:tabs>
          <w:tab w:leader="none" w:pos="967"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This Agreement is intended to be interpreted and applied so that the payments and benefits set forth herein shall comply with or be exempt from the requirements of Code Section 409A, and, accordingly, to the maximum extent permitted, this Agreement shall be interpreted to the fullest extent possible to reflect and implement such intent. Notwithstanding anything in this Agreement and in the event the payments and benefits set forth herein are subject to Code Section 409A, a Termination of Service shall not be deemed to have occurred for purposes of any provision of this Agreement unless such termination is also a “separation from service” within the meaning of Code Section 409A. Notwithstanding any provision in this Agreement to the contrary, if on his or her Termination of Service, the Participant is deemed to be a “specified employee” within the meaning of Code Section 409A, any payments or benefits due upon such Termination of Service that constitutes a “deferral of compensation” within the meaning of Code Section 409A and which do not otherwise qualify under the exemptions under Treas. Reg. § 1.409A-1 (including without limitation, the short-term deferral exemption and the permitted payments under Treas. Reg.</w:t>
      </w:r>
    </w:p>
    <w:p>
      <w:pPr>
        <w:spacing w:after="0" w:line="5" w:lineRule="exact"/>
        <w:rPr>
          <w:rFonts w:ascii="Arial" w:cs="Arial" w:eastAsia="Arial" w:hAnsi="Arial"/>
          <w:sz w:val="15"/>
          <w:szCs w:val="15"/>
          <w:color w:val="auto"/>
        </w:rPr>
      </w:pPr>
    </w:p>
    <w:p>
      <w:pPr>
        <w:ind w:left="6" w:hanging="6"/>
        <w:spacing w:after="0" w:line="232" w:lineRule="auto"/>
        <w:tabs>
          <w:tab w:leader="none" w:pos="1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1.409A-1(b)(9)(iii)(A)), shall be delayed and paid or provided to the Participant on the earlier of the date which immediately follows six (6) months after the Participant’s separation from service or, if earlier, the date of the Participant’s death.</w:t>
      </w:r>
    </w:p>
    <w:p>
      <w:pPr>
        <w:spacing w:after="0" w:line="170" w:lineRule="exact"/>
        <w:rPr>
          <w:rFonts w:ascii="Arial" w:cs="Arial" w:eastAsia="Arial" w:hAnsi="Arial"/>
          <w:sz w:val="17"/>
          <w:szCs w:val="17"/>
          <w:color w:val="auto"/>
        </w:rPr>
      </w:pPr>
    </w:p>
    <w:p>
      <w:pPr>
        <w:jc w:val="both"/>
        <w:ind w:left="6" w:right="20" w:firstLine="556"/>
        <w:spacing w:after="0" w:line="232" w:lineRule="auto"/>
        <w:tabs>
          <w:tab w:leader="none" w:pos="99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By executing this Agreement (including via digital acceptance), the Participant hereby consents to the delivery of information (including, without limitation, information required to be delivered to the Participant pursuant to applicable securities laws) regarding the Company and its Subsidiaries, the Plan, and the Performance Stock Units via Company web site or other electronic delivery.</w:t>
      </w:r>
    </w:p>
    <w:p>
      <w:pPr>
        <w:spacing w:after="0" w:line="183" w:lineRule="exact"/>
        <w:rPr>
          <w:rFonts w:ascii="Arial" w:cs="Arial" w:eastAsia="Arial" w:hAnsi="Arial"/>
          <w:sz w:val="17"/>
          <w:szCs w:val="17"/>
          <w:color w:val="auto"/>
        </w:rPr>
      </w:pPr>
    </w:p>
    <w:p>
      <w:pPr>
        <w:ind w:left="5006"/>
        <w:spacing w:after="0"/>
        <w:rPr>
          <w:rFonts w:ascii="Arial" w:cs="Arial" w:eastAsia="Arial" w:hAnsi="Arial"/>
          <w:sz w:val="17"/>
          <w:szCs w:val="17"/>
          <w:color w:val="auto"/>
        </w:rPr>
      </w:pPr>
      <w:r>
        <w:rPr>
          <w:rFonts w:ascii="Arial" w:cs="Arial" w:eastAsia="Arial" w:hAnsi="Arial"/>
          <w:sz w:val="17"/>
          <w:szCs w:val="17"/>
          <w:color w:val="auto"/>
        </w:rPr>
        <w:t>* * * * * * * * * *</w:t>
      </w:r>
    </w:p>
    <w:p>
      <w:pPr>
        <w:spacing w:after="0" w:line="21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p>
    <w:p>
      <w:pPr>
        <w:spacing w:after="0" w:line="18" w:lineRule="exact"/>
        <w:rPr>
          <w:sz w:val="20"/>
          <w:szCs w:val="20"/>
          <w:color w:val="auto"/>
        </w:rPr>
      </w:pPr>
    </w:p>
    <w:p>
      <w:pPr>
        <w:jc w:val="center"/>
        <w:ind w:right="-5"/>
        <w:spacing w:after="0"/>
        <w:rPr>
          <w:sz w:val="20"/>
          <w:szCs w:val="20"/>
          <w:color w:val="auto"/>
        </w:rPr>
      </w:pP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6"/>
          </w:cols>
          <w:pgMar w:left="314" w:top="1238" w:right="319" w:bottom="1440" w:gutter="0" w:footer="0" w:header="0"/>
        </w:sectPr>
      </w:pPr>
    </w:p>
    <w:bookmarkStart w:id="56" w:name="page57"/>
    <w:bookmarkEnd w:id="56"/>
    <w:p>
      <w:pPr>
        <w:ind w:right="60" w:firstLine="562"/>
        <w:spacing w:after="0" w:line="302" w:lineRule="auto"/>
        <w:rPr>
          <w:sz w:val="20"/>
          <w:szCs w:val="20"/>
          <w:color w:val="auto"/>
        </w:rPr>
      </w:pPr>
      <w:r>
        <w:rPr>
          <w:rFonts w:ascii="Arial" w:cs="Arial" w:eastAsia="Arial" w:hAnsi="Arial"/>
          <w:sz w:val="16"/>
          <w:szCs w:val="16"/>
          <w:color w:val="auto"/>
        </w:rPr>
        <w:t xml:space="preserve">IN WITNESS WHEREOF, the Company has caused this Agreement to be executed by its duly authorized officer, and the Participant, to evidence his or her consent and approval of all the terms hereof, has duly executed this Agreement, as of the Date of Grant specified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w:t>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COMPANY:</w:t>
      </w:r>
    </w:p>
    <w:p>
      <w:pPr>
        <w:spacing w:after="0" w:line="29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MATADOR RESOURCES COMPANY</w:t>
      </w: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26670</wp:posOffset>
            </wp:positionV>
            <wp:extent cx="26066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606675" cy="7620"/>
                    </a:xfrm>
                    <a:prstGeom prst="rect">
                      <a:avLst/>
                    </a:prstGeom>
                    <a:noFill/>
                  </pic:spPr>
                </pic:pic>
              </a:graphicData>
            </a:graphic>
          </wp:anchor>
        </w:drawing>
      </w:r>
    </w:p>
    <w:p>
      <w:pPr>
        <w:spacing w:after="0" w:line="42" w:lineRule="exact"/>
        <w:rPr>
          <w:sz w:val="20"/>
          <w:szCs w:val="20"/>
          <w:color w:val="auto"/>
        </w:rPr>
      </w:pPr>
    </w:p>
    <w:p>
      <w:pPr>
        <w:ind w:left="10620"/>
        <w:spacing w:after="0"/>
        <w:rPr>
          <w:sz w:val="20"/>
          <w:szCs w:val="20"/>
          <w:color w:val="auto"/>
        </w:rPr>
      </w:pPr>
      <w:r>
        <w:rPr>
          <w:rFonts w:ascii="Arial" w:cs="Arial" w:eastAsia="Arial" w:hAnsi="Arial"/>
          <w:sz w:val="17"/>
          <w:szCs w:val="17"/>
          <w:color w:val="auto"/>
        </w:rPr>
        <w:t>David E.</w:t>
      </w:r>
    </w:p>
    <w:p>
      <w:pPr>
        <w:spacing w:after="0" w:line="18"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 Lancaster</w:t>
      </w:r>
    </w:p>
    <w:p>
      <w:pPr>
        <w:spacing w:after="0" w:line="37" w:lineRule="exact"/>
        <w:rPr>
          <w:sz w:val="20"/>
          <w:szCs w:val="20"/>
          <w:color w:val="auto"/>
        </w:rPr>
      </w:pPr>
    </w:p>
    <w:p>
      <w:pPr>
        <w:jc w:val="both"/>
        <w:ind w:left="6760"/>
        <w:spacing w:after="0"/>
        <w:tabs>
          <w:tab w:leader="none" w:pos="106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w:t>
      </w:r>
    </w:p>
    <w:p>
      <w:pPr>
        <w:spacing w:after="0" w:line="18"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Vice President</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328295</wp:posOffset>
            </wp:positionV>
            <wp:extent cx="50622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062220"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Signature</w:t>
      </w:r>
    </w:p>
    <w:p>
      <w:pPr>
        <w:spacing w:after="0" w:line="285" w:lineRule="exact"/>
        <w:rPr>
          <w:sz w:val="20"/>
          <w:szCs w:val="20"/>
          <w:color w:val="auto"/>
        </w:rPr>
      </w:pPr>
    </w:p>
    <w:p>
      <w:pPr>
        <w:ind w:left="6760"/>
        <w:spacing w:after="0"/>
        <w:tabs>
          <w:tab w:leader="none" w:pos="106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20"/>
          </w:cols>
          <w:pgMar w:left="320" w:top="1250" w:right="259" w:bottom="1440" w:gutter="0" w:footer="0" w:header="0"/>
        </w:sectPr>
      </w:pPr>
    </w:p>
    <w:bookmarkStart w:id="57" w:name="page58"/>
    <w:bookmarkEnd w:id="57"/>
    <w:p>
      <w:pPr>
        <w:jc w:val="center"/>
        <w:ind w:right="-825"/>
        <w:spacing w:after="0"/>
        <w:rPr>
          <w:sz w:val="20"/>
          <w:szCs w:val="20"/>
          <w:color w:val="auto"/>
        </w:rPr>
      </w:pPr>
      <w:r>
        <w:rPr>
          <w:rFonts w:ascii="Arial" w:cs="Arial" w:eastAsia="Arial" w:hAnsi="Arial"/>
          <w:sz w:val="17"/>
          <w:szCs w:val="17"/>
          <w:b w:val="1"/>
          <w:bCs w:val="1"/>
          <w:color w:val="auto"/>
        </w:rPr>
        <w:t>APPENDIX A</w:t>
      </w:r>
    </w:p>
    <w:p>
      <w:pPr>
        <w:spacing w:after="0" w:line="97" w:lineRule="exact"/>
        <w:rPr>
          <w:sz w:val="20"/>
          <w:szCs w:val="20"/>
          <w:color w:val="auto"/>
        </w:rPr>
      </w:pPr>
    </w:p>
    <w:p>
      <w:pPr>
        <w:jc w:val="center"/>
        <w:ind w:right="-825"/>
        <w:spacing w:after="0"/>
        <w:rPr>
          <w:sz w:val="20"/>
          <w:szCs w:val="20"/>
          <w:color w:val="auto"/>
        </w:rPr>
      </w:pPr>
      <w:r>
        <w:rPr>
          <w:rFonts w:ascii="Arial" w:cs="Arial" w:eastAsia="Arial" w:hAnsi="Arial"/>
          <w:sz w:val="17"/>
          <w:szCs w:val="17"/>
          <w:b w:val="1"/>
          <w:bCs w:val="1"/>
          <w:color w:val="auto"/>
        </w:rPr>
        <w:t>PERFORMANCE GOALS AND PERFORMANCE PERIOD</w:t>
      </w:r>
    </w:p>
    <w:p>
      <w:pPr>
        <w:spacing w:after="0" w:line="191" w:lineRule="exact"/>
        <w:rPr>
          <w:sz w:val="20"/>
          <w:szCs w:val="20"/>
          <w:color w:val="auto"/>
        </w:rPr>
      </w:pPr>
    </w:p>
    <w:p>
      <w:pPr>
        <w:ind w:left="285" w:right="7519" w:hanging="285"/>
        <w:spacing w:after="0" w:line="474" w:lineRule="auto"/>
        <w:tabs>
          <w:tab w:leader="none" w:pos="276"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PERFORMANCE PERIOD </w:t>
      </w:r>
      <w:r>
        <w:rPr>
          <w:rFonts w:ascii="Arial" w:cs="Arial" w:eastAsia="Arial" w:hAnsi="Arial"/>
          <w:sz w:val="17"/>
          <w:szCs w:val="17"/>
          <w:color w:val="auto"/>
        </w:rPr>
        <w:t>[●]</w:t>
      </w:r>
    </w:p>
    <w:p>
      <w:pPr>
        <w:spacing w:after="0" w:line="1" w:lineRule="exact"/>
        <w:rPr>
          <w:rFonts w:ascii="Arial" w:cs="Arial" w:eastAsia="Arial" w:hAnsi="Arial"/>
          <w:sz w:val="17"/>
          <w:szCs w:val="17"/>
          <w:b w:val="1"/>
          <w:bCs w:val="1"/>
          <w:color w:val="auto"/>
        </w:rPr>
      </w:pPr>
    </w:p>
    <w:p>
      <w:pPr>
        <w:ind w:left="285" w:right="7679" w:hanging="285"/>
        <w:spacing w:after="0" w:line="508" w:lineRule="auto"/>
        <w:tabs>
          <w:tab w:leader="none" w:pos="278"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GOAL [●]</w:t>
      </w:r>
    </w:p>
    <w:p>
      <w:pPr>
        <w:sectPr>
          <w:pgSz w:w="11900" w:h="16838" w:orient="portrait"/>
          <w:cols w:equalWidth="0" w:num="1">
            <w:col w:w="9864"/>
          </w:cols>
          <w:pgMar w:left="595" w:top="1244"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 Joseph Wm. Foran, certify that:</w:t>
      </w:r>
    </w:p>
    <w:p>
      <w:pPr>
        <w:spacing w:after="0" w:line="144" w:lineRule="exact"/>
        <w:rPr>
          <w:sz w:val="20"/>
          <w:szCs w:val="20"/>
          <w:color w:val="auto"/>
        </w:rPr>
      </w:pPr>
    </w:p>
    <w:p>
      <w:pPr>
        <w:ind w:left="540" w:hanging="160"/>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Matador Resources Company;</w:t>
      </w:r>
    </w:p>
    <w:p>
      <w:pPr>
        <w:spacing w:after="0" w:line="144" w:lineRule="exact"/>
        <w:rPr>
          <w:rFonts w:ascii="Arial" w:cs="Arial" w:eastAsia="Arial" w:hAnsi="Arial"/>
          <w:sz w:val="16"/>
          <w:szCs w:val="16"/>
          <w:color w:val="auto"/>
        </w:rPr>
      </w:pPr>
    </w:p>
    <w:p>
      <w:pPr>
        <w:ind w:right="40" w:firstLine="380"/>
        <w:spacing w:after="0" w:line="264" w:lineRule="auto"/>
        <w:tabs>
          <w:tab w:leader="none" w:pos="5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360" w:firstLine="380"/>
        <w:spacing w:after="0" w:line="264" w:lineRule="auto"/>
        <w:tabs>
          <w:tab w:leader="none" w:pos="5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right="20" w:firstLine="380"/>
        <w:spacing w:after="0" w:line="297" w:lineRule="auto"/>
        <w:tabs>
          <w:tab w:leader="none" w:pos="543"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5"/>
          <w:szCs w:val="15"/>
          <w:color w:val="auto"/>
        </w:rPr>
      </w:pPr>
    </w:p>
    <w:p>
      <w:pPr>
        <w:ind w:right="80" w:firstLine="767"/>
        <w:spacing w:after="0" w:line="254" w:lineRule="auto"/>
        <w:tabs>
          <w:tab w:leader="none" w:pos="92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6"/>
          <w:szCs w:val="16"/>
          <w:color w:val="auto"/>
        </w:rPr>
      </w:pPr>
    </w:p>
    <w:p>
      <w:pPr>
        <w:ind w:right="340" w:firstLine="767"/>
        <w:spacing w:after="0" w:line="254" w:lineRule="auto"/>
        <w:tabs>
          <w:tab w:leader="none" w:pos="92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6"/>
          <w:szCs w:val="16"/>
          <w:color w:val="auto"/>
        </w:rPr>
      </w:pPr>
    </w:p>
    <w:p>
      <w:pPr>
        <w:ind w:right="680" w:firstLine="767"/>
        <w:spacing w:after="0" w:line="264" w:lineRule="auto"/>
        <w:tabs>
          <w:tab w:leader="none" w:pos="92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6"/>
          <w:szCs w:val="16"/>
          <w:color w:val="auto"/>
        </w:rPr>
      </w:pPr>
    </w:p>
    <w:p>
      <w:pPr>
        <w:ind w:right="340" w:firstLine="767"/>
        <w:spacing w:after="0" w:line="254" w:lineRule="auto"/>
        <w:tabs>
          <w:tab w:leader="none" w:pos="92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6"/>
          <w:szCs w:val="16"/>
          <w:color w:val="auto"/>
        </w:rPr>
      </w:pPr>
    </w:p>
    <w:p>
      <w:pPr>
        <w:ind w:right="100" w:firstLine="380"/>
        <w:spacing w:after="0" w:line="264" w:lineRule="auto"/>
        <w:tabs>
          <w:tab w:leader="none" w:pos="5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6"/>
          <w:szCs w:val="16"/>
          <w:color w:val="auto"/>
        </w:rPr>
      </w:pPr>
    </w:p>
    <w:p>
      <w:pPr>
        <w:ind w:right="200" w:firstLine="767"/>
        <w:spacing w:after="0" w:line="264" w:lineRule="auto"/>
        <w:tabs>
          <w:tab w:leader="none" w:pos="921"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6"/>
          <w:szCs w:val="16"/>
          <w:color w:val="auto"/>
        </w:rPr>
      </w:pPr>
    </w:p>
    <w:p>
      <w:pPr>
        <w:ind w:left="920" w:hanging="153"/>
        <w:spacing w:after="0"/>
        <w:tabs>
          <w:tab w:leader="none" w:pos="9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4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reporting.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20" w:type="dxa"/>
            <w:vAlign w:val="bottom"/>
          </w:tcPr>
          <w:p>
            <w:pPr>
              <w:spacing w:after="0"/>
              <w:rPr>
                <w:sz w:val="20"/>
                <w:szCs w:val="20"/>
                <w:color w:val="auto"/>
              </w:rPr>
            </w:pPr>
            <w:r>
              <w:rPr>
                <w:rFonts w:ascii="Arial" w:cs="Arial" w:eastAsia="Arial" w:hAnsi="Arial"/>
                <w:sz w:val="16"/>
                <w:szCs w:val="16"/>
                <w:color w:val="auto"/>
              </w:rPr>
              <w:t>July 30, 2021</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Wm. Foran</w:t>
            </w:r>
          </w:p>
        </w:tc>
      </w:tr>
      <w:tr>
        <w:trPr>
          <w:trHeight w:val="191"/>
        </w:trPr>
        <w:tc>
          <w:tcPr>
            <w:tcW w:w="482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rPr>
              <w:t>Joseph Wm. Foran</w:t>
            </w:r>
          </w:p>
        </w:tc>
      </w:tr>
      <w:tr>
        <w:trPr>
          <w:trHeight w:val="153"/>
        </w:trPr>
        <w:tc>
          <w:tcPr>
            <w:tcW w:w="4820" w:type="dxa"/>
            <w:vAlign w:val="bottom"/>
          </w:tcPr>
          <w:p>
            <w:pPr>
              <w:spacing w:after="0"/>
              <w:rPr>
                <w:sz w:val="13"/>
                <w:szCs w:val="13"/>
                <w:color w:val="auto"/>
              </w:rPr>
            </w:pPr>
          </w:p>
        </w:tc>
        <w:tc>
          <w:tcPr>
            <w:tcW w:w="3680" w:type="dxa"/>
            <w:vAlign w:val="bottom"/>
          </w:tcPr>
          <w:p>
            <w:pPr>
              <w:ind w:left="20"/>
              <w:spacing w:after="0" w:line="153" w:lineRule="exact"/>
              <w:rPr>
                <w:sz w:val="20"/>
                <w:szCs w:val="20"/>
                <w:color w:val="auto"/>
              </w:rPr>
            </w:pPr>
            <w:r>
              <w:rPr>
                <w:rFonts w:ascii="Arial" w:cs="Arial" w:eastAsia="Arial" w:hAnsi="Arial"/>
                <w:sz w:val="16"/>
                <w:szCs w:val="16"/>
                <w:color w:val="auto"/>
              </w:rPr>
              <w:t>Chairman and Chief Executive Officer</w:t>
            </w:r>
          </w:p>
        </w:tc>
      </w:tr>
      <w:tr>
        <w:trPr>
          <w:trHeight w:val="199"/>
        </w:trPr>
        <w:tc>
          <w:tcPr>
            <w:tcW w:w="482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0"/>
          </w:cols>
          <w:pgMar w:left="320" w:top="791"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 David E. Lancaster, certify that:</w:t>
      </w:r>
    </w:p>
    <w:p>
      <w:pPr>
        <w:spacing w:after="0" w:line="144" w:lineRule="exact"/>
        <w:rPr>
          <w:sz w:val="20"/>
          <w:szCs w:val="20"/>
          <w:color w:val="auto"/>
        </w:rPr>
      </w:pPr>
    </w:p>
    <w:p>
      <w:pPr>
        <w:ind w:left="540" w:hanging="160"/>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Matador Resources Company;</w:t>
      </w:r>
    </w:p>
    <w:p>
      <w:pPr>
        <w:spacing w:after="0" w:line="144" w:lineRule="exact"/>
        <w:rPr>
          <w:rFonts w:ascii="Arial" w:cs="Arial" w:eastAsia="Arial" w:hAnsi="Arial"/>
          <w:sz w:val="16"/>
          <w:szCs w:val="16"/>
          <w:color w:val="auto"/>
        </w:rPr>
      </w:pPr>
    </w:p>
    <w:p>
      <w:pPr>
        <w:ind w:right="40" w:firstLine="380"/>
        <w:spacing w:after="0" w:line="264" w:lineRule="auto"/>
        <w:tabs>
          <w:tab w:leader="none" w:pos="5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right="360" w:firstLine="380"/>
        <w:spacing w:after="0" w:line="264" w:lineRule="auto"/>
        <w:tabs>
          <w:tab w:leader="none" w:pos="5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Arial" w:cs="Arial" w:eastAsia="Arial" w:hAnsi="Arial"/>
          <w:sz w:val="16"/>
          <w:szCs w:val="16"/>
          <w:color w:val="auto"/>
        </w:rPr>
      </w:pPr>
    </w:p>
    <w:p>
      <w:pPr>
        <w:ind w:right="20" w:firstLine="380"/>
        <w:spacing w:after="0" w:line="297" w:lineRule="auto"/>
        <w:tabs>
          <w:tab w:leader="none" w:pos="54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 w:lineRule="exact"/>
        <w:rPr>
          <w:rFonts w:ascii="Arial" w:cs="Arial" w:eastAsia="Arial" w:hAnsi="Arial"/>
          <w:sz w:val="15"/>
          <w:szCs w:val="15"/>
          <w:color w:val="auto"/>
        </w:rPr>
      </w:pPr>
    </w:p>
    <w:p>
      <w:pPr>
        <w:ind w:right="80" w:firstLine="767"/>
        <w:spacing w:after="0" w:line="254" w:lineRule="auto"/>
        <w:tabs>
          <w:tab w:leader="none" w:pos="921"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6"/>
          <w:szCs w:val="16"/>
          <w:color w:val="auto"/>
        </w:rPr>
      </w:pPr>
    </w:p>
    <w:p>
      <w:pPr>
        <w:ind w:right="340" w:firstLine="767"/>
        <w:spacing w:after="0" w:line="254" w:lineRule="auto"/>
        <w:tabs>
          <w:tab w:leader="none" w:pos="92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6"/>
          <w:szCs w:val="16"/>
          <w:color w:val="auto"/>
        </w:rPr>
      </w:pPr>
    </w:p>
    <w:p>
      <w:pPr>
        <w:ind w:right="680" w:firstLine="767"/>
        <w:spacing w:after="0" w:line="264" w:lineRule="auto"/>
        <w:tabs>
          <w:tab w:leader="none" w:pos="92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6"/>
          <w:szCs w:val="16"/>
          <w:color w:val="auto"/>
        </w:rPr>
      </w:pPr>
    </w:p>
    <w:p>
      <w:pPr>
        <w:ind w:right="340" w:firstLine="767"/>
        <w:spacing w:after="0" w:line="254" w:lineRule="auto"/>
        <w:tabs>
          <w:tab w:leader="none" w:pos="92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Arial" w:cs="Arial" w:eastAsia="Arial" w:hAnsi="Arial"/>
          <w:sz w:val="16"/>
          <w:szCs w:val="16"/>
          <w:color w:val="auto"/>
        </w:rPr>
      </w:pPr>
    </w:p>
    <w:p>
      <w:pPr>
        <w:ind w:right="100" w:firstLine="380"/>
        <w:spacing w:after="0" w:line="264" w:lineRule="auto"/>
        <w:tabs>
          <w:tab w:leader="none" w:pos="5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6"/>
          <w:szCs w:val="16"/>
          <w:color w:val="auto"/>
        </w:rPr>
      </w:pPr>
    </w:p>
    <w:p>
      <w:pPr>
        <w:ind w:right="200" w:firstLine="767"/>
        <w:spacing w:after="0" w:line="264" w:lineRule="auto"/>
        <w:tabs>
          <w:tab w:leader="none" w:pos="92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6"/>
          <w:szCs w:val="16"/>
          <w:color w:val="auto"/>
        </w:rPr>
      </w:pPr>
    </w:p>
    <w:p>
      <w:pPr>
        <w:ind w:left="920" w:hanging="153"/>
        <w:spacing w:after="0"/>
        <w:tabs>
          <w:tab w:leader="none" w:pos="9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4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reporting.</w:t>
      </w:r>
    </w:p>
    <w:p>
      <w:pPr>
        <w:spacing w:after="0" w:line="273"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July 30, 2021</w:t>
      </w:r>
      <w:r>
        <w:rPr>
          <w:sz w:val="20"/>
          <w:szCs w:val="20"/>
          <w:color w:val="auto"/>
        </w:rPr>
        <w:tab/>
      </w:r>
      <w:r>
        <w:rPr>
          <w:rFonts w:ascii="Arial" w:cs="Arial" w:eastAsia="Arial" w:hAnsi="Arial"/>
          <w:sz w:val="13"/>
          <w:szCs w:val="13"/>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10160</wp:posOffset>
            </wp:positionV>
            <wp:extent cx="250761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507615"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David E. Lancaster</w:t>
      </w:r>
    </w:p>
    <w:p>
      <w:pPr>
        <w:ind w:left="5740"/>
        <w:spacing w:after="0" w:line="198" w:lineRule="auto"/>
        <w:rPr>
          <w:sz w:val="20"/>
          <w:szCs w:val="20"/>
          <w:color w:val="auto"/>
        </w:rPr>
      </w:pP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0"/>
          </w:cols>
          <w:pgMar w:left="320" w:top="791" w:right="31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32.1</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 SECTION 906</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OF THE SARBANES-OXLEY ACT OF 2002</w:t>
      </w:r>
    </w:p>
    <w:p>
      <w:pPr>
        <w:spacing w:after="0" w:line="132" w:lineRule="exact"/>
        <w:rPr>
          <w:sz w:val="20"/>
          <w:szCs w:val="20"/>
          <w:color w:val="auto"/>
        </w:rPr>
      </w:pPr>
    </w:p>
    <w:p>
      <w:pPr>
        <w:ind w:left="6" w:right="180" w:firstLine="387"/>
        <w:spacing w:after="0" w:line="279" w:lineRule="auto"/>
        <w:rPr>
          <w:sz w:val="20"/>
          <w:szCs w:val="20"/>
          <w:color w:val="auto"/>
        </w:rPr>
      </w:pPr>
      <w:r>
        <w:rPr>
          <w:rFonts w:ascii="Arial" w:cs="Arial" w:eastAsia="Arial" w:hAnsi="Arial"/>
          <w:sz w:val="15"/>
          <w:szCs w:val="15"/>
          <w:color w:val="auto"/>
        </w:rPr>
        <w:t>In connection with the quarterly report of Matador Resources Company (the “Company”) on Form 10-Q for the period ended June 30, 2021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02" w:lineRule="exact"/>
        <w:rPr>
          <w:sz w:val="20"/>
          <w:szCs w:val="20"/>
          <w:color w:val="auto"/>
        </w:rPr>
      </w:pPr>
    </w:p>
    <w:p>
      <w:pPr>
        <w:ind w:left="226" w:hanging="226"/>
        <w:spacing w:after="0"/>
        <w:tabs>
          <w:tab w:leader="none" w:pos="22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15(d) of the Securities Exchange Act of 1934; and</w:t>
      </w:r>
    </w:p>
    <w:p>
      <w:pPr>
        <w:spacing w:after="0" w:line="144" w:lineRule="exact"/>
        <w:rPr>
          <w:rFonts w:ascii="Arial" w:cs="Arial" w:eastAsia="Arial" w:hAnsi="Arial"/>
          <w:sz w:val="16"/>
          <w:szCs w:val="16"/>
          <w:color w:val="auto"/>
        </w:rPr>
      </w:pPr>
    </w:p>
    <w:p>
      <w:pPr>
        <w:ind w:left="226" w:hanging="226"/>
        <w:spacing w:after="0"/>
        <w:tabs>
          <w:tab w:leader="none" w:pos="22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285"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4520" w:type="dxa"/>
            <w:vAlign w:val="bottom"/>
          </w:tcPr>
          <w:p>
            <w:pPr>
              <w:spacing w:after="0"/>
              <w:rPr>
                <w:sz w:val="20"/>
                <w:szCs w:val="20"/>
                <w:color w:val="auto"/>
              </w:rPr>
            </w:pPr>
            <w:r>
              <w:rPr>
                <w:rFonts w:ascii="Arial" w:cs="Arial" w:eastAsia="Arial" w:hAnsi="Arial"/>
                <w:sz w:val="16"/>
                <w:szCs w:val="16"/>
                <w:color w:val="auto"/>
              </w:rPr>
              <w:t>July 30, 2021</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Wm. Foran</w:t>
            </w:r>
          </w:p>
        </w:tc>
      </w:tr>
      <w:tr>
        <w:trPr>
          <w:trHeight w:val="191"/>
        </w:trPr>
        <w:tc>
          <w:tcPr>
            <w:tcW w:w="452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Joseph Wm. Foran</w:t>
            </w:r>
          </w:p>
        </w:tc>
      </w:tr>
      <w:tr>
        <w:trPr>
          <w:trHeight w:val="153"/>
        </w:trPr>
        <w:tc>
          <w:tcPr>
            <w:tcW w:w="4520" w:type="dxa"/>
            <w:vAlign w:val="bottom"/>
          </w:tcPr>
          <w:p>
            <w:pPr>
              <w:spacing w:after="0"/>
              <w:rPr>
                <w:sz w:val="13"/>
                <w:szCs w:val="13"/>
                <w:color w:val="auto"/>
              </w:rPr>
            </w:pPr>
          </w:p>
        </w:tc>
        <w:tc>
          <w:tcPr>
            <w:tcW w:w="3720" w:type="dxa"/>
            <w:vAlign w:val="bottom"/>
          </w:tcPr>
          <w:p>
            <w:pPr>
              <w:ind w:left="20"/>
              <w:spacing w:after="0" w:line="153" w:lineRule="exact"/>
              <w:rPr>
                <w:sz w:val="20"/>
                <w:szCs w:val="20"/>
                <w:color w:val="auto"/>
              </w:rPr>
            </w:pPr>
            <w:r>
              <w:rPr>
                <w:rFonts w:ascii="Arial" w:cs="Arial" w:eastAsia="Arial" w:hAnsi="Arial"/>
                <w:sz w:val="16"/>
                <w:szCs w:val="16"/>
                <w:color w:val="auto"/>
              </w:rPr>
              <w:t>Chairman and Chief Executive Officer</w:t>
            </w:r>
          </w:p>
        </w:tc>
      </w:tr>
      <w:tr>
        <w:trPr>
          <w:trHeight w:val="199"/>
        </w:trPr>
        <w:tc>
          <w:tcPr>
            <w:tcW w:w="452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266"/>
          </w:cols>
          <w:pgMar w:left="314" w:top="791" w:right="31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32.2</w:t>
      </w:r>
    </w:p>
    <w:p>
      <w:pPr>
        <w:spacing w:after="0" w:line="14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 SECTION 906</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OF THE SARBANES-OXLEY ACT OF 2002</w:t>
      </w:r>
    </w:p>
    <w:p>
      <w:pPr>
        <w:spacing w:after="0" w:line="132" w:lineRule="exact"/>
        <w:rPr>
          <w:sz w:val="20"/>
          <w:szCs w:val="20"/>
          <w:color w:val="auto"/>
        </w:rPr>
      </w:pPr>
    </w:p>
    <w:p>
      <w:pPr>
        <w:jc w:val="both"/>
        <w:ind w:left="6" w:right="180" w:firstLine="387"/>
        <w:spacing w:after="0" w:line="279" w:lineRule="auto"/>
        <w:rPr>
          <w:sz w:val="20"/>
          <w:szCs w:val="20"/>
          <w:color w:val="auto"/>
        </w:rPr>
      </w:pPr>
      <w:r>
        <w:rPr>
          <w:rFonts w:ascii="Arial" w:cs="Arial" w:eastAsia="Arial" w:hAnsi="Arial"/>
          <w:sz w:val="15"/>
          <w:szCs w:val="15"/>
          <w:color w:val="auto"/>
        </w:rPr>
        <w:t>In connection with the quarterly report of Matador Resources Company (the “Company”) on Form 10-Q for the period ended June 30, 2021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02" w:lineRule="exact"/>
        <w:rPr>
          <w:sz w:val="20"/>
          <w:szCs w:val="20"/>
          <w:color w:val="auto"/>
        </w:rPr>
      </w:pPr>
    </w:p>
    <w:p>
      <w:pPr>
        <w:ind w:left="226" w:hanging="226"/>
        <w:spacing w:after="0"/>
        <w:tabs>
          <w:tab w:leader="none" w:pos="2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15(d) of the Securities Exchange Act of 1934; and</w:t>
      </w:r>
    </w:p>
    <w:p>
      <w:pPr>
        <w:spacing w:after="0" w:line="144" w:lineRule="exact"/>
        <w:rPr>
          <w:rFonts w:ascii="Arial" w:cs="Arial" w:eastAsia="Arial" w:hAnsi="Arial"/>
          <w:sz w:val="16"/>
          <w:szCs w:val="16"/>
          <w:color w:val="auto"/>
        </w:rPr>
      </w:pPr>
    </w:p>
    <w:p>
      <w:pPr>
        <w:ind w:left="226" w:hanging="226"/>
        <w:spacing w:after="0"/>
        <w:tabs>
          <w:tab w:leader="none" w:pos="2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285"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4940" w:type="dxa"/>
            <w:vAlign w:val="bottom"/>
          </w:tcPr>
          <w:p>
            <w:pPr>
              <w:spacing w:after="0"/>
              <w:rPr>
                <w:sz w:val="20"/>
                <w:szCs w:val="20"/>
                <w:color w:val="auto"/>
              </w:rPr>
            </w:pPr>
            <w:r>
              <w:rPr>
                <w:rFonts w:ascii="Arial" w:cs="Arial" w:eastAsia="Arial" w:hAnsi="Arial"/>
                <w:sz w:val="16"/>
                <w:szCs w:val="16"/>
                <w:color w:val="auto"/>
              </w:rPr>
              <w:t>July 30, 2021</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E. Lancaster</w:t>
            </w:r>
          </w:p>
        </w:tc>
      </w:tr>
      <w:tr>
        <w:trPr>
          <w:trHeight w:val="191"/>
        </w:trPr>
        <w:tc>
          <w:tcPr>
            <w:tcW w:w="49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David E. Lancaster</w:t>
            </w:r>
          </w:p>
        </w:tc>
      </w:tr>
      <w:tr>
        <w:trPr>
          <w:trHeight w:val="153"/>
        </w:trPr>
        <w:tc>
          <w:tcPr>
            <w:tcW w:w="4940" w:type="dxa"/>
            <w:vAlign w:val="bottom"/>
          </w:tcPr>
          <w:p>
            <w:pPr>
              <w:spacing w:after="0"/>
              <w:rPr>
                <w:sz w:val="13"/>
                <w:szCs w:val="13"/>
                <w:color w:val="auto"/>
              </w:rPr>
            </w:pPr>
          </w:p>
        </w:tc>
        <w:tc>
          <w:tcPr>
            <w:tcW w:w="3860" w:type="dxa"/>
            <w:vAlign w:val="bottom"/>
          </w:tcPr>
          <w:p>
            <w:pPr>
              <w:ind w:left="20"/>
              <w:spacing w:after="0" w:line="153" w:lineRule="exact"/>
              <w:rPr>
                <w:sz w:val="20"/>
                <w:szCs w:val="20"/>
                <w:color w:val="auto"/>
              </w:rPr>
            </w:pPr>
            <w:r>
              <w:rPr>
                <w:rFonts w:ascii="Arial" w:cs="Arial" w:eastAsia="Arial" w:hAnsi="Arial"/>
                <w:sz w:val="16"/>
                <w:szCs w:val="16"/>
                <w:color w:val="auto"/>
              </w:rPr>
              <w:t>Executive Vice President and Chief Financial Officer</w:t>
            </w:r>
          </w:p>
        </w:tc>
      </w:tr>
      <w:tr>
        <w:trPr>
          <w:trHeight w:val="199"/>
        </w:trPr>
        <w:tc>
          <w:tcPr>
            <w:tcW w:w="494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(Principal Financial Officer)</w:t>
            </w:r>
          </w:p>
        </w:tc>
      </w:tr>
    </w:tbl>
    <w:p>
      <w:pPr>
        <w:spacing w:after="0" w:line="1" w:lineRule="exact"/>
        <w:rPr>
          <w:sz w:val="20"/>
          <w:szCs w:val="20"/>
          <w:color w:val="auto"/>
        </w:rPr>
      </w:pPr>
    </w:p>
    <w:sectPr>
      <w:pgSz w:w="11900" w:h="16838" w:orient="portrait"/>
      <w:cols w:equalWidth="0" w:num="1">
        <w:col w:w="11266"/>
      </w:cols>
      <w:pgMar w:left="314" w:top="7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6"/>
    </w:lvl>
  </w:abstractNum>
  <w:abstractNum w:abstractNumId="14">
    <w:nsid w:val="8138641"/>
    <w:multiLevelType w:val="hybridMultilevel"/>
    <w:lvl w:ilvl="0">
      <w:lvlJc w:val="left"/>
      <w:lvlText w:val="(%1)"/>
      <w:numFmt w:val="lowerRoman"/>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01"/>
    </w:lvl>
  </w:abstractNum>
  <w:abstractNum w:abstractNumId="17">
    <w:nsid w:val="737B8DDC"/>
    <w:multiLevelType w:val="hybridMultilevel"/>
    <w:lvl w:ilvl="0">
      <w:lvlJc w:val="left"/>
      <w:lvlText w:val="%1"/>
      <w:numFmt w:val="decimal"/>
      <w:start w:val="104"/>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2"/>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1."/>
      <w:numFmt w:val="decimal"/>
      <w:start w:val="12"/>
    </w:lvl>
  </w:abstractNum>
  <w:abstractNum w:abstractNumId="24">
    <w:nsid w:val="5577F8E1"/>
    <w:multiLevelType w:val="hybridMultilevel"/>
    <w:lvl w:ilvl="0">
      <w:lvlJc w:val="left"/>
      <w:lvlText w:val="%1."/>
      <w:numFmt w:val="decimal"/>
      <w:start w:val="18"/>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lowerRoman"/>
      <w:start w:val="1"/>
    </w:lvl>
    <w:lvl w:ilvl="1">
      <w:lvlJc w:val="left"/>
      <w:lvlText w:val="%2."/>
      <w:numFmt w:val="decimal"/>
      <w:start w:val="20"/>
    </w:lvl>
  </w:abstractNum>
  <w:abstractNum w:abstractNumId="27">
    <w:nsid w:val="3804823E"/>
    <w:multiLevelType w:val="hybridMultilevel"/>
    <w:lvl w:ilvl="0">
      <w:lvlJc w:val="left"/>
      <w:lvlText w:val="(%1)"/>
      <w:numFmt w:val="lowerRoman"/>
      <w:start w:val="1"/>
    </w:lvl>
    <w:lvl w:ilvl="1">
      <w:lvlJc w:val="left"/>
      <w:lvlText w:val="%2."/>
      <w:numFmt w:val="decimal"/>
      <w:start w:val="21"/>
    </w:lvl>
  </w:abstractNum>
  <w:abstractNum w:abstractNumId="28">
    <w:nsid w:val="77465F01"/>
    <w:multiLevelType w:val="hybridMultilevel"/>
    <w:lvl w:ilvl="0">
      <w:lvlJc w:val="left"/>
      <w:lvlText w:val="%1."/>
      <w:numFmt w:val="decimal"/>
      <w:start w:val="22"/>
    </w:lvl>
    <w:lvl w:ilvl="1">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decimal"/>
      <w:start w:val="4"/>
    </w:lvl>
  </w:abstractNum>
  <w:abstractNum w:abstractNumId="34">
    <w:nsid w:val="2D517796"/>
    <w:multiLevelType w:val="hybridMultilevel"/>
    <w:lvl w:ilvl="0">
      <w:lvlJc w:val="left"/>
      <w:lvlText w:val="%1."/>
      <w:numFmt w:val="decimal"/>
      <w:start w:val="8"/>
    </w:lvl>
  </w:abstractNum>
  <w:abstractNum w:abstractNumId="35">
    <w:nsid w:val="580BD78F"/>
    <w:multiLevelType w:val="hybridMultilevel"/>
    <w:lvl w:ilvl="0">
      <w:lvlJc w:val="left"/>
      <w:lvlText w:val="%1."/>
      <w:numFmt w:val="decimal"/>
      <w:start w:val="16"/>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20"/>
    </w:lvl>
  </w:abstractNum>
  <w:abstractNum w:abstractNumId="38">
    <w:nsid w:val="70A64E2A"/>
    <w:multiLevelType w:val="hybridMultilevel"/>
    <w:lvl w:ilvl="0">
      <w:lvlJc w:val="left"/>
      <w:lvlText w:val="§"/>
      <w:numFmt w:val="bullet"/>
      <w:start w:val="1"/>
    </w:lvl>
    <w:lvl w:ilvl="1">
      <w:lvlJc w:val="left"/>
      <w:lvlText w:val="%2."/>
      <w:numFmt w:val="decimal"/>
      <w:start w:val="21"/>
    </w:lvl>
    <w:lvl w:ilvl="2">
      <w:lvlJc w:val="left"/>
      <w:lvlText w:val="*"/>
      <w:numFmt w:val="bullet"/>
      <w:start w:val="1"/>
    </w:lvl>
  </w:abstractNum>
  <w:abstractNum w:abstractNumId="39">
    <w:nsid w:val="6A2342EC"/>
    <w:multiLevelType w:val="hybridMultilevel"/>
    <w:lvl w:ilvl="0">
      <w:lvlJc w:val="left"/>
      <w:lvlText w:val="§"/>
      <w:numFmt w:val="bullet"/>
      <w:start w:val="1"/>
    </w:lvl>
    <w:lvl w:ilvl="1">
      <w:lvlJc w:val="left"/>
      <w:lvlText w:val="%2."/>
      <w:numFmt w:val="decimal"/>
      <w:start w:val="22"/>
    </w:lvl>
    <w:lvl w:ilvl="2">
      <w:lvlJc w:val="left"/>
      <w:lvlText w:val="*"/>
      <w:numFmt w:val="bullet"/>
      <w:start w:val="1"/>
    </w:lvl>
  </w:abstractNum>
  <w:abstractNum w:abstractNumId="40">
    <w:nsid w:val="2A487CB0"/>
    <w:multiLevelType w:val="hybridMultilevel"/>
    <w:lvl w:ilvl="0">
      <w:lvlJc w:val="left"/>
      <w:lvlText w:val="%1."/>
      <w:numFmt w:val="upp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58" Type="http://schemas.openxmlformats.org/officeDocument/2006/relationships/hyperlink" Target="http://www.sec.gov/Archives/edgar/data/1520006/000152000617000188/a20170630mtdr10q-exhibit32.htm" TargetMode="External"/><Relationship Id="rId59" Type="http://schemas.openxmlformats.org/officeDocument/2006/relationships/hyperlink" Target="http://www.sec.gov/Archives/edgar/data/1520006/000152000617000188/a20170630mtdr10q-exhibit33.htm" TargetMode="External"/><Relationship Id="rId60" Type="http://schemas.openxmlformats.org/officeDocument/2006/relationships/hyperlink" Target="http://www.sec.gov/Archives/edgar/data/1520006/000152000617000188/a20170630mtdr10q-exhibit34.htm" TargetMode="External"/><Relationship Id="rId61" Type="http://schemas.openxmlformats.org/officeDocument/2006/relationships/hyperlink" Target="http://www.sec.gov/Archives/edgar/data/1520006/000152000618000051/a20171231mtdr8k-amendedbyl.htm" TargetMode="External"/><Relationship Id="rId62" Type="http://schemas.openxmlformats.org/officeDocument/2006/relationships/hyperlink" Target="http://www.sec.gov/Archives/edgar/data/1520006/000152000621000056/a20201231mtdr10-kex1056.htm" TargetMode="External"/><Relationship Id="rId63" Type="http://schemas.openxmlformats.org/officeDocument/2006/relationships/hyperlink" Target="http://www.sec.gov/Archives/edgar/data/1520006/000152000621000083/a20210331mtdr8ker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2021-07-30T15:59:33Z</dcterms:created>
  <dcterms:modified xsi:type="dcterms:W3CDTF">2021-07-30T15:59:33Z</dcterms:modified>
</cp:coreProperties>
</file>