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2" w:lineRule="auto"/>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18" w:lineRule="exact"/>
        <w:rPr>
          <w:sz w:val="24"/>
          <w:szCs w:val="24"/>
          <w:color w:val="auto"/>
        </w:rPr>
      </w:pPr>
    </w:p>
    <w:p>
      <w:pPr>
        <w:ind w:left="480" w:right="280" w:hanging="454"/>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260" w:hanging="454"/>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5920" w:type="dxa"/>
            <w:vAlign w:val="bottom"/>
          </w:tcPr>
          <w:p>
            <w:pPr>
              <w:jc w:val="center"/>
              <w:ind w:right="3459"/>
              <w:spacing w:after="0"/>
              <w:rPr>
                <w:sz w:val="20"/>
                <w:szCs w:val="20"/>
                <w:color w:val="auto"/>
              </w:rPr>
            </w:pPr>
            <w:r>
              <w:rPr>
                <w:rFonts w:ascii="Arial" w:cs="Arial" w:eastAsia="Arial" w:hAnsi="Arial"/>
                <w:sz w:val="18"/>
                <w:szCs w:val="18"/>
                <w:b w:val="1"/>
                <w:bCs w:val="1"/>
                <w:color w:val="auto"/>
                <w:w w:val="82"/>
              </w:rPr>
              <w:t>Texas</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c>
          <w:tcPr>
            <w:tcW w:w="0" w:type="dxa"/>
            <w:vAlign w:val="bottom"/>
          </w:tcPr>
          <w:p>
            <w:pPr>
              <w:spacing w:after="0"/>
              <w:rPr>
                <w:sz w:val="1"/>
                <w:szCs w:val="1"/>
                <w:color w:val="auto"/>
              </w:rPr>
            </w:pPr>
          </w:p>
        </w:tc>
      </w:tr>
      <w:tr>
        <w:trPr>
          <w:trHeight w:val="180"/>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2"/>
              </w:rPr>
              <w:t>(State or other jurisdiction of</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3"/>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59"/>
              <w:spacing w:after="0"/>
              <w:rPr>
                <w:sz w:val="20"/>
                <w:szCs w:val="20"/>
                <w:color w:val="auto"/>
              </w:rPr>
            </w:pPr>
            <w:r>
              <w:rPr>
                <w:rFonts w:ascii="Arial" w:cs="Arial" w:eastAsia="Arial" w:hAnsi="Arial"/>
                <w:sz w:val="18"/>
                <w:szCs w:val="18"/>
                <w:b w:val="1"/>
                <w:bCs w:val="1"/>
                <w:color w:val="auto"/>
                <w:w w:val="90"/>
              </w:rPr>
              <w:t>5400 LBJ Freeway, Suite 1500</w:t>
            </w:r>
          </w:p>
        </w:tc>
        <w:tc>
          <w:tcPr>
            <w:tcW w:w="1440" w:type="dxa"/>
            <w:vAlign w:val="bottom"/>
            <w:vMerge w:val="restart"/>
          </w:tcPr>
          <w:p>
            <w:pPr>
              <w:jc w:val="right"/>
              <w:ind w:right="241"/>
              <w:spacing w:after="0"/>
              <w:rPr>
                <w:sz w:val="20"/>
                <w:szCs w:val="20"/>
                <w:color w:val="auto"/>
              </w:rPr>
            </w:pPr>
            <w:r>
              <w:rPr>
                <w:rFonts w:ascii="Arial" w:cs="Arial" w:eastAsia="Arial" w:hAnsi="Arial"/>
                <w:sz w:val="18"/>
                <w:szCs w:val="18"/>
                <w:b w:val="1"/>
                <w:bCs w:val="1"/>
                <w:color w:val="auto"/>
              </w:rPr>
              <w:t>75240</w:t>
            </w:r>
          </w:p>
        </w:tc>
        <w:tc>
          <w:tcPr>
            <w:tcW w:w="0" w:type="dxa"/>
            <w:vAlign w:val="bottom"/>
          </w:tcPr>
          <w:p>
            <w:pPr>
              <w:spacing w:after="0"/>
              <w:rPr>
                <w:sz w:val="1"/>
                <w:szCs w:val="1"/>
                <w:color w:val="auto"/>
              </w:rPr>
            </w:pPr>
          </w:p>
        </w:tc>
      </w:tr>
      <w:tr>
        <w:trPr>
          <w:trHeight w:val="234"/>
        </w:trPr>
        <w:tc>
          <w:tcPr>
            <w:tcW w:w="5920" w:type="dxa"/>
            <w:vAlign w:val="bottom"/>
          </w:tcPr>
          <w:p>
            <w:pPr>
              <w:jc w:val="center"/>
              <w:ind w:right="3459"/>
              <w:spacing w:after="0"/>
              <w:rPr>
                <w:sz w:val="20"/>
                <w:szCs w:val="20"/>
                <w:color w:val="auto"/>
              </w:rPr>
            </w:pPr>
            <w:r>
              <w:rPr>
                <w:rFonts w:ascii="Arial" w:cs="Arial" w:eastAsia="Arial" w:hAnsi="Arial"/>
                <w:sz w:val="18"/>
                <w:szCs w:val="18"/>
                <w:b w:val="1"/>
                <w:bCs w:val="1"/>
                <w:color w:val="auto"/>
                <w:w w:val="89"/>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48"/>
        </w:trPr>
        <w:tc>
          <w:tcPr>
            <w:tcW w:w="5920" w:type="dxa"/>
            <w:vAlign w:val="bottom"/>
          </w:tcPr>
          <w:p>
            <w:pPr>
              <w:jc w:val="right"/>
              <w:ind w:right="1299"/>
              <w:spacing w:after="0"/>
              <w:rPr>
                <w:sz w:val="20"/>
                <w:szCs w:val="20"/>
                <w:color w:val="auto"/>
              </w:rPr>
            </w:pPr>
            <w:r>
              <w:rPr>
                <w:rFonts w:ascii="Arial" w:cs="Arial" w:eastAsia="Arial" w:hAnsi="Arial"/>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4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3"/>
        </w:trPr>
        <w:tc>
          <w:tcPr>
            <w:tcW w:w="4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Common Stock, par value $0.01 per share</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MTDR</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33"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80" w:type="dxa"/>
            <w:vAlign w:val="bottom"/>
          </w:tcPr>
          <w:p>
            <w:pPr>
              <w:ind w:left="224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8"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6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July 28, 2020, there were 116,840,409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3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10340" w:type="dxa"/>
            <w:vAlign w:val="bottom"/>
          </w:tcPr>
          <w:p>
            <w:pPr>
              <w:jc w:val="center"/>
              <w:ind w:left="810"/>
              <w:spacing w:after="0"/>
              <w:rPr>
                <w:sz w:val="20"/>
                <w:szCs w:val="20"/>
                <w:color w:val="auto"/>
              </w:rPr>
            </w:pPr>
            <w:r>
              <w:rPr>
                <w:rFonts w:ascii="Arial" w:cs="Arial" w:eastAsia="Arial" w:hAnsi="Arial"/>
                <w:sz w:val="18"/>
                <w:szCs w:val="18"/>
                <w:b w:val="1"/>
                <w:bCs w:val="1"/>
                <w:color w:val="auto"/>
                <w:w w:val="98"/>
              </w:rPr>
              <w:t>MATADOR RESOURCES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34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FORM 10-Q</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340" w:type="dxa"/>
            <w:vAlign w:val="bottom"/>
          </w:tcPr>
          <w:p>
            <w:pPr>
              <w:jc w:val="center"/>
              <w:ind w:left="810"/>
              <w:spacing w:after="0"/>
              <w:rPr>
                <w:sz w:val="20"/>
                <w:szCs w:val="20"/>
                <w:color w:val="auto"/>
              </w:rPr>
            </w:pPr>
            <w:r>
              <w:rPr>
                <w:rFonts w:ascii="Arial" w:cs="Arial" w:eastAsia="Arial" w:hAnsi="Arial"/>
                <w:sz w:val="18"/>
                <w:szCs w:val="18"/>
                <w:b w:val="1"/>
                <w:bCs w:val="1"/>
                <w:color w:val="auto"/>
                <w:w w:val="97"/>
              </w:rPr>
              <w:t>FOR THE QUARTER ENDED JUNE 30, 2020</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340" w:type="dxa"/>
            <w:vAlign w:val="bottom"/>
          </w:tcPr>
          <w:p>
            <w:pPr>
              <w:jc w:val="center"/>
              <w:ind w:left="81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340" w:type="dxa"/>
            <w:vAlign w:val="bottom"/>
          </w:tcPr>
          <w:p>
            <w:pPr>
              <w:spacing w:after="0"/>
              <w:rPr>
                <w:sz w:val="24"/>
                <w:szCs w:val="24"/>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340" w:type="dxa"/>
            <w:vAlign w:val="bottom"/>
            <w:vMerge w:val="restart"/>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340" w:type="dxa"/>
            <w:vAlign w:val="bottom"/>
            <w:vMerge w:val="continue"/>
          </w:tcPr>
          <w:p>
            <w:pPr>
              <w:spacing w:after="0"/>
              <w:rPr>
                <w:sz w:val="19"/>
                <w:szCs w:val="19"/>
                <w:color w:val="auto"/>
              </w:rPr>
            </w:pPr>
          </w:p>
        </w:tc>
        <w:tc>
          <w:tcPr>
            <w:tcW w:w="860" w:type="dxa"/>
            <w:vAlign w:val="bottom"/>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 Unaudited</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5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at June 30, 2020 and December 31, 2019</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5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for the Three and Six Months Ended June 30, 2020 and 2019</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560"/>
              <w:spacing w:after="0"/>
              <w:rPr>
                <w:rFonts w:ascii="Arial" w:cs="Arial" w:eastAsia="Arial" w:hAnsi="Arial"/>
                <w:sz w:val="18"/>
                <w:szCs w:val="18"/>
                <w:u w:val="single" w:color="auto"/>
                <w:color w:val="0000FF"/>
                <w:w w:val="90"/>
              </w:rPr>
            </w:pPr>
            <w:hyperlink w:anchor="page4">
              <w:r>
                <w:rPr>
                  <w:rFonts w:ascii="Arial" w:cs="Arial" w:eastAsia="Arial" w:hAnsi="Arial"/>
                  <w:sz w:val="18"/>
                  <w:szCs w:val="18"/>
                  <w:u w:val="single" w:color="auto"/>
                  <w:color w:val="0000FF"/>
                  <w:w w:val="90"/>
                </w:rPr>
                <w:t>Condensed Consolidated Statements of Changes in Shareholders’ Equity for the Three and Six Months Ended June 30, 2020 and 2019</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5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for the Six Months Ended June 30, 2020 and 2019</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5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86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 Management’s Discussion and Analysis of Financial Condition and Results of Operations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3. Quantitative and Qualitative Disclosures About Market Risk</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4. Controls and Procedures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PART II — OTHER INFORMATION</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 Legal Proceedings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1A. Risk Factors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 Unregistered Sales of Equity Securities and Use of Proceeds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4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6. Exhibits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47</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SIGNATURES</w:t>
              </w:r>
            </w:hyperlink>
          </w:p>
        </w:tc>
        <w:tc>
          <w:tcPr>
            <w:tcW w:w="8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48</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10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40,024</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22,935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25,104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660"/>
              <w:spacing w:after="0"/>
              <w:rPr>
                <w:sz w:val="20"/>
                <w:szCs w:val="20"/>
                <w:color w:val="auto"/>
              </w:rPr>
            </w:pPr>
            <w:r>
              <w:rPr>
                <w:rFonts w:ascii="Arial" w:cs="Arial" w:eastAsia="Arial" w:hAnsi="Arial"/>
                <w:sz w:val="14"/>
                <w:szCs w:val="14"/>
                <w:color w:val="auto"/>
              </w:rPr>
              <w:t>Oil and natural gas revenues</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57,854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Joint interest billings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67,546</w:t>
            </w:r>
          </w:p>
        </w:tc>
        <w:tc>
          <w:tcPr>
            <w:tcW w:w="0" w:type="dxa"/>
            <w:vAlign w:val="bottom"/>
          </w:tcPr>
          <w:p>
            <w:pPr>
              <w:spacing w:after="0"/>
              <w:rPr>
                <w:sz w:val="1"/>
                <w:szCs w:val="1"/>
                <w:color w:val="auto"/>
              </w:rPr>
            </w:pPr>
          </w:p>
        </w:tc>
      </w:tr>
      <w:tr>
        <w:trPr>
          <w:trHeight w:val="196"/>
        </w:trPr>
        <w:tc>
          <w:tcPr>
            <w:tcW w:w="8440" w:type="dxa"/>
            <w:vAlign w:val="bottom"/>
          </w:tcPr>
          <w:p>
            <w:pPr>
              <w:ind w:left="66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21,623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26,639</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Lease and well equipment inventory</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11,940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13,207</w:t>
            </w:r>
          </w:p>
        </w:tc>
        <w:tc>
          <w:tcPr>
            <w:tcW w:w="0" w:type="dxa"/>
            <w:vAlign w:val="bottom"/>
          </w:tcPr>
          <w:p>
            <w:pPr>
              <w:spacing w:after="0"/>
              <w:rPr>
                <w:sz w:val="1"/>
                <w:szCs w:val="1"/>
                <w:color w:val="auto"/>
              </w:rPr>
            </w:pPr>
          </w:p>
        </w:tc>
      </w:tr>
      <w:tr>
        <w:trPr>
          <w:trHeight w:val="190"/>
        </w:trPr>
        <w:tc>
          <w:tcPr>
            <w:tcW w:w="8440" w:type="dxa"/>
            <w:vAlign w:val="bottom"/>
          </w:tcPr>
          <w:p>
            <w:pPr>
              <w:ind w:left="110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227,283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278,492</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Oil and natural gas properties, full-cost method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Evaluated</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5,041,026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4,557,265</w:t>
            </w:r>
          </w:p>
        </w:tc>
        <w:tc>
          <w:tcPr>
            <w:tcW w:w="0" w:type="dxa"/>
            <w:vAlign w:val="bottom"/>
          </w:tcPr>
          <w:p>
            <w:pPr>
              <w:spacing w:after="0"/>
              <w:rPr>
                <w:sz w:val="1"/>
                <w:szCs w:val="1"/>
                <w:color w:val="auto"/>
              </w:rPr>
            </w:pPr>
          </w:p>
        </w:tc>
      </w:tr>
      <w:tr>
        <w:trPr>
          <w:trHeight w:val="197"/>
        </w:trPr>
        <w:tc>
          <w:tcPr>
            <w:tcW w:w="8440" w:type="dxa"/>
            <w:vAlign w:val="bottom"/>
          </w:tcPr>
          <w:p>
            <w:pPr>
              <w:ind w:left="660"/>
              <w:spacing w:after="0"/>
              <w:rPr>
                <w:sz w:val="20"/>
                <w:szCs w:val="20"/>
                <w:color w:val="auto"/>
              </w:rPr>
            </w:pPr>
            <w:r>
              <w:rPr>
                <w:rFonts w:ascii="Arial" w:cs="Arial" w:eastAsia="Arial" w:hAnsi="Arial"/>
                <w:sz w:val="14"/>
                <w:szCs w:val="14"/>
                <w:color w:val="auto"/>
              </w:rPr>
              <w:t>Unproved and unevaluated</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983,391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1,126,992</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Midstream properties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773,314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643,903</w:t>
            </w: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Other property and equipment</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27,021</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depletion,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(3,163,037)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(2,655,586)</w:t>
            </w:r>
          </w:p>
        </w:tc>
        <w:tc>
          <w:tcPr>
            <w:tcW w:w="0" w:type="dxa"/>
            <w:vAlign w:val="bottom"/>
          </w:tcPr>
          <w:p>
            <w:pPr>
              <w:spacing w:after="0"/>
              <w:rPr>
                <w:sz w:val="1"/>
                <w:szCs w:val="1"/>
                <w:color w:val="auto"/>
              </w:rPr>
            </w:pPr>
          </w:p>
        </w:tc>
      </w:tr>
      <w:tr>
        <w:trPr>
          <w:trHeight w:val="190"/>
        </w:trPr>
        <w:tc>
          <w:tcPr>
            <w:tcW w:w="8440" w:type="dxa"/>
            <w:vAlign w:val="bottom"/>
          </w:tcPr>
          <w:p>
            <w:pPr>
              <w:ind w:left="1100"/>
              <w:spacing w:after="0"/>
              <w:rPr>
                <w:sz w:val="20"/>
                <w:szCs w:val="20"/>
                <w:color w:val="auto"/>
              </w:rPr>
            </w:pPr>
            <w:r>
              <w:rPr>
                <w:rFonts w:ascii="Arial" w:cs="Arial" w:eastAsia="Arial" w:hAnsi="Arial"/>
                <w:sz w:val="14"/>
                <w:szCs w:val="14"/>
                <w:color w:val="auto"/>
              </w:rPr>
              <w:t>Net property and equipment</w:t>
            </w:r>
          </w:p>
        </w:tc>
        <w:tc>
          <w:tcPr>
            <w:tcW w:w="2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3,662,927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3,699,595</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6,634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68,595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91,589</w:t>
            </w: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4,001,133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15,747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25,230</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200,695</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Royalties payable</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60,995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85,193</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Amounts due to affiliates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19,606</w:t>
            </w: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14,073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Advances from joint interest owners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14,837</w:t>
            </w: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Amounts due to joint ventures</w:t>
            </w:r>
          </w:p>
        </w:tc>
        <w:tc>
          <w:tcPr>
            <w:tcW w:w="24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51,828</w:t>
            </w:r>
          </w:p>
        </w:tc>
        <w:tc>
          <w:tcPr>
            <w:tcW w:w="0" w:type="dxa"/>
            <w:vAlign w:val="bottom"/>
          </w:tcPr>
          <w:p>
            <w:pPr>
              <w:spacing w:after="0"/>
              <w:rPr>
                <w:sz w:val="1"/>
                <w:szCs w:val="1"/>
                <w:color w:val="auto"/>
              </w:rPr>
            </w:pPr>
          </w:p>
        </w:tc>
      </w:tr>
      <w:tr>
        <w:trPr>
          <w:trHeight w:val="190"/>
        </w:trPr>
        <w:tc>
          <w:tcPr>
            <w:tcW w:w="8440" w:type="dxa"/>
            <w:vAlign w:val="bottom"/>
          </w:tcPr>
          <w:p>
            <w:pPr>
              <w:ind w:left="11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344,769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399,772</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Borrowings under Credit Agreement</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385,000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Borrowings under San Mateo Credit Facility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288,000</w:t>
            </w:r>
          </w:p>
        </w:tc>
        <w:tc>
          <w:tcPr>
            <w:tcW w:w="0" w:type="dxa"/>
            <w:vAlign w:val="bottom"/>
          </w:tcPr>
          <w:p>
            <w:pPr>
              <w:spacing w:after="0"/>
              <w:rPr>
                <w:sz w:val="1"/>
                <w:szCs w:val="1"/>
                <w:color w:val="auto"/>
              </w:rPr>
            </w:pPr>
          </w:p>
        </w:tc>
      </w:tr>
      <w:tr>
        <w:trPr>
          <w:trHeight w:val="196"/>
        </w:trPr>
        <w:tc>
          <w:tcPr>
            <w:tcW w:w="8440" w:type="dxa"/>
            <w:vAlign w:val="bottom"/>
          </w:tcPr>
          <w:p>
            <w:pPr>
              <w:ind w:left="340"/>
              <w:spacing w:after="0"/>
              <w:rPr>
                <w:sz w:val="20"/>
                <w:szCs w:val="20"/>
                <w:color w:val="auto"/>
              </w:rPr>
            </w:pPr>
            <w:r>
              <w:rPr>
                <w:rFonts w:ascii="Arial" w:cs="Arial" w:eastAsia="Arial" w:hAnsi="Arial"/>
                <w:sz w:val="14"/>
                <w:szCs w:val="14"/>
                <w:color w:val="auto"/>
              </w:rPr>
              <w:t>Senior unsecured notes payable</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1,040,207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1,039,416</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 retirement obligations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35,592</w:t>
            </w: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5,984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37,329</w:t>
            </w:r>
          </w:p>
        </w:tc>
        <w:tc>
          <w:tcPr>
            <w:tcW w:w="0" w:type="dxa"/>
            <w:vAlign w:val="bottom"/>
          </w:tcPr>
          <w:p>
            <w:pPr>
              <w:spacing w:after="0"/>
              <w:rPr>
                <w:sz w:val="1"/>
                <w:szCs w:val="1"/>
                <w:color w:val="auto"/>
              </w:rPr>
            </w:pPr>
          </w:p>
        </w:tc>
      </w:tr>
      <w:tr>
        <w:trPr>
          <w:trHeight w:val="197"/>
        </w:trPr>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37,585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43,131</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long-term 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1,837,863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1,700,452</w:t>
            </w: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440" w:type="dxa"/>
            <w:vAlign w:val="bottom"/>
          </w:tcPr>
          <w:p>
            <w:pPr>
              <w:ind w:left="520"/>
              <w:spacing w:after="0" w:line="135" w:lineRule="exact"/>
              <w:rPr>
                <w:sz w:val="20"/>
                <w:szCs w:val="20"/>
                <w:color w:val="auto"/>
              </w:rPr>
            </w:pPr>
            <w:r>
              <w:rPr>
                <w:rFonts w:ascii="Arial" w:cs="Arial" w:eastAsia="Arial" w:hAnsi="Arial"/>
                <w:sz w:val="14"/>
                <w:szCs w:val="14"/>
                <w:color w:val="auto"/>
                <w:w w:val="95"/>
              </w:rPr>
              <w:t>Common stock - $0.01 par value, 160,000,000 shares authorized; 116,983,790 and 116,644,246 shares issued; and 116,843,587 and</w:t>
            </w:r>
          </w:p>
        </w:tc>
        <w:tc>
          <w:tcPr>
            <w:tcW w:w="240" w:type="dxa"/>
            <w:vAlign w:val="bottom"/>
          </w:tcPr>
          <w:p>
            <w:pPr>
              <w:spacing w:after="0"/>
              <w:rPr>
                <w:sz w:val="11"/>
                <w:szCs w:val="1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86"/>
        </w:trPr>
        <w:tc>
          <w:tcPr>
            <w:tcW w:w="8440" w:type="dxa"/>
            <w:vAlign w:val="bottom"/>
          </w:tcPr>
          <w:p>
            <w:pPr>
              <w:ind w:left="520"/>
              <w:spacing w:after="0"/>
              <w:rPr>
                <w:sz w:val="20"/>
                <w:szCs w:val="20"/>
                <w:color w:val="auto"/>
              </w:rPr>
            </w:pPr>
            <w:r>
              <w:rPr>
                <w:rFonts w:ascii="Arial" w:cs="Arial" w:eastAsia="Arial" w:hAnsi="Arial"/>
                <w:sz w:val="14"/>
                <w:szCs w:val="14"/>
                <w:color w:val="auto"/>
              </w:rPr>
              <w:t>116,642,899 shares outstanding, respectively</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2,020,298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1,981,014</w:t>
            </w:r>
          </w:p>
        </w:tc>
        <w:tc>
          <w:tcPr>
            <w:tcW w:w="0" w:type="dxa"/>
            <w:vAlign w:val="bottom"/>
          </w:tcPr>
          <w:p>
            <w:pPr>
              <w:spacing w:after="0"/>
              <w:rPr>
                <w:sz w:val="1"/>
                <w:szCs w:val="1"/>
                <w:color w:val="auto"/>
              </w:rPr>
            </w:pPr>
          </w:p>
        </w:tc>
      </w:tr>
      <w:tr>
        <w:trPr>
          <w:trHeight w:val="197"/>
        </w:trPr>
        <w:tc>
          <w:tcPr>
            <w:tcW w:w="844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(376,187)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(148,500)</w:t>
            </w:r>
          </w:p>
        </w:tc>
        <w:tc>
          <w:tcPr>
            <w:tcW w:w="0" w:type="dxa"/>
            <w:vAlign w:val="bottom"/>
          </w:tcPr>
          <w:p>
            <w:pPr>
              <w:spacing w:after="0"/>
              <w:rPr>
                <w:sz w:val="1"/>
                <w:szCs w:val="1"/>
                <w:color w:val="auto"/>
              </w:rPr>
            </w:pPr>
          </w:p>
        </w:tc>
      </w:tr>
      <w:tr>
        <w:trPr>
          <w:trHeight w:val="208"/>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Treasury stock, at cost, 140,203 and 1,347 shares,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0"/>
        </w:trPr>
        <w:tc>
          <w:tcPr>
            <w:tcW w:w="8440" w:type="dxa"/>
            <w:vAlign w:val="bottom"/>
          </w:tcPr>
          <w:p>
            <w:pPr>
              <w:ind w:left="1100"/>
              <w:spacing w:after="0"/>
              <w:rPr>
                <w:sz w:val="20"/>
                <w:szCs w:val="20"/>
                <w:color w:val="auto"/>
              </w:rPr>
            </w:pPr>
            <w:r>
              <w:rPr>
                <w:rFonts w:ascii="Arial" w:cs="Arial" w:eastAsia="Arial" w:hAnsi="Arial"/>
                <w:sz w:val="14"/>
                <w:szCs w:val="14"/>
                <w:color w:val="auto"/>
              </w:rPr>
              <w:t>Total Matador Resources Company shareholders’ equity</w:t>
            </w:r>
          </w:p>
        </w:tc>
        <w:tc>
          <w:tcPr>
            <w:tcW w:w="2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1,643,832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1,833,654</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174,669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135,798</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1,818,501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4,001,133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gridSpan w:val="4"/>
          </w:tcPr>
          <w:p>
            <w:pPr>
              <w:jc w:val="center"/>
              <w:ind w:left="323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060" w:type="dxa"/>
            <w:vAlign w:val="bottom"/>
            <w:gridSpan w:val="7"/>
          </w:tcPr>
          <w:p>
            <w:pPr>
              <w:jc w:val="center"/>
              <w:ind w:left="211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40" w:type="dxa"/>
            <w:vAlign w:val="bottom"/>
            <w:gridSpan w:val="4"/>
          </w:tcPr>
          <w:p>
            <w:pPr>
              <w:jc w:val="center"/>
              <w:ind w:left="32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118,767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211,060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316,681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404,329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Third-party 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bonus - mineral acreage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44,110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(loss) gain on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(132,668)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(39,562)</w:t>
            </w:r>
          </w:p>
        </w:tc>
        <w:tc>
          <w:tcPr>
            <w:tcW w:w="0" w:type="dxa"/>
            <w:vAlign w:val="bottom"/>
          </w:tcPr>
          <w:p>
            <w:pPr>
              <w:spacing w:after="0"/>
              <w:rPr>
                <w:sz w:val="1"/>
                <w:szCs w:val="1"/>
                <w:color w:val="auto"/>
              </w:rPr>
            </w:pPr>
          </w:p>
        </w:tc>
      </w:tr>
      <w:tr>
        <w:trPr>
          <w:trHeight w:val="237"/>
        </w:trPr>
        <w:tc>
          <w:tcPr>
            <w:tcW w:w="680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62,920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241,704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434,505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415,593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Production taxes, transportation and processing</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18,797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41,207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operating</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57,514</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Plant and other midstream services operating</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Purchased natural gas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18,806</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Depletion, depreciation and amortization</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93,350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80,132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184,057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156,999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 of asset retirement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Full-cost ceiling impairment</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324,001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324,001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38,166</w:t>
            </w:r>
          </w:p>
        </w:tc>
        <w:tc>
          <w:tcPr>
            <w:tcW w:w="0" w:type="dxa"/>
            <w:vAlign w:val="bottom"/>
          </w:tcPr>
          <w:p>
            <w:pPr>
              <w:spacing w:after="0"/>
              <w:rPr>
                <w:sz w:val="1"/>
                <w:szCs w:val="1"/>
                <w:color w:val="auto"/>
              </w:rPr>
            </w:pPr>
          </w:p>
        </w:tc>
      </w:tr>
      <w:tr>
        <w:trPr>
          <w:trHeight w:val="237"/>
        </w:trPr>
        <w:tc>
          <w:tcPr>
            <w:tcW w:w="680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498,230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164,915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676,283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331,264</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(435,310)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(241,778)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84,329</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on asset sales and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(18,068)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(35,997)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7"/>
        </w:trPr>
        <w:tc>
          <w:tcPr>
            <w:tcW w:w="680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(18,859)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(36,897)</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(455,766)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(280,726)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47,432</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(109,823)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36"/>
        </w:trPr>
        <w:tc>
          <w:tcPr>
            <w:tcW w:w="6800" w:type="dxa"/>
            <w:vAlign w:val="bottom"/>
          </w:tcPr>
          <w:p>
            <w:pPr>
              <w:ind w:left="660"/>
              <w:spacing w:after="0"/>
              <w:rPr>
                <w:sz w:val="20"/>
                <w:szCs w:val="20"/>
                <w:color w:val="auto"/>
              </w:rPr>
            </w:pPr>
            <w:r>
              <w:rPr>
                <w:rFonts w:ascii="Arial" w:cs="Arial" w:eastAsia="Arial" w:hAnsi="Arial"/>
                <w:sz w:val="18"/>
                <w:szCs w:val="18"/>
                <w:color w:val="auto"/>
              </w:rPr>
              <w:t>Total income tax (benefit) provision</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(109,823)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(345,943)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(210,860)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35,587</w:t>
            </w: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(15,782)</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7"/>
              </w:rPr>
              <w:t>Net (loss) income attributable to Matador Resources Company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(353,416)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(227,687)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116,071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116,571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115,977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116,469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116,071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116,903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115,977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116,839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to Matador</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controlling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86"/>
              </w:rPr>
              <w:t>Resources</w:t>
            </w: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interest in</w:t>
            </w:r>
          </w:p>
        </w:tc>
        <w:tc>
          <w:tcPr>
            <w:tcW w:w="86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0"/>
              </w:rPr>
              <w:t>116,644</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89"/>
              </w:rPr>
              <w:t>$ 1,166</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$ 1,981,014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(148,500)</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1,833,654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135,798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$ 1,969,452</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pursuant to directors’ and advisors’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Stock-based compensation expense related to equity-based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awards including amounts capitalized</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options forfeited in net share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Arial" w:cs="Arial" w:eastAsia="Arial" w:hAnsi="Arial"/>
                <w:sz w:val="14"/>
                <w:szCs w:val="14"/>
                <w:color w:val="auto"/>
              </w:rPr>
              <w:t>Liability-based stock option awards settled in equity</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(1,267)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35"/>
        </w:trPr>
        <w:tc>
          <w:tcPr>
            <w:tcW w:w="3780" w:type="dxa"/>
            <w:vAlign w:val="bottom"/>
          </w:tcPr>
          <w:p>
            <w:pPr>
              <w:ind w:left="20"/>
              <w:spacing w:after="0" w:line="135" w:lineRule="exact"/>
              <w:rPr>
                <w:sz w:val="20"/>
                <w:szCs w:val="20"/>
                <w:color w:val="auto"/>
              </w:rPr>
            </w:pPr>
            <w:r>
              <w:rPr>
                <w:rFonts w:ascii="Arial" w:cs="Arial" w:eastAsia="Arial" w:hAnsi="Arial"/>
                <w:sz w:val="14"/>
                <w:szCs w:val="14"/>
                <w:color w:val="auto"/>
                <w:w w:val="99"/>
              </w:rPr>
              <w:t>Contribution related to formation of San Mateo I, net of tax of</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6"/>
        </w:trPr>
        <w:tc>
          <w:tcPr>
            <w:tcW w:w="3780" w:type="dxa"/>
            <w:vAlign w:val="bottom"/>
          </w:tcPr>
          <w:p>
            <w:pPr>
              <w:ind w:left="20"/>
              <w:spacing w:after="0"/>
              <w:rPr>
                <w:sz w:val="20"/>
                <w:szCs w:val="20"/>
                <w:color w:val="auto"/>
              </w:rPr>
            </w:pPr>
            <w:r>
              <w:rPr>
                <w:rFonts w:ascii="Arial" w:cs="Arial" w:eastAsia="Arial" w:hAnsi="Arial"/>
                <w:sz w:val="14"/>
                <w:szCs w:val="14"/>
                <w:color w:val="auto"/>
              </w:rPr>
              <w:t>$3.1 million (see Note 6)</w:t>
            </w: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Contributions from non-controlling interest owners of less-than-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wholly-owned subsidiaries, net of tax of $4.3 million (see Note</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29,394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45,674</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7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(11,515)</w:t>
            </w:r>
          </w:p>
        </w:tc>
        <w:tc>
          <w:tcPr>
            <w:tcW w:w="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9,354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135,083</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0"/>
              </w:rPr>
              <w:t>116,671</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1,167</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2,014,246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(22,771)</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(1,293)</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1,991,349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163,031</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2,154,380</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6"/>
              </w:rPr>
              <w:t>Issuance of common stock pursuant to directors’ and advisors’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related to equity-based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 including amounts capitalized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1"/>
        </w:trPr>
        <w:tc>
          <w:tcPr>
            <w:tcW w:w="37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5"/>
              </w:rPr>
              <w:t>Contributions from non-controlling interest owners of less-than-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wholly-owned subsidiaries, net of tax of $0.5 million (see Note</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1,952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1,952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14,700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16,652</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7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(10,535)</w:t>
            </w:r>
          </w:p>
        </w:tc>
        <w:tc>
          <w:tcPr>
            <w:tcW w:w="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(10,535)</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(loss) income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(353,416)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(353,416)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(345,943)</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0"/>
              </w:rPr>
              <w:t>116,984</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89"/>
              </w:rPr>
              <w:t>$ 1,170</w:t>
            </w:r>
          </w:p>
        </w:tc>
        <w:tc>
          <w:tcPr>
            <w:tcW w:w="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1"/>
              </w:rPr>
              <w:t>$ 2,020,298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(376,187)</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(1,449)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1,643,832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174,669</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$ 1,818,501</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to Matador</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controlling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80"/>
              <w:spacing w:after="0" w:line="126" w:lineRule="exact"/>
              <w:rPr>
                <w:sz w:val="20"/>
                <w:szCs w:val="20"/>
                <w:color w:val="auto"/>
              </w:rPr>
            </w:pPr>
            <w:r>
              <w:rPr>
                <w:rFonts w:ascii="Arial" w:cs="Arial" w:eastAsia="Arial" w:hAnsi="Arial"/>
                <w:sz w:val="14"/>
                <w:szCs w:val="14"/>
                <w:b w:val="1"/>
                <w:bCs w:val="1"/>
                <w:color w:val="auto"/>
                <w:w w:val="86"/>
              </w:rPr>
              <w:t>Resources</w:t>
            </w: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interest in</w:t>
            </w:r>
          </w:p>
        </w:tc>
        <w:tc>
          <w:tcPr>
            <w:tcW w:w="86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2019</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0"/>
              </w:rPr>
              <w:t>116,375</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89"/>
              </w:rPr>
              <w:t>$ 1,164</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$ 1,924,408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(236,277)</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1,688,880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90,777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$ 1,779,657</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pursuant to directors’ and advisors’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Stock-based compensation expense related to equity-based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awards including amounts capitalized</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5,802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options forfeited in net share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(3,170)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141"/>
        </w:trPr>
        <w:tc>
          <w:tcPr>
            <w:tcW w:w="37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9"/>
              </w:rPr>
              <w:t>Contribution related to formation of San Mateo I, net of tax of</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11,613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11,613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million (see Note 6)</w:t>
            </w:r>
          </w:p>
        </w:tc>
        <w:tc>
          <w:tcPr>
            <w:tcW w:w="70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Contribution of property related to formation of San Mateo II</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(see Note 6)</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Contributions from non-controlling interest owners of less-than-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10,291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12,331</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(8,330)</w:t>
            </w:r>
          </w:p>
        </w:tc>
        <w:tc>
          <w:tcPr>
            <w:tcW w:w="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(8,330)</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(loss) income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7,462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0"/>
              </w:rPr>
              <w:t>116,594</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1,166</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1,946,466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(253,224)</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(3,585)</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1,690,823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100,706</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1,791,529</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6"/>
              </w:rPr>
              <w:t>Issuance of common stock pursuant to directors’ and advisors’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related to equity-based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 including amounts capitalized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5,762</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rPr>
              <w:t>Stock options exercised, net of options forfeited in net share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57"/>
        </w:trPr>
        <w:tc>
          <w:tcPr>
            <w:tcW w:w="3780" w:type="dxa"/>
            <w:vAlign w:val="bottom"/>
          </w:tcPr>
          <w:p>
            <w:pPr>
              <w:ind w:left="20"/>
              <w:spacing w:after="0" w:line="157" w:lineRule="exact"/>
              <w:rPr>
                <w:sz w:val="20"/>
                <w:szCs w:val="20"/>
                <w:color w:val="auto"/>
              </w:rPr>
            </w:pPr>
            <w:r>
              <w:rPr>
                <w:rFonts w:ascii="Arial" w:cs="Arial" w:eastAsia="Arial" w:hAnsi="Arial"/>
                <w:sz w:val="14"/>
                <w:szCs w:val="14"/>
                <w:color w:val="auto"/>
                <w:w w:val="95"/>
              </w:rPr>
              <w:t>Contributions from non-controlling interest owners of less-than-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3,090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3,090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4,410</w:t>
            </w:r>
          </w:p>
        </w:tc>
        <w:tc>
          <w:tcPr>
            <w:tcW w:w="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197"/>
        </w:trPr>
        <w:tc>
          <w:tcPr>
            <w:tcW w:w="3780" w:type="dxa"/>
            <w:vAlign w:val="bottom"/>
          </w:tcPr>
          <w:p>
            <w:pPr>
              <w:ind w:left="20"/>
              <w:spacing w:after="0"/>
              <w:rPr>
                <w:sz w:val="20"/>
                <w:szCs w:val="20"/>
                <w:color w:val="auto"/>
              </w:rPr>
            </w:pPr>
            <w:r>
              <w:rPr>
                <w:rFonts w:ascii="Arial" w:cs="Arial" w:eastAsia="Arial" w:hAnsi="Arial"/>
                <w:sz w:val="14"/>
                <w:szCs w:val="14"/>
                <w:color w:val="auto"/>
              </w:rPr>
              <w:t>Current period net income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36,752</w:t>
            </w:r>
          </w:p>
        </w:tc>
        <w:tc>
          <w:tcPr>
            <w:tcW w:w="8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36,752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8,320</w:t>
            </w:r>
          </w:p>
        </w:tc>
        <w:tc>
          <w:tcPr>
            <w:tcW w:w="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r>
        <w:trPr>
          <w:trHeight w:val="22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6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0"/>
              </w:rPr>
              <w:t>116,866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89"/>
              </w:rPr>
              <w:t>$ 1,169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$ 1,955,504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(216,472)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(3,724)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1,736,477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104,126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4"/>
              </w:rPr>
              <w:t>$ 1,840,603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810"/>
        </w:trPr>
        <w:tc>
          <w:tcPr>
            <w:tcW w:w="9080" w:type="dxa"/>
            <w:vAlign w:val="bottom"/>
          </w:tcPr>
          <w:p>
            <w:pPr>
              <w:jc w:val="center"/>
              <w:ind w:left="2106"/>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0"/>
        </w:trPr>
        <w:tc>
          <w:tcPr>
            <w:tcW w:w="9080" w:type="dxa"/>
            <w:vAlign w:val="bottom"/>
          </w:tcPr>
          <w:p>
            <w:pPr>
              <w:jc w:val="center"/>
              <w:ind w:left="2086"/>
              <w:spacing w:after="0"/>
              <w:rPr>
                <w:sz w:val="20"/>
                <w:szCs w:val="20"/>
                <w:color w:val="auto"/>
              </w:rPr>
            </w:pPr>
            <w:r>
              <w:rPr>
                <w:rFonts w:ascii="Arial" w:cs="Arial" w:eastAsia="Arial" w:hAnsi="Arial"/>
                <w:sz w:val="18"/>
                <w:szCs w:val="18"/>
                <w:b w:val="1"/>
                <w:bCs w:val="1"/>
                <w:color w:val="auto"/>
                <w:w w:val="99"/>
              </w:rPr>
              <w:t>CONDENSED CONSOLIDATED STATEMENTS OF CASH FLOWS — UNAUDITED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9080" w:type="dxa"/>
            <w:vAlign w:val="bottom"/>
          </w:tcPr>
          <w:p>
            <w:pPr>
              <w:jc w:val="center"/>
              <w:ind w:left="2086"/>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46"/>
        </w:trPr>
        <w:tc>
          <w:tcPr>
            <w:tcW w:w="9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328"/>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r>
      <w:tr>
        <w:trPr>
          <w:trHeight w:val="27"/>
        </w:trPr>
        <w:tc>
          <w:tcPr>
            <w:tcW w:w="9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67"/>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68"/>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7"/>
        </w:trPr>
        <w:tc>
          <w:tcPr>
            <w:tcW w:w="9080" w:type="dxa"/>
            <w:vAlign w:val="bottom"/>
          </w:tcPr>
          <w:p>
            <w:pPr>
              <w:ind w:left="340"/>
              <w:spacing w:after="0"/>
              <w:rPr>
                <w:sz w:val="20"/>
                <w:szCs w:val="20"/>
                <w:color w:val="auto"/>
              </w:rPr>
            </w:pPr>
            <w:r>
              <w:rPr>
                <w:rFonts w:ascii="Arial" w:cs="Arial" w:eastAsia="Arial" w:hAnsi="Arial"/>
                <w:sz w:val="14"/>
                <w:szCs w:val="14"/>
                <w:color w:val="auto"/>
              </w:rPr>
              <w:t>Net (loss)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(210,860)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35,587</w:t>
            </w: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7"/>
        </w:trPr>
        <w:tc>
          <w:tcPr>
            <w:tcW w:w="9080" w:type="dxa"/>
            <w:vAlign w:val="bottom"/>
          </w:tcPr>
          <w:p>
            <w:pPr>
              <w:ind w:left="660"/>
              <w:spacing w:after="0"/>
              <w:rPr>
                <w:sz w:val="20"/>
                <w:szCs w:val="20"/>
                <w:color w:val="auto"/>
              </w:rPr>
            </w:pPr>
            <w:r>
              <w:rPr>
                <w:rFonts w:ascii="Arial" w:cs="Arial" w:eastAsia="Arial" w:hAnsi="Arial"/>
                <w:sz w:val="14"/>
                <w:szCs w:val="14"/>
                <w:color w:val="auto"/>
              </w:rPr>
              <w:t>Unrealized (gain) loss on derivatives</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(3,762)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39,562</w:t>
            </w:r>
          </w:p>
        </w:tc>
      </w:tr>
      <w:tr>
        <w:trPr>
          <w:trHeight w:val="208"/>
        </w:trPr>
        <w:tc>
          <w:tcPr>
            <w:tcW w:w="9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Depletion, depreciation and amortization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184,057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156,999</w:t>
            </w:r>
          </w:p>
        </w:tc>
      </w:tr>
      <w:tr>
        <w:trPr>
          <w:trHeight w:val="197"/>
        </w:trPr>
        <w:tc>
          <w:tcPr>
            <w:tcW w:w="9080" w:type="dxa"/>
            <w:vAlign w:val="bottom"/>
          </w:tcPr>
          <w:p>
            <w:pPr>
              <w:ind w:left="660"/>
              <w:spacing w:after="0"/>
              <w:rPr>
                <w:sz w:val="20"/>
                <w:szCs w:val="20"/>
                <w:color w:val="auto"/>
              </w:rPr>
            </w:pPr>
            <w:r>
              <w:rPr>
                <w:rFonts w:ascii="Arial" w:cs="Arial" w:eastAsia="Arial" w:hAnsi="Arial"/>
                <w:sz w:val="14"/>
                <w:szCs w:val="14"/>
                <w:color w:val="auto"/>
              </w:rPr>
              <w:t>Accretion of asset retirement obligations</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834</w:t>
            </w:r>
          </w:p>
        </w:tc>
      </w:tr>
      <w:tr>
        <w:trPr>
          <w:trHeight w:val="208"/>
        </w:trPr>
        <w:tc>
          <w:tcPr>
            <w:tcW w:w="9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Full-cost ceiling impairment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324,001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9080" w:type="dxa"/>
            <w:vAlign w:val="bottom"/>
          </w:tcPr>
          <w:p>
            <w:pPr>
              <w:ind w:left="66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7,080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9,076</w:t>
            </w:r>
          </w:p>
        </w:tc>
      </w:tr>
      <w:tr>
        <w:trPr>
          <w:trHeight w:val="208"/>
        </w:trPr>
        <w:tc>
          <w:tcPr>
            <w:tcW w:w="9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Deferred income tax (benefit) provision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(69,866)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11,845</w:t>
            </w:r>
          </w:p>
        </w:tc>
      </w:tr>
      <w:tr>
        <w:trPr>
          <w:trHeight w:val="197"/>
        </w:trPr>
        <w:tc>
          <w:tcPr>
            <w:tcW w:w="9080" w:type="dxa"/>
            <w:vAlign w:val="bottom"/>
          </w:tcPr>
          <w:p>
            <w:pPr>
              <w:ind w:left="660"/>
              <w:spacing w:after="0"/>
              <w:rPr>
                <w:sz w:val="20"/>
                <w:szCs w:val="20"/>
                <w:color w:val="auto"/>
              </w:rPr>
            </w:pPr>
            <w:r>
              <w:rPr>
                <w:rFonts w:ascii="Arial" w:cs="Arial" w:eastAsia="Arial" w:hAnsi="Arial"/>
                <w:sz w:val="14"/>
                <w:szCs w:val="14"/>
                <w:color w:val="auto"/>
              </w:rPr>
              <w:t>Amortization of debt issuance cost</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1,189</w:t>
            </w:r>
          </w:p>
        </w:tc>
      </w:tr>
      <w:tr>
        <w:trPr>
          <w:trHeight w:val="208"/>
        </w:trPr>
        <w:tc>
          <w:tcPr>
            <w:tcW w:w="90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loss on asset sales and impairment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2,632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368</w:t>
            </w:r>
          </w:p>
        </w:tc>
      </w:tr>
      <w:tr>
        <w:trPr>
          <w:trHeight w:val="197"/>
        </w:trPr>
        <w:tc>
          <w:tcPr>
            <w:tcW w:w="9080" w:type="dxa"/>
            <w:vAlign w:val="bottom"/>
          </w:tcPr>
          <w:p>
            <w:pPr>
              <w:ind w:left="66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90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46,628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w:t>
            </w:r>
          </w:p>
        </w:tc>
      </w:tr>
      <w:tr>
        <w:trPr>
          <w:trHeight w:val="197"/>
        </w:trPr>
        <w:tc>
          <w:tcPr>
            <w:tcW w:w="9080" w:type="dxa"/>
            <w:vAlign w:val="bottom"/>
          </w:tcPr>
          <w:p>
            <w:pPr>
              <w:ind w:left="1100"/>
              <w:spacing w:after="0"/>
              <w:rPr>
                <w:sz w:val="20"/>
                <w:szCs w:val="20"/>
                <w:color w:val="auto"/>
              </w:rPr>
            </w:pPr>
            <w:r>
              <w:rPr>
                <w:rFonts w:ascii="Arial" w:cs="Arial" w:eastAsia="Arial" w:hAnsi="Arial"/>
                <w:sz w:val="14"/>
                <w:szCs w:val="14"/>
                <w:color w:val="auto"/>
              </w:rPr>
              <w:t>Lease and well equipment inventory</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(3,456)</w:t>
            </w:r>
          </w:p>
        </w:tc>
      </w:tr>
      <w:tr>
        <w:trPr>
          <w:trHeight w:val="208"/>
        </w:trPr>
        <w:tc>
          <w:tcPr>
            <w:tcW w:w="90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(4,834)</w:t>
            </w:r>
          </w:p>
        </w:tc>
      </w:tr>
      <w:tr>
        <w:trPr>
          <w:trHeight w:val="197"/>
        </w:trPr>
        <w:tc>
          <w:tcPr>
            <w:tcW w:w="9080" w:type="dxa"/>
            <w:vAlign w:val="bottom"/>
          </w:tcPr>
          <w:p>
            <w:pPr>
              <w:ind w:left="1100"/>
              <w:spacing w:after="0"/>
              <w:rPr>
                <w:sz w:val="20"/>
                <w:szCs w:val="20"/>
                <w:color w:val="auto"/>
              </w:rPr>
            </w:pPr>
            <w:r>
              <w:rPr>
                <w:rFonts w:ascii="Arial" w:cs="Arial" w:eastAsia="Arial" w:hAnsi="Arial"/>
                <w:sz w:val="14"/>
                <w:szCs w:val="14"/>
                <w:color w:val="auto"/>
              </w:rPr>
              <w:t>Other long-term assets</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(415)</w:t>
            </w:r>
          </w:p>
        </w:tc>
      </w:tr>
      <w:tr>
        <w:trPr>
          <w:trHeight w:val="208"/>
        </w:trPr>
        <w:tc>
          <w:tcPr>
            <w:tcW w:w="90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(52,351)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(48,746)</w:t>
            </w:r>
          </w:p>
        </w:tc>
      </w:tr>
      <w:tr>
        <w:trPr>
          <w:trHeight w:val="197"/>
        </w:trPr>
        <w:tc>
          <w:tcPr>
            <w:tcW w:w="9080" w:type="dxa"/>
            <w:vAlign w:val="bottom"/>
          </w:tcPr>
          <w:p>
            <w:pPr>
              <w:ind w:left="1100"/>
              <w:spacing w:after="0"/>
              <w:rPr>
                <w:sz w:val="20"/>
                <w:szCs w:val="20"/>
                <w:color w:val="auto"/>
              </w:rPr>
            </w:pPr>
            <w:r>
              <w:rPr>
                <w:rFonts w:ascii="Arial" w:cs="Arial" w:eastAsia="Arial" w:hAnsi="Arial"/>
                <w:sz w:val="14"/>
                <w:szCs w:val="14"/>
                <w:color w:val="auto"/>
              </w:rPr>
              <w:t>Royalties payable</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(24,198)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1,353</w:t>
            </w:r>
          </w:p>
        </w:tc>
      </w:tr>
      <w:tr>
        <w:trPr>
          <w:trHeight w:val="208"/>
        </w:trPr>
        <w:tc>
          <w:tcPr>
            <w:tcW w:w="90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Advances from joint interest owners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5,094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(6,243)</w:t>
            </w:r>
          </w:p>
        </w:tc>
      </w:tr>
      <w:tr>
        <w:trPr>
          <w:trHeight w:val="197"/>
        </w:trPr>
        <w:tc>
          <w:tcPr>
            <w:tcW w:w="908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1,756</w:t>
            </w:r>
          </w:p>
        </w:tc>
      </w:tr>
      <w:tr>
        <w:trPr>
          <w:trHeight w:val="202"/>
        </w:trPr>
        <w:tc>
          <w:tcPr>
            <w:tcW w:w="908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210,385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194,497</w:t>
            </w:r>
          </w:p>
        </w:tc>
      </w:tr>
      <w:tr>
        <w:trPr>
          <w:trHeight w:val="196"/>
        </w:trPr>
        <w:tc>
          <w:tcPr>
            <w:tcW w:w="908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Oil and natural gas properties capital expenditures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(335,098)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(349,915)</w:t>
            </w:r>
          </w:p>
        </w:tc>
      </w:tr>
      <w:tr>
        <w:trPr>
          <w:trHeight w:val="197"/>
        </w:trPr>
        <w:tc>
          <w:tcPr>
            <w:tcW w:w="9080" w:type="dxa"/>
            <w:vAlign w:val="bottom"/>
          </w:tcPr>
          <w:p>
            <w:pPr>
              <w:ind w:left="340"/>
              <w:spacing w:after="0"/>
              <w:rPr>
                <w:sz w:val="20"/>
                <w:szCs w:val="20"/>
                <w:color w:val="auto"/>
              </w:rPr>
            </w:pPr>
            <w:r>
              <w:rPr>
                <w:rFonts w:ascii="Arial" w:cs="Arial" w:eastAsia="Arial" w:hAnsi="Arial"/>
                <w:sz w:val="14"/>
                <w:szCs w:val="14"/>
                <w:color w:val="auto"/>
              </w:rPr>
              <w:t>Midstream capital expenditures</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(123,338)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(64,106)</w:t>
            </w: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Expenditures for other property and equipment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w:t>
            </w:r>
          </w:p>
        </w:tc>
      </w:tr>
      <w:tr>
        <w:trPr>
          <w:trHeight w:val="197"/>
        </w:trPr>
        <w:tc>
          <w:tcPr>
            <w:tcW w:w="9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assets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21,533</w:t>
            </w:r>
          </w:p>
        </w:tc>
      </w:tr>
      <w:tr>
        <w:trPr>
          <w:trHeight w:val="202"/>
        </w:trPr>
        <w:tc>
          <w:tcPr>
            <w:tcW w:w="908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(458,761)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(394,694)</w:t>
            </w:r>
          </w:p>
        </w:tc>
      </w:tr>
      <w:tr>
        <w:trPr>
          <w:trHeight w:val="196"/>
        </w:trPr>
        <w:tc>
          <w:tcPr>
            <w:tcW w:w="908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Borrowings under Credit Agreement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130,000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165,000</w:t>
            </w:r>
          </w:p>
        </w:tc>
      </w:tr>
      <w:tr>
        <w:trPr>
          <w:trHeight w:val="196"/>
        </w:trPr>
        <w:tc>
          <w:tcPr>
            <w:tcW w:w="9080" w:type="dxa"/>
            <w:vAlign w:val="bottom"/>
          </w:tcPr>
          <w:p>
            <w:pPr>
              <w:ind w:left="340"/>
              <w:spacing w:after="0"/>
              <w:rPr>
                <w:sz w:val="20"/>
                <w:szCs w:val="20"/>
                <w:color w:val="auto"/>
              </w:rPr>
            </w:pPr>
            <w:r>
              <w:rPr>
                <w:rFonts w:ascii="Arial" w:cs="Arial" w:eastAsia="Arial" w:hAnsi="Arial"/>
                <w:sz w:val="14"/>
                <w:szCs w:val="14"/>
                <w:color w:val="auto"/>
              </w:rPr>
              <w:t>Borrowings under San Mateo Credit Facility</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32,000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20,000</w:t>
            </w:r>
          </w:p>
        </w:tc>
      </w:tr>
      <w:tr>
        <w:trPr>
          <w:trHeight w:val="209"/>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to amend Credit Agreement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r>
      <w:tr>
        <w:trPr>
          <w:trHeight w:val="196"/>
        </w:trPr>
        <w:tc>
          <w:tcPr>
            <w:tcW w:w="9080" w:type="dxa"/>
            <w:vAlign w:val="bottom"/>
          </w:tcPr>
          <w:p>
            <w:pPr>
              <w:ind w:left="340"/>
              <w:spacing w:after="0"/>
              <w:rPr>
                <w:sz w:val="20"/>
                <w:szCs w:val="20"/>
                <w:color w:val="auto"/>
              </w:rPr>
            </w:pPr>
            <w:r>
              <w:rPr>
                <w:rFonts w:ascii="Arial" w:cs="Arial" w:eastAsia="Arial" w:hAnsi="Arial"/>
                <w:sz w:val="14"/>
                <w:szCs w:val="14"/>
                <w:color w:val="auto"/>
              </w:rPr>
              <w:t>Proceeds from stock options exercised</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3,298</w:t>
            </w: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Contributions related to formation of San Mateo I</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14,700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14,700</w:t>
            </w:r>
          </w:p>
        </w:tc>
      </w:tr>
      <w:tr>
        <w:trPr>
          <w:trHeight w:val="197"/>
        </w:trPr>
        <w:tc>
          <w:tcPr>
            <w:tcW w:w="9080" w:type="dxa"/>
            <w:vAlign w:val="bottom"/>
          </w:tcPr>
          <w:p>
            <w:pPr>
              <w:ind w:left="340"/>
              <w:spacing w:after="0"/>
              <w:rPr>
                <w:sz w:val="20"/>
                <w:szCs w:val="20"/>
                <w:color w:val="auto"/>
              </w:rPr>
            </w:pPr>
            <w:r>
              <w:rPr>
                <w:rFonts w:ascii="Arial" w:cs="Arial" w:eastAsia="Arial" w:hAnsi="Arial"/>
                <w:sz w:val="14"/>
                <w:szCs w:val="14"/>
                <w:color w:val="auto"/>
              </w:rPr>
              <w:t>Contributions from non-controlling interest owners of less-than-wholly-owned subsidiaries</w:t>
            </w:r>
          </w:p>
        </w:tc>
        <w:tc>
          <w:tcPr>
            <w:tcW w:w="200" w:type="dxa"/>
            <w:vAlign w:val="bottom"/>
          </w:tcPr>
          <w:p>
            <w:pPr>
              <w:spacing w:after="0"/>
              <w:rPr>
                <w:sz w:val="17"/>
                <w:szCs w:val="17"/>
                <w:color w:val="auto"/>
              </w:rPr>
            </w:pPr>
          </w:p>
        </w:tc>
        <w:tc>
          <w:tcPr>
            <w:tcW w:w="820" w:type="dxa"/>
            <w:vAlign w:val="bottom"/>
          </w:tcPr>
          <w:p>
            <w:pPr>
              <w:jc w:val="right"/>
              <w:ind w:right="87"/>
              <w:spacing w:after="0"/>
              <w:rPr>
                <w:sz w:val="20"/>
                <w:szCs w:val="20"/>
                <w:color w:val="auto"/>
              </w:rPr>
            </w:pPr>
            <w:r>
              <w:rPr>
                <w:rFonts w:ascii="Arial" w:cs="Arial" w:eastAsia="Arial" w:hAnsi="Arial"/>
                <w:sz w:val="14"/>
                <w:szCs w:val="14"/>
                <w:color w:val="auto"/>
              </w:rPr>
              <w:t>67,172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19,831</w:t>
            </w: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Distributions to non-controlling interest owners of less-than-wholly-owned subsidiaries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(22,050)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(17,640)</w:t>
            </w:r>
          </w:p>
        </w:tc>
      </w:tr>
      <w:tr>
        <w:trPr>
          <w:trHeight w:val="197"/>
        </w:trPr>
        <w:tc>
          <w:tcPr>
            <w:tcW w:w="9080" w:type="dxa"/>
            <w:vAlign w:val="bottom"/>
          </w:tcPr>
          <w:p>
            <w:pPr>
              <w:ind w:left="340"/>
              <w:spacing w:after="0"/>
              <w:rPr>
                <w:sz w:val="20"/>
                <w:szCs w:val="20"/>
                <w:color w:val="auto"/>
              </w:rPr>
            </w:pPr>
            <w:r>
              <w:rPr>
                <w:rFonts w:ascii="Arial" w:cs="Arial" w:eastAsia="Arial" w:hAnsi="Arial"/>
                <w:sz w:val="14"/>
                <w:szCs w:val="14"/>
                <w:color w:val="auto"/>
              </w:rPr>
              <w:t>Taxes paid related to net share settlement of stock-based compensation</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(3,309)</w:t>
            </w:r>
          </w:p>
        </w:tc>
      </w:tr>
      <w:tr>
        <w:trPr>
          <w:trHeight w:val="208"/>
        </w:trPr>
        <w:tc>
          <w:tcPr>
            <w:tcW w:w="9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7,042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r>
      <w:tr>
        <w:trPr>
          <w:trHeight w:val="190"/>
        </w:trPr>
        <w:tc>
          <w:tcPr>
            <w:tcW w:w="9080" w:type="dxa"/>
            <w:vAlign w:val="bottom"/>
            <w:tcBorders>
              <w:bottom w:val="single" w:sz="8" w:color="CCEEFF"/>
            </w:tcBorders>
          </w:tcPr>
          <w:p>
            <w:pPr>
              <w:ind w:left="142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226,756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200,975</w:t>
            </w:r>
          </w:p>
        </w:tc>
      </w:tr>
      <w:tr>
        <w:trPr>
          <w:trHeight w:val="202"/>
        </w:trPr>
        <w:tc>
          <w:tcPr>
            <w:tcW w:w="9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increase in cash and restricted cash</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(21,620)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778</w:t>
            </w:r>
          </w:p>
        </w:tc>
      </w:tr>
      <w:tr>
        <w:trPr>
          <w:trHeight w:val="196"/>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65,128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83,984</w:t>
            </w:r>
          </w:p>
        </w:tc>
      </w:tr>
      <w:tr>
        <w:trPr>
          <w:trHeight w:val="221"/>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restricted cash at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43,508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84,762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2019 filed with the SEC on March 2, 2020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2020. Amounts as of December 31, 2019 are derived from the Company’s audited consolidated financial statements included in the Annual Report.</w:t>
      </w:r>
    </w:p>
    <w:p>
      <w:pPr>
        <w:spacing w:after="0" w:line="7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and six months ended June 30, 2020 and 2019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147,416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450,720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Lease bonus - mineral acreage</w:t>
            </w:r>
          </w:p>
        </w:tc>
        <w:tc>
          <w:tcPr>
            <w:tcW w:w="2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44,110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Unrealized (loss) gain on derivatives</w:t>
            </w: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(132,668)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(39,562)</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62,920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241,704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434,505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415,593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8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94,174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263,759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343,288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24,593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21,975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52,922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61,041</w:t>
            </w:r>
          </w:p>
        </w:tc>
      </w:tr>
      <w:tr>
        <w:trPr>
          <w:trHeight w:val="27"/>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26,197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13,981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20,194</w:t>
            </w:r>
          </w:p>
        </w:tc>
      </w:tr>
      <w:tr>
        <w:trPr>
          <w:trHeight w:val="27"/>
        </w:trPr>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147,416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234,382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371,704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450,720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into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certain general and administrative expenses directly related to acquisition, exploration and development activities, but do not include any costs related to production, selling or general corporate administrative activities. The Company capitalized approximately $8.1 million and $8.4 million of its general and administrative costs and approximately $1.8 million and $2.6 million of its interest expense for the three months ended June 30, 2020 and 2019, respectively. The Company capitalized approximately $16.3 million and $16.8 million of its general and administrative costs and approximately $3.2 million and $4.2 million of its interest expense for the six months ended June 30, 2020 and 2019, respectively.</w:t>
      </w:r>
    </w:p>
    <w:p>
      <w:pPr>
        <w:spacing w:after="0" w:line="7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amortized costs less related deferred income taxes or the cost center “ceiling.” The cost center ceiling is defined as the sum of:</w:t>
      </w:r>
    </w:p>
    <w:p>
      <w:pPr>
        <w:spacing w:after="0" w:line="62" w:lineRule="exact"/>
        <w:rPr>
          <w:sz w:val="20"/>
          <w:szCs w:val="20"/>
          <w:color w:val="auto"/>
        </w:rPr>
      </w:pPr>
    </w:p>
    <w:p>
      <w:pPr>
        <w:ind w:left="660" w:right="420" w:firstLine="117"/>
        <w:spacing w:after="0" w:line="277" w:lineRule="auto"/>
        <w:tabs>
          <w:tab w:leader="none" w:pos="1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1300" w:hanging="52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1300" w:hanging="523"/>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lower of cost or estimated fair value of unproved and unevaluated properties included in the costs being amortized, if any, less</w:t>
      </w:r>
    </w:p>
    <w:p>
      <w:pPr>
        <w:spacing w:after="0" w:line="128" w:lineRule="exact"/>
        <w:rPr>
          <w:rFonts w:ascii="Arial" w:cs="Arial" w:eastAsia="Arial" w:hAnsi="Arial"/>
          <w:sz w:val="17"/>
          <w:szCs w:val="17"/>
          <w:color w:val="auto"/>
        </w:rPr>
      </w:pPr>
    </w:p>
    <w:p>
      <w:pPr>
        <w:ind w:left="1300" w:hanging="52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 effects related to the properties involved.</w:t>
      </w:r>
    </w:p>
    <w:p>
      <w:pPr>
        <w:spacing w:after="0" w:line="117" w:lineRule="exact"/>
        <w:rPr>
          <w:sz w:val="20"/>
          <w:szCs w:val="20"/>
          <w:color w:val="auto"/>
        </w:rPr>
      </w:pPr>
    </w:p>
    <w:p>
      <w:pPr>
        <w:ind w:right="400" w:firstLine="445"/>
        <w:spacing w:after="0" w:line="259" w:lineRule="auto"/>
        <w:rPr>
          <w:sz w:val="20"/>
          <w:szCs w:val="20"/>
          <w:color w:val="auto"/>
        </w:rPr>
      </w:pPr>
      <w:r>
        <w:rPr>
          <w:rFonts w:ascii="Arial" w:cs="Arial" w:eastAsia="Arial" w:hAnsi="Arial"/>
          <w:sz w:val="18"/>
          <w:szCs w:val="18"/>
          <w:color w:val="auto"/>
        </w:rPr>
        <w:t>Any excess of the Company’s net capitalized costs above the cost center ceiling as described above is charged to operations as a full-cost ceiling impairment. The need for a full-cost ceiling impairment is required to be assessed on a quarterly basis. The fair value of the Company’s derivative instruments is not included in the ceiling test computation as the Company does not designate these instruments as hedge instruments for accounting purposes.</w:t>
      </w:r>
    </w:p>
    <w:p>
      <w:pPr>
        <w:spacing w:after="0" w:line="79"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The estimated present value of after-tax future net cash flows from proved oil and natural gas reserves is highly dependent upon the quantities of proved reserves, the estimation of which requires substantial judgment. The Company’s oil and natural gas reserves estimates are prepared by the Company’s engineering staff in accordance with guidelines established by the SEC. Under these guidelines, oil and natural gas reserves are estimated using then-current operating and economic conditions, with no provision for price and cost escalations in future periods except by contractual agreements. Future net revenues are calculated using prices that represent the arithmetic averages of first-day-of-the-month oil and natural gas prices for the previous 12-month period, and the guidelines further dictate that a 10% discount factor be used to determine the present value of future revenues. For the period from July 2019 to June 2020, the average oil and natural gas prices were $43.60 per barrel and $2.07 per MMBtu, respectively. In estimating the present value of after-tax future net cash flows from proved oil and natural gas reserves, the average oil and natural gas prices were adjusted by property for quality, energy content, transportation and marketing fees and regional price differentials.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Using average commodity prices, as adjusted, to determine the Company’s estimated proved oil and natural gas reserves at June 30, 2020, the Company’s net capitalized costs less related deferred income taxes exceeded the full-cost ceiling by $243.9 million. As a result, the Company recorded an impairment charge of $324.0 million to its net capitalized costs and a deferred income tax benefit of $80.1 million at June 30, 2020. These charges are reflected in the Company’s interim unaudited condensed consolidated statements of operations for the three and six months ended June 30, 2020. For the three and six months ended June 30, 2019, the Company’s net capitalized costs less related deferred income taxes did not exceed the full-cost ceiling. As a result, the Company recorded no impairment to its net capitalized costs for the three and six months ended June 30, 2019.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(Loss) Per Common Share</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76" w:lineRule="exact"/>
        <w:rPr>
          <w:sz w:val="20"/>
          <w:szCs w:val="20"/>
          <w:color w:val="auto"/>
        </w:rPr>
      </w:pPr>
    </w:p>
    <w:p>
      <w:pPr>
        <w:ind w:right="160" w:firstLine="454"/>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six months ended June 30, 2020 and 2019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0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240" w:type="dxa"/>
            <w:vAlign w:val="bottom"/>
          </w:tcPr>
          <w:p>
            <w:pPr>
              <w:spacing w:after="0"/>
              <w:rPr>
                <w:sz w:val="20"/>
                <w:szCs w:val="20"/>
                <w:color w:val="auto"/>
              </w:rPr>
            </w:pPr>
          </w:p>
        </w:tc>
        <w:tc>
          <w:tcPr>
            <w:tcW w:w="19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116,071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116,571</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115,977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116,469</w:t>
            </w: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Dilutive effect of options and restricted stock units</w:t>
            </w:r>
          </w:p>
        </w:tc>
        <w:tc>
          <w:tcPr>
            <w:tcW w:w="192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r>
      <w:tr>
        <w:trPr>
          <w:trHeight w:val="264"/>
        </w:trPr>
        <w:tc>
          <w:tcPr>
            <w:tcW w:w="5240" w:type="dxa"/>
            <w:vAlign w:val="bottom"/>
          </w:tcPr>
          <w:p>
            <w:pPr>
              <w:ind w:left="540"/>
              <w:spacing w:after="0"/>
              <w:rPr>
                <w:sz w:val="20"/>
                <w:szCs w:val="20"/>
                <w:color w:val="auto"/>
              </w:rPr>
            </w:pPr>
            <w:r>
              <w:rPr>
                <w:rFonts w:ascii="Arial" w:cs="Arial" w:eastAsia="Arial" w:hAnsi="Arial"/>
                <w:sz w:val="18"/>
                <w:szCs w:val="18"/>
                <w:color w:val="auto"/>
              </w:rPr>
              <w:t>Diluted weighted average common shares outstanding</w:t>
            </w: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116,071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116,903</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115,977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116,839</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 total of 2.5 million and 2.6 million options to purchase shares of Matador’s common stock were excluded from the diluted weighted average common shares outstanding for both the three and six months ended June 30, 2020, respectively, because their effects were anti-dilutive. Additionally, 0.5 million and 0.6 million restricted shares, which are participating securities, were excluded from the calculations above for the three and six months ended June 30, 2020, respectively, as the security holders do not have the obligation to share in the losses of the Company. A total of 2.8 million options to purchase shares of Matador’s common stock were excluded from the diluted weighted average common shares outstanding for both the three and six months ended June 30, 2019 because their effects were anti-dilutive.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asset retirement obligations for the six months ended June 30, 2020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asset retirement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36,211</w:t>
            </w:r>
          </w:p>
        </w:tc>
      </w:tr>
      <w:tr>
        <w:trPr>
          <w:trHeight w:val="243"/>
        </w:trPr>
        <w:tc>
          <w:tcPr>
            <w:tcW w:w="10260" w:type="dxa"/>
            <w:vAlign w:val="bottom"/>
          </w:tcPr>
          <w:p>
            <w:pPr>
              <w:ind w:left="120"/>
              <w:spacing w:after="0"/>
              <w:rPr>
                <w:sz w:val="20"/>
                <w:szCs w:val="20"/>
                <w:color w:val="auto"/>
              </w:rPr>
            </w:pPr>
            <w:r>
              <w:rPr>
                <w:rFonts w:ascii="Arial" w:cs="Arial" w:eastAsia="Arial" w:hAnsi="Arial"/>
                <w:sz w:val="18"/>
                <w:szCs w:val="18"/>
                <w:color w:val="auto"/>
              </w:rPr>
              <w:t>Liabilities incurred during period</w:t>
            </w: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1,463</w:t>
            </w:r>
          </w:p>
        </w:tc>
      </w:tr>
      <w:tr>
        <w:trPr>
          <w:trHeight w:val="27"/>
        </w:trPr>
        <w:tc>
          <w:tcPr>
            <w:tcW w:w="10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settled during period</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10260" w:type="dxa"/>
            <w:vAlign w:val="bottom"/>
          </w:tcPr>
          <w:p>
            <w:pPr>
              <w:ind w:left="120"/>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971</w:t>
            </w:r>
          </w:p>
        </w:tc>
      </w:tr>
      <w:tr>
        <w:trPr>
          <w:trHeight w:val="27"/>
        </w:trPr>
        <w:tc>
          <w:tcPr>
            <w:tcW w:w="10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38,536</w:t>
            </w:r>
          </w:p>
        </w:tc>
      </w:tr>
      <w:tr>
        <w:trPr>
          <w:trHeight w:val="270"/>
        </w:trPr>
        <w:tc>
          <w:tcPr>
            <w:tcW w:w="10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r>
      <w:tr>
        <w:trPr>
          <w:trHeight w:val="288"/>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asset retirement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37,997</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0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June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121"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At June 30, 2020, the Company had $1.05 billion of outstanding senior notes due 2026 (the “Notes”), $385.0 million in borrowings outstanding under its reserves-based revolving credit facility (the “Credit Agreement”), approximately $45.1 million in outstanding letters of credit issued pursuant to the Credit Agreement and $7.5 million outstanding under an unsecured U.S. Small Business Administration (“SBA”) loan.</w:t>
      </w:r>
    </w:p>
    <w:p>
      <w:pPr>
        <w:spacing w:after="0" w:line="5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At July 28, 2020, the Company had $1.05 billion of outstanding Notes, $404.0 million in borrowings outstanding under the Credit Agreement, approximately $45.1 million in outstanding letters of credit issued pursuant to the Credit Agreement and $7.5 million outstanding under an unsecured SBA loan.</w:t>
      </w:r>
    </w:p>
    <w:p>
      <w:pPr>
        <w:spacing w:after="0" w:line="76"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At June 30, 2020 and July 28, 2020, San Mateo I had $320.0 million in borrowings outstanding under its revolving credit facility (the “San Mateo Credit Facility”) and approximately $9.0 million in outstanding letters of credit issued pursuant to the San Mateo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February 2020, the lenders completed their review of the Company’s proved oil and natural gas reserves at December 31, 2019, and, as a result, the borrowing base was affirmed at $900.0 million. The Company elected to increase the borrowing commitment from $500.0 million to $700.0 million, and the maximum facility amount remained $1.5 billion. This February 2020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2023.</w:t>
      </w:r>
    </w:p>
    <w:p>
      <w:pPr>
        <w:spacing w:after="0" w:line="70"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June 30, 2020.</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San Mateo Credit Facility is non-recourse with respect to Matador and its wholly-owned subsidiaries, as well as San Mateo II and its subsidiaries, but is guaranteed by San Mateo I’s subsidiaries and secured by substantially all of San Mateo I’s assets, including real property. The San Mateo Credit Facility includes an accordion feature, which provides for potential increases to up to $400.0 million, and matures December 19, 2023. At June 30, 2020, the lender commitments under the San Mateo Credit Facility were $375.0 million (subject to San Mateo I’s compliance with the covenants noted below).</w:t>
      </w:r>
    </w:p>
    <w:p>
      <w:pPr>
        <w:spacing w:after="0" w:line="80"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San Mateo Credit Facility requires San Mateo I to maintain a debt to EBITDA ratio, which is defined as total consolidated funded indebtedness outstanding (as defined in the San Mateo Credit Facility) divided by a rolling four quarter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200" w:lineRule="exact"/>
        <w:rPr>
          <w:sz w:val="20"/>
          <w:szCs w:val="20"/>
          <w:color w:val="auto"/>
        </w:rPr>
      </w:pP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EBITDA calculation, of 5.00 or less, subject to certain exceptions. The San Mateo Credit Facility also requires San Mateo I to maintain an interest coverage ratio, which is defined as a rolling four quarter EBITDA calculation divided by San Mateo I’s consolidated interest expense, of 2.50 or more. The Company believes that San Mateo I was in compliance with the terms of the San Mateo Credit Facility at June 30,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At June 30, 2020, the Company had $1.05 billion of outstanding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right="120" w:firstLine="445"/>
        <w:spacing w:after="0" w:line="279" w:lineRule="auto"/>
        <w:rPr>
          <w:sz w:val="20"/>
          <w:szCs w:val="20"/>
          <w:color w:val="auto"/>
        </w:rPr>
      </w:pPr>
      <w:r>
        <w:rPr>
          <w:rFonts w:ascii="Arial" w:cs="Arial" w:eastAsia="Arial" w:hAnsi="Arial"/>
          <w:sz w:val="17"/>
          <w:szCs w:val="17"/>
          <w:color w:val="auto"/>
        </w:rPr>
        <w:t>The Company’s effective tax rates for the three and six months ended June 30, 2020 were 24% and 23%, respectively. The Company’s effective tax rates for the three and six months ended June 30, 2019 were 26% and 37%, respectively. The Company’s total income tax provision for the three and six months ended June 30, 2020 and 2019 differed from amounts computed by applying the U.S. federal statutory tax rates to pre-tax income due primarily to the impact of permanent differences between book and tax income, as well as state taxes, primarily in New Mexico.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During the six months ended June 30, 2020, the Company granted awards to certain of its employees of 868,710 service-based restricted stock units to be settled in cash, which are liability instruments, and 641,210 performance-based stock units and 227,500 shares of restricted stock, which are equity instruments. The performance-based stock units vest in an amount between zero and 200% of the target units granted based on the Company’s relative total shareholder return over the three-year period ending December 31, 2022, as compared to a designated peer group. The service-based restricted stock units to be settled in cash vest ratably over three years, and the equity instruments are eligible to vest after three years. The fair value of these awards was approximately $7.7 million on the grant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II</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As of June 30, 2020, the $150 million threshold for capital expenditures had been reached, and future capital expenditures are the responsibility of Matador and Five Point based on each company’s proportionate interest in San Mateo II. During the three months ended June 30, 2020, the Company contributed $15.4 million and Five Point contributed $17.2 million of cash, of which $2.5 million was paid to carry Matador’s proportionate interest in San Mateo II. During the six months ended June 30, 2020, the Company contributed $22.9 million and Five Point contributed $67.2 million of cash, of which $23.1 million was paid to carry Matador’s proportionate interest in San Mateo II. The portion of the amount contributed by Five Point to carry Matador’s proportionate interest was recorded in “Additional paid-in capital” in the Company’s interim unaudited condensed consolidated balance sheets for the three and six months ended June 30, 2020, net of the $0.5 million and $4.8 million, respectively, deferred tax impact to Matador related to this equity contribution. During the three and six months ended June 30, 2019, the Company contributed $1.5 million and $1.5 million of cash and Five Point contributed $7.5 million and $11.5 million of cash, respectively, in addition to the $1.0 million of property the Company contributed during the first quarter of 2019 related to the formation of San Mateo II. The Company also has the ability to earn up to $150.0 million in deferred performance incentives over the next several years</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In connection with the formation of San Mateo I in 2017, the Company has the ability to earn a total of $73.5 million in performance incentives to be paid by Five Point over a five-year period. The Company earned, and Five Point paid to the Company, $14.7 million in performance incentives during each of the six months ended June 30, 2020, 2019 and 2018. The Company may earn up to an additional $29.4 million in performance incentives over the next two years. These performance incentives are recorded, net of the $3.1 million deferred tax impact to Matador, in “Additional paid-in capital” in the Company’s interim unaudited condensed consolidated balance sheet when received. These performance incentives for the six months ended June 30, 2020 and 2019 are also denoted as “Contributions related to formation of San Mateo I” under “Financing activities” in the Company’s interim unaudited condensed consolidated statements of cash flows and changes in shareholders’ equity.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At June 30, 2020,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June 30, 2020, each contract was set to expire at varying times during 2020, 2021 and 2022. The Company had no open contracts associated with natural gas liquids (“NGL”) prices at June 30, 2020.</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June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 Price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Asset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9"/>
          </w:tcPr>
          <w:p>
            <w:pPr>
              <w:jc w:val="right"/>
              <w:ind w:right="100"/>
              <w:spacing w:after="0"/>
              <w:rPr>
                <w:sz w:val="20"/>
                <w:szCs w:val="20"/>
                <w:color w:val="auto"/>
              </w:rPr>
            </w:pPr>
            <w:r>
              <w:rPr>
                <w:rFonts w:ascii="Arial" w:cs="Arial" w:eastAsia="Arial" w:hAnsi="Arial"/>
                <w:sz w:val="18"/>
                <w:szCs w:val="18"/>
                <w:b w:val="1"/>
                <w:bCs w:val="1"/>
                <w:color w:val="auto"/>
                <w:w w:val="97"/>
              </w:rPr>
              <w:t>Notional Quantity (Bbl or   Floor ($/Bbl or</w:t>
            </w:r>
          </w:p>
        </w:tc>
        <w:tc>
          <w:tcPr>
            <w:tcW w:w="12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Ceiling ($/Bbl or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w:t>
            </w:r>
          </w:p>
        </w:tc>
        <w:tc>
          <w:tcPr>
            <w:tcW w:w="25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Calculation Period</w:t>
            </w: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MMBtu)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2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07/01/2020 - 12/31/2020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1,758,000</w:t>
            </w:r>
          </w:p>
        </w:tc>
        <w:tc>
          <w:tcPr>
            <w:tcW w:w="10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48.03</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Oil</w:t>
            </w:r>
          </w:p>
        </w:tc>
        <w:tc>
          <w:tcPr>
            <w:tcW w:w="2420" w:type="dxa"/>
            <w:vAlign w:val="bottom"/>
            <w:gridSpan w:val="3"/>
          </w:tcPr>
          <w:p>
            <w:pPr>
              <w:jc w:val="center"/>
              <w:spacing w:after="0"/>
              <w:rPr>
                <w:sz w:val="20"/>
                <w:szCs w:val="20"/>
                <w:color w:val="auto"/>
              </w:rPr>
            </w:pPr>
            <w:r>
              <w:rPr>
                <w:rFonts w:ascii="Arial" w:cs="Arial" w:eastAsia="Arial" w:hAnsi="Arial"/>
                <w:sz w:val="18"/>
                <w:szCs w:val="18"/>
                <w:color w:val="auto"/>
                <w:w w:val="90"/>
              </w:rPr>
              <w:t>01/01/2021 - 12/31/2021</w:t>
            </w:r>
          </w:p>
        </w:tc>
        <w:tc>
          <w:tcPr>
            <w:tcW w:w="10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2,400,000</w:t>
            </w:r>
          </w:p>
        </w:tc>
        <w:tc>
          <w:tcPr>
            <w:tcW w:w="1020" w:type="dxa"/>
            <w:vAlign w:val="bottom"/>
            <w:gridSpan w:val="3"/>
          </w:tcPr>
          <w:p>
            <w:pPr>
              <w:jc w:val="center"/>
              <w:ind w:right="37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35.00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11/01/2020 - 12/31/2020</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020" w:type="dxa"/>
            <w:vAlign w:val="bottom"/>
            <w:tcBorders>
              <w:bottom w:val="single" w:sz="8" w:color="CCEEFF"/>
            </w:tcBorders>
            <w:gridSpan w:val="3"/>
            <w:shd w:val="clear" w:color="auto" w:fill="CCEEFF"/>
          </w:tcPr>
          <w:p>
            <w:pPr>
              <w:jc w:val="center"/>
              <w:ind w:right="3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gridSpan w:val="3"/>
          </w:tcPr>
          <w:p>
            <w:pPr>
              <w:jc w:val="center"/>
              <w:spacing w:after="0"/>
              <w:rPr>
                <w:sz w:val="20"/>
                <w:szCs w:val="20"/>
                <w:color w:val="auto"/>
              </w:rPr>
            </w:pPr>
            <w:r>
              <w:rPr>
                <w:rFonts w:ascii="Arial" w:cs="Arial" w:eastAsia="Arial" w:hAnsi="Arial"/>
                <w:sz w:val="18"/>
                <w:szCs w:val="18"/>
                <w:color w:val="auto"/>
                <w:w w:val="90"/>
              </w:rPr>
              <w:t>01/01/2021 - 03/31/2021</w:t>
            </w:r>
          </w:p>
        </w:tc>
        <w:tc>
          <w:tcPr>
            <w:tcW w:w="10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7,800,000</w:t>
            </w:r>
          </w:p>
        </w:tc>
        <w:tc>
          <w:tcPr>
            <w:tcW w:w="1020" w:type="dxa"/>
            <w:vAlign w:val="bottom"/>
            <w:gridSpan w:val="3"/>
          </w:tcPr>
          <w:p>
            <w:pPr>
              <w:jc w:val="center"/>
              <w:ind w:right="37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2.51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open costless collar contracts</w:t>
            </w:r>
          </w:p>
        </w:tc>
        <w:tc>
          <w:tcPr>
            <w:tcW w:w="1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18,349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12"/>
            <w:vMerge w:val="restart"/>
          </w:tcPr>
          <w:p>
            <w:pPr>
              <w:ind w:left="420"/>
              <w:spacing w:after="0"/>
              <w:rPr>
                <w:sz w:val="20"/>
                <w:szCs w:val="20"/>
                <w:color w:val="auto"/>
              </w:rPr>
            </w:pPr>
            <w:r>
              <w:rPr>
                <w:rFonts w:ascii="Arial" w:cs="Arial" w:eastAsia="Arial" w:hAnsi="Arial"/>
                <w:sz w:val="18"/>
                <w:szCs w:val="18"/>
                <w:color w:val="auto"/>
                <w:w w:val="99"/>
              </w:rPr>
              <w:t>The following is a summary of the Company’s open swap contracts for oil at June 30, 2020.</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660" w:type="dxa"/>
            <w:vAlign w:val="bottom"/>
            <w:gridSpan w:val="1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3"/>
              </w:rPr>
              <w:t>Notional Quantity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Arial" w:cs="Arial" w:eastAsia="Arial" w:hAnsi="Arial"/>
                <w:sz w:val="18"/>
                <w:szCs w:val="18"/>
                <w:b w:val="1"/>
                <w:bCs w:val="1"/>
                <w:color w:val="auto"/>
              </w:rPr>
              <w:t>Fixed Price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center"/>
              <w:ind w:right="690"/>
              <w:spacing w:after="0"/>
              <w:rPr>
                <w:sz w:val="20"/>
                <w:szCs w:val="20"/>
                <w:color w:val="auto"/>
              </w:rPr>
            </w:pPr>
            <w:r>
              <w:rPr>
                <w:rFonts w:ascii="Arial" w:cs="Arial" w:eastAsia="Arial" w:hAnsi="Arial"/>
                <w:sz w:val="18"/>
                <w:szCs w:val="18"/>
                <w:b w:val="1"/>
                <w:bCs w:val="1"/>
                <w:color w:val="auto"/>
                <w:w w:val="91"/>
              </w:rPr>
              <w:t>Calculation Period</w:t>
            </w:r>
          </w:p>
        </w:tc>
        <w:tc>
          <w:tcPr>
            <w:tcW w:w="10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(Bbl)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($/Bbl)</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3700" w:type="dxa"/>
            <w:vAlign w:val="bottom"/>
            <w:tcBorders>
              <w:bottom w:val="single" w:sz="8" w:color="CCEEFF"/>
            </w:tcBorders>
            <w:gridSpan w:val="5"/>
            <w:shd w:val="clear" w:color="auto" w:fill="CCEEFF"/>
          </w:tcPr>
          <w:p>
            <w:pPr>
              <w:jc w:val="center"/>
              <w:ind w:left="1350"/>
              <w:spacing w:after="0"/>
              <w:rPr>
                <w:sz w:val="20"/>
                <w:szCs w:val="20"/>
                <w:color w:val="auto"/>
              </w:rPr>
            </w:pPr>
            <w:r>
              <w:rPr>
                <w:rFonts w:ascii="Arial" w:cs="Arial" w:eastAsia="Arial" w:hAnsi="Arial"/>
                <w:sz w:val="18"/>
                <w:szCs w:val="18"/>
                <w:color w:val="auto"/>
                <w:w w:val="90"/>
              </w:rPr>
              <w:t>07/01/2020 - 12/31/2020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4,320,000</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Oil</w:t>
            </w:r>
          </w:p>
        </w:tc>
        <w:tc>
          <w:tcPr>
            <w:tcW w:w="3700" w:type="dxa"/>
            <w:vAlign w:val="bottom"/>
            <w:gridSpan w:val="5"/>
          </w:tcPr>
          <w:p>
            <w:pPr>
              <w:jc w:val="center"/>
              <w:ind w:left="1350"/>
              <w:spacing w:after="0"/>
              <w:rPr>
                <w:sz w:val="20"/>
                <w:szCs w:val="20"/>
                <w:color w:val="auto"/>
              </w:rPr>
            </w:pPr>
            <w:r>
              <w:rPr>
                <w:rFonts w:ascii="Arial" w:cs="Arial" w:eastAsia="Arial" w:hAnsi="Arial"/>
                <w:sz w:val="18"/>
                <w:szCs w:val="18"/>
                <w:color w:val="auto"/>
                <w:w w:val="90"/>
              </w:rPr>
              <w:t>01/01/2021 - 12/31/2021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2,040,000</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35.26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open swap contracts</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Company’s open basis swap contracts for oil at June 30, 2020.</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Fair Value of</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Asset</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Notional Quantity</w:t>
            </w: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Fixed Price</w:t>
            </w:r>
          </w:p>
        </w:tc>
        <w:tc>
          <w:tcPr>
            <w:tcW w:w="1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w:t>
            </w:r>
          </w:p>
        </w:tc>
        <w:tc>
          <w:tcPr>
            <w:tcW w:w="2380" w:type="dxa"/>
            <w:vAlign w:val="bottom"/>
            <w:gridSpan w:val="2"/>
          </w:tcPr>
          <w:p>
            <w:pPr>
              <w:ind w:left="420"/>
              <w:spacing w:after="0"/>
              <w:rPr>
                <w:sz w:val="20"/>
                <w:szCs w:val="20"/>
                <w:color w:val="auto"/>
              </w:rPr>
            </w:pPr>
            <w:r>
              <w:rPr>
                <w:rFonts w:ascii="Arial" w:cs="Arial" w:eastAsia="Arial" w:hAnsi="Arial"/>
                <w:sz w:val="18"/>
                <w:szCs w:val="18"/>
                <w:b w:val="1"/>
                <w:bCs w:val="1"/>
                <w:color w:val="auto"/>
              </w:rPr>
              <w:t>Calculation Period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(Bbl)</w:t>
            </w:r>
          </w:p>
        </w:tc>
        <w:tc>
          <w:tcPr>
            <w:tcW w:w="26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($/Bbl)</w:t>
            </w:r>
          </w:p>
        </w:tc>
        <w:tc>
          <w:tcPr>
            <w:tcW w:w="16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(thousands)</w:t>
            </w: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 Basis</w:t>
            </w:r>
          </w:p>
        </w:tc>
        <w:tc>
          <w:tcPr>
            <w:tcW w:w="2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0"/>
              </w:rPr>
              <w:t>07/01/2020 - 12/31/2020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4,896,000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2,318</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Oil Basis</w:t>
            </w:r>
          </w:p>
        </w:tc>
        <w:tc>
          <w:tcPr>
            <w:tcW w:w="2280" w:type="dxa"/>
            <w:vAlign w:val="bottom"/>
          </w:tcPr>
          <w:p>
            <w:pPr>
              <w:jc w:val="right"/>
              <w:ind w:right="390"/>
              <w:spacing w:after="0"/>
              <w:rPr>
                <w:sz w:val="20"/>
                <w:szCs w:val="20"/>
                <w:color w:val="auto"/>
              </w:rPr>
            </w:pPr>
            <w:r>
              <w:rPr>
                <w:rFonts w:ascii="Arial" w:cs="Arial" w:eastAsia="Arial" w:hAnsi="Arial"/>
                <w:sz w:val="18"/>
                <w:szCs w:val="18"/>
                <w:color w:val="auto"/>
                <w:w w:val="90"/>
              </w:rPr>
              <w:t>01/01/2021 - 12/31/2021</w:t>
            </w:r>
          </w:p>
        </w:tc>
        <w:tc>
          <w:tcPr>
            <w:tcW w:w="100" w:type="dxa"/>
            <w:vAlign w:val="bottom"/>
          </w:tcPr>
          <w:p>
            <w:pPr>
              <w:spacing w:after="0"/>
              <w:rPr>
                <w:sz w:val="21"/>
                <w:szCs w:val="21"/>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8,400,000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5,414</w:t>
            </w: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 Basis</w:t>
            </w:r>
          </w:p>
        </w:tc>
        <w:tc>
          <w:tcPr>
            <w:tcW w:w="2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0"/>
              </w:rPr>
              <w:t>01/01/2022 - 12/31/2022</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5,520,000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3,978</w:t>
            </w:r>
          </w:p>
        </w:tc>
      </w:tr>
      <w:tr>
        <w:trPr>
          <w:trHeight w:val="264"/>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 open basis swap contracts</w:t>
            </w: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11,710</w:t>
            </w: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2020, the Company had an aggregate liability value for open derivative financial instruments of $0.1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200" w:lineRule="exact"/>
        <w:rPr>
          <w:sz w:val="20"/>
          <w:szCs w:val="20"/>
          <w:color w:val="auto"/>
        </w:rPr>
      </w:pPr>
    </w:p>
    <w:p>
      <w:pPr>
        <w:spacing w:after="0" w:line="205"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76" w:lineRule="exact"/>
        <w:rPr>
          <w:sz w:val="20"/>
          <w:szCs w:val="20"/>
          <w:color w:val="auto"/>
        </w:rPr>
      </w:pPr>
    </w:p>
    <w:p>
      <w:pPr>
        <w:jc w:val="both"/>
        <w:ind w:right="460" w:firstLine="445"/>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June 30, 2020 and December 31, 2019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netted in the</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condensed</w:t>
            </w: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consolidated</w:t>
            </w:r>
          </w:p>
        </w:tc>
        <w:tc>
          <w:tcPr>
            <w:tcW w:w="16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consolidated</w:t>
            </w:r>
          </w:p>
        </w:tc>
      </w:t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6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recognized</w:t>
            </w:r>
          </w:p>
        </w:tc>
        <w:tc>
          <w:tcPr>
            <w:tcW w:w="1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balance sheets</w:t>
            </w:r>
          </w:p>
        </w:tc>
        <w:tc>
          <w:tcPr>
            <w:tcW w:w="16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balance sheets</w:t>
            </w:r>
          </w:p>
        </w:tc>
      </w:tr>
      <w:tr>
        <w:trPr>
          <w:trHeight w:val="27"/>
        </w:trPr>
        <w:tc>
          <w:tcPr>
            <w:tcW w:w="5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331,474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(318,170)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13,304</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6,634</w:t>
            </w:r>
          </w:p>
        </w:tc>
      </w:tr>
      <w:tr>
        <w:trPr>
          <w:trHeight w:val="243"/>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318,170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(14,073)</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w:t>
            </w:r>
          </w:p>
        </w:tc>
      </w:tr>
      <w:tr>
        <w:trPr>
          <w:trHeight w:val="263"/>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442,291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(442,291)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(444,188)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442,291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(1,897)</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r>
      <w:tr>
        <w:trPr>
          <w:trHeight w:val="264"/>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(3,881)</w:t>
            </w: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Instrument</w:t>
            </w:r>
          </w:p>
        </w:tc>
        <w:tc>
          <w:tcPr>
            <w:tcW w:w="120" w:type="dxa"/>
            <w:vAlign w:val="bottom"/>
            <w:tcBorders>
              <w:bottom w:val="single" w:sz="8" w:color="CCEEFF"/>
            </w:tcBorders>
          </w:tcPr>
          <w:p>
            <w:pPr>
              <w:spacing w:after="0"/>
              <w:rPr>
                <w:sz w:val="17"/>
                <w:szCs w:val="17"/>
                <w:color w:val="auto"/>
              </w:rPr>
            </w:pPr>
          </w:p>
        </w:tc>
        <w:tc>
          <w:tcPr>
            <w:tcW w:w="47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w:t>
            </w:r>
          </w:p>
        </w:tc>
        <w:tc>
          <w:tcPr>
            <w:tcW w:w="4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Oil</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Revenues: Realized gain on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44,110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54,977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4,531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Natural Gas</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loss on derivatives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40" w:type="dxa"/>
            <w:vAlign w:val="bottom"/>
            <w:gridSpan w:val="4"/>
          </w:tcPr>
          <w:p>
            <w:pPr>
              <w:ind w:left="540"/>
              <w:spacing w:after="0"/>
              <w:rPr>
                <w:sz w:val="20"/>
                <w:szCs w:val="20"/>
                <w:color w:val="auto"/>
              </w:rPr>
            </w:pPr>
            <w:r>
              <w:rPr>
                <w:rFonts w:ascii="Arial" w:cs="Arial" w:eastAsia="Arial" w:hAnsi="Arial"/>
                <w:sz w:val="18"/>
                <w:szCs w:val="18"/>
                <w:color w:val="auto"/>
              </w:rPr>
              <w:t>Realized gain on derivatives</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44,110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54,977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Oil</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(134,567)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(40,078)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340"/>
              <w:spacing w:after="0"/>
              <w:rPr>
                <w:sz w:val="20"/>
                <w:szCs w:val="20"/>
                <w:color w:val="auto"/>
              </w:rPr>
            </w:pPr>
            <w:r>
              <w:rPr>
                <w:rFonts w:ascii="Arial" w:cs="Arial" w:eastAsia="Arial" w:hAnsi="Arial"/>
                <w:sz w:val="18"/>
                <w:szCs w:val="18"/>
                <w:color w:val="auto"/>
              </w:rPr>
              <w:t>Natural Gas</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Revenues: Unrealized gain on derivatives</w:t>
            </w:r>
          </w:p>
        </w:tc>
        <w:tc>
          <w:tcPr>
            <w:tcW w:w="1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8"/>
                <w:szCs w:val="18"/>
                <w:color w:val="auto"/>
              </w:rPr>
              <w:t>Unrealized (loss) gain on derivatives</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(132,668)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(39,562)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80" w:type="dxa"/>
            <w:vAlign w:val="bottom"/>
            <w:gridSpan w:val="2"/>
          </w:tcPr>
          <w:p>
            <w:pPr>
              <w:ind w:left="1100"/>
              <w:spacing w:after="0"/>
              <w:rPr>
                <w:sz w:val="20"/>
                <w:szCs w:val="20"/>
                <w:color w:val="auto"/>
              </w:rPr>
            </w:pPr>
            <w:r>
              <w:rPr>
                <w:rFonts w:ascii="Arial" w:cs="Arial" w:eastAsia="Arial" w:hAnsi="Arial"/>
                <w:sz w:val="18"/>
                <w:szCs w:val="18"/>
                <w:color w:val="auto"/>
              </w:rPr>
              <w:t>Total</w:t>
            </w: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(88,558)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58,739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(35,127)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vMerge w:val="restart"/>
          </w:tcPr>
          <w:p>
            <w:pPr>
              <w:ind w:left="32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9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jc w:val="right"/>
        <w:ind w:right="40"/>
        <w:spacing w:after="0" w:line="291" w:lineRule="auto"/>
        <w:rPr>
          <w:sz w:val="20"/>
          <w:szCs w:val="20"/>
          <w:color w:val="auto"/>
        </w:rPr>
      </w:pPr>
      <w:r>
        <w:rPr>
          <w:rFonts w:ascii="Arial" w:cs="Arial" w:eastAsia="Arial" w:hAnsi="Arial"/>
          <w:sz w:val="16"/>
          <w:szCs w:val="16"/>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w:t>
      </w:r>
    </w:p>
    <w:p>
      <w:pPr>
        <w:ind w:left="660" w:right="60" w:hanging="4"/>
        <w:spacing w:after="0" w:line="253" w:lineRule="auto"/>
        <w:tabs>
          <w:tab w:leader="none" w:pos="875"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June 30, 2020 and December 31,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June 30, 2020 using</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71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gridSpan w:val="2"/>
          </w:tcPr>
          <w:p>
            <w:pPr>
              <w:ind w:left="120"/>
              <w:spacing w:after="0"/>
              <w:rPr>
                <w:sz w:val="20"/>
                <w:szCs w:val="20"/>
                <w:color w:val="auto"/>
              </w:rPr>
            </w:pPr>
            <w:r>
              <w:rPr>
                <w:rFonts w:ascii="Arial" w:cs="Arial" w:eastAsia="Arial" w:hAnsi="Arial"/>
                <w:sz w:val="18"/>
                <w:szCs w:val="18"/>
                <w:color w:val="auto"/>
              </w:rPr>
              <w:t>Oil derivatives and basis 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Natural gas derivatives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1,899</w:t>
            </w:r>
          </w:p>
        </w:tc>
      </w:tr>
      <w:tr>
        <w:trPr>
          <w:trHeight w:val="237"/>
        </w:trPr>
        <w:tc>
          <w:tcPr>
            <w:tcW w:w="71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gridSpan w:val="7"/>
          </w:tcPr>
          <w:p>
            <w:pPr>
              <w:ind w:left="20"/>
              <w:spacing w:after="0"/>
              <w:rPr>
                <w:sz w:val="20"/>
                <w:szCs w:val="20"/>
                <w:color w:val="auto"/>
              </w:rPr>
            </w:pPr>
            <w:r>
              <w:rPr>
                <w:rFonts w:ascii="Arial" w:cs="Arial" w:eastAsia="Arial" w:hAnsi="Arial"/>
                <w:sz w:val="18"/>
                <w:szCs w:val="18"/>
                <w:b w:val="1"/>
                <w:bCs w:val="1"/>
                <w:color w:val="auto"/>
                <w:w w:val="90"/>
              </w:rPr>
              <w:t>Fair Value Measurements at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December 31, 2019 using</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71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6"/>
        </w:trPr>
        <w:tc>
          <w:tcPr>
            <w:tcW w:w="71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gridSpan w:val="2"/>
          </w:tcPr>
          <w:p>
            <w:pPr>
              <w:ind w:left="120"/>
              <w:spacing w:after="0"/>
              <w:rPr>
                <w:sz w:val="20"/>
                <w:szCs w:val="20"/>
                <w:color w:val="auto"/>
              </w:rPr>
            </w:pPr>
            <w:r>
              <w:rPr>
                <w:rFonts w:ascii="Arial" w:cs="Arial" w:eastAsia="Arial" w:hAnsi="Arial"/>
                <w:sz w:val="18"/>
                <w:szCs w:val="18"/>
                <w:color w:val="auto"/>
              </w:rPr>
              <w:t>Oil derivatives and basis 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(3,881)</w:t>
            </w:r>
          </w:p>
        </w:tc>
      </w:tr>
      <w:tr>
        <w:trPr>
          <w:trHeight w:val="27"/>
        </w:trPr>
        <w:tc>
          <w:tcPr>
            <w:tcW w:w="7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9"/>
        </w:trPr>
        <w:tc>
          <w:tcPr>
            <w:tcW w:w="71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At June 30, 2020 and December 31, 2019, the carrying values reported on the interim unaudited condensed consolidated balance sheets for accounts receivable, prepaid expenses and other current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41"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At June 30, 2020 and December 31,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 — Continued</w:t>
      </w:r>
    </w:p>
    <w:p>
      <w:pPr>
        <w:spacing w:after="0" w:line="200" w:lineRule="exact"/>
        <w:rPr>
          <w:sz w:val="20"/>
          <w:szCs w:val="20"/>
          <w:color w:val="auto"/>
        </w:rPr>
      </w:pPr>
    </w:p>
    <w:p>
      <w:pPr>
        <w:spacing w:after="0" w:line="205"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At June 30, 2020 and December 31, 2019, the fair value of the Notes was $781.6 million and $1.06 billion, respectively, based on quoted market prices, which represent Level 1 inputs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From time to time, the Company enters into agreements with third parties whereby the Company commits to deliver anticipated natural gas and oil production and salt water from certain portions of its acreage for gathering, transportation, processing, fractionation, sales and, in the case of salt water, disposal. The Company paid approximately $11.4 million and $6.1 million for deliveries under these agreements during the three months ended June 30, 2020 and 2019, respectively, and $22.4 million and $12.9 million for deliveries under these agreements during the six months ended June 30, 2020 and 2019,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2020, the total deficiencies required to be paid by the Company under these agreements would be approximately $387.9 million, in addition to the commitments described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late 2017, the Company entered into a fixed-fee NGL sales agreement whereby the Company committed to deliver its NGL production at the tailgate of the Black River cryogenic natural gas processing plant in Eddy County, New Mexico (the “Black River Processing Plant”) to a certain counterparty. The Company is committed to deliver a minimum amount of NGLs to the counterparty for seven years following the completion of the counterparty’s pipeline extension and fractionation facility, which was completed on July 1, 2020. If the Company does not meet its NGL volume commitment in any quarter during the seven-year commitment period, it would be required to pay a deficiency fee per gallon of NGL below the Company’s commitment. The minimum contractual obligation during the seven-year period is approximately $130.6 million.</w:t>
      </w:r>
    </w:p>
    <w:p>
      <w:pPr>
        <w:spacing w:after="0" w:line="7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begins when the counterparty’s pipeline is placed in service, which is anticipated to be in the second half of 2020. Should the pipeline be placed in service, the Company would owe the fees to transport the committed volume whether or not the committed volume is transported through the counterparty’s pipeline, and the minimum contractual obligation would be approximately $106.9 million.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remaining minimum contractual obligation under the Operational Agreements at June 30, 2020 was approximately $150.7 million.</w:t>
      </w:r>
    </w:p>
    <w:p>
      <w:pPr>
        <w:spacing w:after="0" w:line="70"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remaining minimum contractual obligation under the San Mateo II Operational Agreements at June 30, 2020 was approximately $360.2 million.</w:t>
      </w:r>
    </w:p>
    <w:p>
      <w:pPr>
        <w:spacing w:after="0" w:line="68" w:lineRule="exact"/>
        <w:rPr>
          <w:sz w:val="20"/>
          <w:szCs w:val="20"/>
          <w:color w:val="auto"/>
        </w:rPr>
      </w:pPr>
    </w:p>
    <w:p>
      <w:pPr>
        <w:ind w:right="240" w:firstLine="445"/>
        <w:spacing w:after="0" w:line="275" w:lineRule="auto"/>
        <w:rPr>
          <w:sz w:val="20"/>
          <w:szCs w:val="20"/>
          <w:color w:val="auto"/>
        </w:rPr>
      </w:pPr>
      <w:r>
        <w:rPr>
          <w:rFonts w:ascii="Arial" w:cs="Arial" w:eastAsia="Arial" w:hAnsi="Arial"/>
          <w:sz w:val="17"/>
          <w:szCs w:val="17"/>
          <w:color w:val="auto"/>
        </w:rPr>
        <w:t>In June 2019, a subsidiary of San Mateo II entered into an agreement with third parties for the engineering, procurement, construction and installation of an expansion of the Black River Processing Plant, including required compression. The expansion is expected to be placed in service in 2020. San Mateo II’s total commitments under this agreement are $81.0 million. San Mateo II paid approximately $12.6 million and $33.7 million under this agreement during the three and six months ended June 30, 2020, respectively. As of June 30, 2020, the remaining obligations of San Mateo II under this agreement were $7.2 million, which are expected to be paid within the next 12 months.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current accrued liabilities at June 30, 2020 and December 31, 2019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evaluated and unproved and unevaluated property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72,376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midstream properties costs</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55,457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46,402</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lease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18,223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interest on debt</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18,569</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partners’ share of joint interest charges</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14,322</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payable related to purchased natural gas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17,806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8,937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12,378</w:t>
            </w: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189,115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200,695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supplemental disclosures of cash flow information for the six months ended June 30, 2020 and 2019 (in thousands).</w:t>
      </w:r>
    </w:p>
    <w:p>
      <w:pPr>
        <w:spacing w:after="0" w:line="271"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expense,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37,632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321</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Increase in liabilities for oil and natural gas properties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13,536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liabilities for midstream properties capital expenditures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5,854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Stock-based compensation expense recognized as liability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inventory (to) from oil and natural gas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r>
      <w:tr>
        <w:trPr>
          <w:trHeight w:val="27"/>
        </w:trPr>
        <w:tc>
          <w:tcPr>
            <w:tcW w:w="8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ind w:right="140" w:firstLine="445"/>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88"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59,950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24,812</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cash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84,762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Wolf and Stateline asset areas and the Greater Stebbins Area in the Delaware Basin are conducted through San Mateo.</w:t>
      </w:r>
    </w:p>
    <w:p>
      <w:pPr>
        <w:spacing w:after="0" w:line="84" w:lineRule="exact"/>
        <w:rPr>
          <w:sz w:val="20"/>
          <w:szCs w:val="20"/>
          <w:color w:val="auto"/>
        </w:rPr>
      </w:pPr>
    </w:p>
    <w:p>
      <w:pPr>
        <w:ind w:right="200" w:firstLine="445"/>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118,258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118,767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14,668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bonus - mineral acreage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44,110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44,110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483,812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23,575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12,409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498,230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Operating (loss) income</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18,822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3,159,528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765,034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76,571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4,001,133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130,709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64,656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195,959</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320" w:hanging="332"/>
        <w:spacing w:after="0" w:line="312" w:lineRule="auto"/>
        <w:tabs>
          <w:tab w:leader="none" w:pos="256"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$87.8 million and $5.0 million for the exploration and production and midstream segments, respectively. Includes full-cost ceiling impairment of $324.0 million for the exploration and production segment. Also includes corporate depletion, depreciation and amortization expenses of $0.7 million.</w:t>
      </w:r>
    </w:p>
    <w:p>
      <w:pPr>
        <w:spacing w:after="0" w:line="43" w:lineRule="exact"/>
        <w:rPr>
          <w:rFonts w:ascii="Arial" w:cs="Arial" w:eastAsia="Arial" w:hAnsi="Arial"/>
          <w:sz w:val="13"/>
          <w:szCs w:val="13"/>
          <w:color w:val="auto"/>
        </w:rPr>
      </w:pPr>
    </w:p>
    <w:p>
      <w:pPr>
        <w:ind w:left="240" w:hanging="232"/>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$7.5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256"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$9.6 million attributable to land and seismic acquisition expenditures related to the exploration and production segment and $31.9 million in capital expenditures attributable to non-controlling interest in subsidiaries related to the midstream segment.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Consolidations and</w:t>
            </w: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2019</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209,563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211,060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(17,807)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14,359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141,514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(17,807)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164,915</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line="23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75,371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19,201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76,789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3,155,577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508,074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87,800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3,751,451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00" w:type="dxa"/>
            <w:vAlign w:val="bottom"/>
          </w:tcPr>
          <w:p>
            <w:pPr>
              <w:ind w:left="20"/>
              <w:spacing w:after="0" w:line="244"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166,532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41,707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209,639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520" w:hanging="332"/>
        <w:spacing w:after="0" w:line="293"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$75.7 million and $3.8 million for the exploration and production and midstream segments, respectively. Also includes corporate depletion, depreciation and amortization expenses of $0.6 million.</w:t>
      </w:r>
    </w:p>
    <w:p>
      <w:pPr>
        <w:spacing w:after="0" w:line="52" w:lineRule="exact"/>
        <w:rPr>
          <w:rFonts w:ascii="Arial" w:cs="Arial" w:eastAsia="Arial" w:hAnsi="Arial"/>
          <w:sz w:val="14"/>
          <w:szCs w:val="14"/>
          <w:color w:val="auto"/>
        </w:rPr>
      </w:pPr>
    </w:p>
    <w:p>
      <w:pPr>
        <w:ind w:left="240" w:hanging="232"/>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$8.3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256"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$8.2 million attributable to land and seismic acquisition expenditures related to the exploration and production segment and $24.2 million in capital expenditures attributable to non-controlling interest in subsidiaries related to the midstream segment.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315,053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316,681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(43,485)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bonus - mineral acreage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54,977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54,977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645,137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47,905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26,726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(43,485)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676,283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(255,361)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3,159,528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765,034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76,571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4,001,133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340,444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132,729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474,554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240" w:hanging="332"/>
        <w:spacing w:after="0" w:line="312" w:lineRule="auto"/>
        <w:tabs>
          <w:tab w:leader="none" w:pos="256"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$172.9 million and $9.8 million for the exploration and production and midstream segments, respectively. Includes full-cost ceiling impairment of $324.0 million for the exploration and production segment. Also includes corporate depletion, depreciation and amortization expenses of $1.4 million.</w:t>
      </w:r>
    </w:p>
    <w:p>
      <w:pPr>
        <w:spacing w:after="0" w:line="43" w:lineRule="exact"/>
        <w:rPr>
          <w:rFonts w:ascii="Arial" w:cs="Arial" w:eastAsia="Arial" w:hAnsi="Arial"/>
          <w:sz w:val="13"/>
          <w:szCs w:val="13"/>
          <w:color w:val="auto"/>
        </w:rPr>
      </w:pPr>
    </w:p>
    <w:p>
      <w:pPr>
        <w:ind w:left="240" w:hanging="232"/>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$16.8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80" w:hanging="332"/>
        <w:spacing w:after="0" w:line="273" w:lineRule="auto"/>
        <w:tabs>
          <w:tab w:leader="none" w:pos="25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$49.3 million attributable to land and seismic acquisition expenditures related to the exploration and production segment and $79.4 million in capital expenditures attributable to non-controlling interest in subsidiaries related to the midstream segment.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401,226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404,329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(36,223)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283,493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49,260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34,734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(36,223)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331,264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20"/>
              <w:spacing w:after="0" w:line="236"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3"/>
                <w:szCs w:val="23"/>
                <w:color w:val="auto"/>
                <w:vertAlign w:val="superscript"/>
              </w:rPr>
              <w:t>(2)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82,606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36,457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(34,734)</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84,329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3,155,577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508,074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87,800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3,751,451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tcPr>
          <w:p>
            <w:pPr>
              <w:ind w:left="20"/>
              <w:spacing w:after="0" w:line="244"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364,143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71,139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437,488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460" w:hanging="332"/>
        <w:spacing w:after="0" w:line="27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$148.3 million and $7.5 million for the exploration and production and midstream segments, respectively. Also includes corporate depletion, depreciation and amortization expenses of $1.2 million.</w:t>
      </w:r>
    </w:p>
    <w:p>
      <w:pPr>
        <w:spacing w:after="0" w:line="65" w:lineRule="exact"/>
        <w:rPr>
          <w:rFonts w:ascii="Arial" w:cs="Arial" w:eastAsia="Arial" w:hAnsi="Arial"/>
          <w:sz w:val="14"/>
          <w:szCs w:val="14"/>
          <w:color w:val="auto"/>
        </w:rPr>
      </w:pPr>
    </w:p>
    <w:p>
      <w:pPr>
        <w:ind w:left="240" w:hanging="232"/>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$15.8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80" w:hanging="332"/>
        <w:spacing w:after="0" w:line="27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$31.3 million attributable to land and seismic acquisition expenditures related to the exploration and production segment and $37.9 million in capital expenditures attributable to non-controlling interest in subsidiaries related to the midstream segment.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GUARANTORS</w:t>
      </w:r>
    </w:p>
    <w:p>
      <w:pPr>
        <w:spacing w:after="0" w:line="121"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June 30, 2020,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9"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13335</wp:posOffset>
            </wp:positionV>
            <wp:extent cx="57861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6120" cy="17145"/>
                    </a:xfrm>
                    <a:prstGeom prst="rect">
                      <a:avLst/>
                    </a:prstGeom>
                    <a:noFill/>
                  </pic:spPr>
                </pic:pic>
              </a:graphicData>
            </a:graphic>
          </wp:anchor>
        </w:drawing>
      </w:r>
    </w:p>
    <w:p>
      <w:pPr>
        <w:spacing w:after="0" w:line="2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ind w:left="320"/>
              <w:spacing w:after="0"/>
              <w:rPr>
                <w:sz w:val="20"/>
                <w:szCs w:val="20"/>
                <w:color w:val="auto"/>
              </w:rPr>
            </w:pPr>
            <w:r>
              <w:rPr>
                <w:rFonts w:ascii="Arial" w:cs="Arial" w:eastAsia="Arial" w:hAnsi="Arial"/>
                <w:sz w:val="14"/>
                <w:szCs w:val="14"/>
                <w:color w:val="auto"/>
              </w:rPr>
              <w:t>Intercompany receivable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1,600,300</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15,508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(1,615,808)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227,283</w:t>
            </w:r>
          </w:p>
        </w:tc>
        <w:tc>
          <w:tcPr>
            <w:tcW w:w="0" w:type="dxa"/>
            <w:vAlign w:val="bottom"/>
          </w:tcPr>
          <w:p>
            <w:pPr>
              <w:spacing w:after="0"/>
              <w:rPr>
                <w:sz w:val="1"/>
                <w:szCs w:val="1"/>
                <w:color w:val="auto"/>
              </w:rPr>
            </w:pPr>
          </w:p>
        </w:tc>
      </w:tr>
      <w:tr>
        <w:trPr>
          <w:trHeight w:val="197"/>
        </w:trPr>
        <w:tc>
          <w:tcPr>
            <w:tcW w:w="3280" w:type="dxa"/>
            <w:vAlign w:val="bottom"/>
          </w:tcPr>
          <w:p>
            <w:pPr>
              <w:ind w:left="320"/>
              <w:spacing w:after="0"/>
              <w:rPr>
                <w:sz w:val="20"/>
                <w:szCs w:val="20"/>
                <w:color w:val="auto"/>
              </w:rPr>
            </w:pPr>
            <w:r>
              <w:rPr>
                <w:rFonts w:ascii="Arial" w:cs="Arial" w:eastAsia="Arial" w:hAnsi="Arial"/>
                <w:sz w:val="14"/>
                <w:szCs w:val="14"/>
                <w:color w:val="auto"/>
              </w:rPr>
              <w:t>Net property and equipment</w:t>
            </w: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707,472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2,955,455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3,662,927</w:t>
            </w:r>
          </w:p>
        </w:tc>
        <w:tc>
          <w:tcPr>
            <w:tcW w:w="0" w:type="dxa"/>
            <w:vAlign w:val="bottom"/>
          </w:tcPr>
          <w:p>
            <w:pPr>
              <w:spacing w:after="0"/>
              <w:rPr>
                <w:sz w:val="1"/>
                <w:szCs w:val="1"/>
                <w:color w:val="auto"/>
              </w:rPr>
            </w:pPr>
          </w:p>
        </w:tc>
      </w:tr>
      <w:tr>
        <w:trPr>
          <w:trHeight w:val="208"/>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Investment in subsidiaries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2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Long-term assets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35,694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83,628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110,923</w:t>
            </w:r>
          </w:p>
        </w:tc>
        <w:tc>
          <w:tcPr>
            <w:tcW w:w="0" w:type="dxa"/>
            <w:vAlign w:val="bottom"/>
          </w:tcPr>
          <w:p>
            <w:pPr>
              <w:spacing w:after="0"/>
              <w:rPr>
                <w:sz w:val="1"/>
                <w:szCs w:val="1"/>
                <w:color w:val="auto"/>
              </w:rPr>
            </w:pPr>
          </w:p>
        </w:tc>
      </w:tr>
      <w:tr>
        <w:trPr>
          <w:trHeight w:val="221"/>
        </w:trPr>
        <w:tc>
          <w:tcPr>
            <w:tcW w:w="32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2,713,558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759,792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3,410,479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(2,882,696)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4,001,133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Intercompany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1,615,808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280" w:type="dxa"/>
            <w:vAlign w:val="bottom"/>
          </w:tcPr>
          <w:p>
            <w:pPr>
              <w:ind w:left="3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18,429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66,591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260,682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344,769</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unsecured notes payable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1,040,207</w:t>
            </w:r>
          </w:p>
        </w:tc>
        <w:tc>
          <w:tcPr>
            <w:tcW w:w="0" w:type="dxa"/>
            <w:vAlign w:val="bottom"/>
          </w:tcPr>
          <w:p>
            <w:pPr>
              <w:spacing w:after="0"/>
              <w:rPr>
                <w:sz w:val="1"/>
                <w:szCs w:val="1"/>
                <w:color w:val="auto"/>
              </w:rPr>
            </w:pPr>
          </w:p>
        </w:tc>
      </w:tr>
      <w:tr>
        <w:trPr>
          <w:trHeight w:val="196"/>
        </w:trPr>
        <w:tc>
          <w:tcPr>
            <w:tcW w:w="3280" w:type="dxa"/>
            <w:vAlign w:val="bottom"/>
          </w:tcPr>
          <w:p>
            <w:pPr>
              <w:ind w:left="32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333,316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463,342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797,656</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equity attributable to Matador Resources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Company</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1,643,832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185,216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1,070,647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(1,255,863)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1,643,832</w:t>
            </w:r>
          </w:p>
        </w:tc>
        <w:tc>
          <w:tcPr>
            <w:tcW w:w="0" w:type="dxa"/>
            <w:vAlign w:val="bottom"/>
          </w:tcPr>
          <w:p>
            <w:pPr>
              <w:spacing w:after="0"/>
              <w:rPr>
                <w:sz w:val="1"/>
                <w:szCs w:val="1"/>
                <w:color w:val="auto"/>
              </w:rPr>
            </w:pPr>
          </w:p>
        </w:tc>
      </w:tr>
      <w:tr>
        <w:trPr>
          <w:trHeight w:val="197"/>
        </w:trPr>
        <w:tc>
          <w:tcPr>
            <w:tcW w:w="3280" w:type="dxa"/>
            <w:vAlign w:val="bottom"/>
          </w:tcPr>
          <w:p>
            <w:pPr>
              <w:ind w:left="320"/>
              <w:spacing w:after="0"/>
              <w:rPr>
                <w:sz w:val="20"/>
                <w:szCs w:val="20"/>
                <w:color w:val="auto"/>
              </w:rPr>
            </w:pPr>
            <w:r>
              <w:rPr>
                <w:rFonts w:ascii="Arial" w:cs="Arial" w:eastAsia="Arial" w:hAnsi="Arial"/>
                <w:sz w:val="14"/>
                <w:szCs w:val="14"/>
                <w:color w:val="auto"/>
              </w:rPr>
              <w:t>Non-controlling interest in subsidiaries</w:t>
            </w: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174,669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174,669</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2,713,558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759,792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3,410,479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(2,882,696)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4,001,133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25" w:right="35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8375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Intercompany receivable</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1,578,133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jc w:val="center"/>
              <w:ind w:lef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29,217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(1,607,350)</w:t>
            </w:r>
          </w:p>
        </w:tc>
        <w:tc>
          <w:tcPr>
            <w:tcW w:w="4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assets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240,530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278,492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Net property and equipment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583,899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3,115,696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3,699,595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in subsidiaries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1,332,237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(1,476,934)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Long-term assets</w:t>
            </w:r>
          </w:p>
        </w:tc>
        <w:tc>
          <w:tcPr>
            <w:tcW w:w="3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3,072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99,049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91,589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Total assets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ind w:lef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654,121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3,599,972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4,069,676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LIABILITIES AND EQUITY</w:t>
            </w: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Intercompany payable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4"/>
            <w:shd w:val="clear" w:color="auto" w:fill="CCEEFF"/>
          </w:tcPr>
          <w:p>
            <w:pPr>
              <w:jc w:val="center"/>
              <w:ind w:left="68"/>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1,607,350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(1,607,350)</w:t>
            </w: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73,086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327,595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399,772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Senior unsecured notes payable</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1,039,416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Other long-term liabilities</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300,540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332,790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661,036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2"/>
              </w:rPr>
              <w:t>Total equity attributable to Matador Resources</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Company</w:t>
            </w: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144,697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1,332,237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(1,476,934)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1,833,654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 in subsidiaries</w:t>
            </w:r>
          </w:p>
        </w:tc>
        <w:tc>
          <w:tcPr>
            <w:tcW w:w="3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135,798</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135,798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Total liabilities and equity</w:t>
            </w:r>
          </w:p>
        </w:tc>
        <w:tc>
          <w:tcPr>
            <w:tcW w:w="3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2,910,399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654,121</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3,599,972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4,069,676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80" w:type="dxa"/>
            <w:vAlign w:val="bottom"/>
            <w:gridSpan w:val="19"/>
          </w:tcPr>
          <w:p>
            <w:pPr>
              <w:jc w:val="center"/>
              <w:ind w:right="62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19"/>
          </w:tcPr>
          <w:p>
            <w:pPr>
              <w:jc w:val="center"/>
              <w:ind w:right="600"/>
              <w:spacing w:after="0"/>
              <w:rPr>
                <w:sz w:val="20"/>
                <w:szCs w:val="20"/>
                <w:color w:val="auto"/>
              </w:rPr>
            </w:pPr>
            <w:r>
              <w:rPr>
                <w:rFonts w:ascii="Arial" w:cs="Arial" w:eastAsia="Arial" w:hAnsi="Arial"/>
                <w:sz w:val="14"/>
                <w:szCs w:val="14"/>
                <w:b w:val="1"/>
                <w:bCs w:val="1"/>
                <w:color w:val="auto"/>
                <w:w w:val="93"/>
              </w:rPr>
              <w:t>For the Three Months Ended June 30, 2020</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6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41,544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42,089</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(20,713)</w:t>
            </w:r>
          </w:p>
        </w:tc>
        <w:tc>
          <w:tcPr>
            <w:tcW w:w="40" w:type="dxa"/>
            <w:vAlign w:val="bottom"/>
            <w:shd w:val="clear" w:color="auto" w:fill="CCEEFF"/>
          </w:tcPr>
          <w:p>
            <w:pPr>
              <w:spacing w:after="0"/>
              <w:rPr>
                <w:sz w:val="17"/>
                <w:szCs w:val="17"/>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1,224</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23,190</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494,529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498,230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 (loss) income</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18,354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(452,440)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(435,310)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gridSpan w:val="2"/>
          </w:tcPr>
          <w:p>
            <w:pPr>
              <w:spacing w:after="0"/>
              <w:rPr>
                <w:sz w:val="20"/>
                <w:szCs w:val="20"/>
                <w:color w:val="auto"/>
              </w:rPr>
            </w:pPr>
            <w:r>
              <w:rPr>
                <w:rFonts w:ascii="Arial" w:cs="Arial" w:eastAsia="Arial" w:hAnsi="Arial"/>
                <w:sz w:val="14"/>
                <w:szCs w:val="14"/>
                <w:color w:val="auto"/>
              </w:rPr>
              <w:t>Net loss on asset sales and impairment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00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earnings in subsidiaries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437,793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(Loss) income before income taxes</w:t>
            </w:r>
          </w:p>
        </w:tc>
        <w:tc>
          <w:tcPr>
            <w:tcW w:w="3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(463,239)</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15,252</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(445,572)</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437,793</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(455,766)</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income tax benefit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00" w:type="dxa"/>
            <w:vAlign w:val="bottom"/>
            <w:gridSpan w:val="5"/>
          </w:tcPr>
          <w:p>
            <w:pPr>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subsidiaries</w:t>
            </w:r>
          </w:p>
        </w:tc>
        <w:tc>
          <w:tcPr>
            <w:tcW w:w="3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Net (loss) income attributable to Matador</w:t>
            </w:r>
          </w:p>
        </w:tc>
        <w:tc>
          <w:tcPr>
            <w:tcW w:w="50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(353,416)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7,779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(445,572)</w:t>
            </w:r>
          </w:p>
        </w:tc>
        <w:tc>
          <w:tcPr>
            <w:tcW w:w="2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437,793</w:t>
            </w:r>
          </w:p>
        </w:tc>
        <w:tc>
          <w:tcPr>
            <w:tcW w:w="40" w:type="dxa"/>
            <w:vAlign w:val="bottom"/>
            <w:shd w:val="clear" w:color="auto" w:fill="CCEEFF"/>
          </w:tcPr>
          <w:p>
            <w:pPr>
              <w:spacing w:after="0"/>
              <w:rPr>
                <w:sz w:val="12"/>
                <w:szCs w:val="12"/>
                <w:color w:val="auto"/>
              </w:rPr>
            </w:pP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(353,416)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Resources Company shareholders</w:t>
            </w:r>
          </w:p>
        </w:tc>
        <w:tc>
          <w:tcPr>
            <w:tcW w:w="500" w:type="dxa"/>
            <w:vAlign w:val="bottom"/>
            <w:gridSpan w:val="3"/>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4"/>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4"/>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4"/>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80" w:type="dxa"/>
            <w:vAlign w:val="bottom"/>
            <w:gridSpan w:val="19"/>
          </w:tcPr>
          <w:p>
            <w:pPr>
              <w:jc w:val="center"/>
              <w:ind w:right="62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19"/>
          </w:tcPr>
          <w:p>
            <w:pPr>
              <w:jc w:val="center"/>
              <w:ind w:right="600"/>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41,720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216,885</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(16,901)</w:t>
            </w:r>
          </w:p>
        </w:tc>
        <w:tc>
          <w:tcPr>
            <w:tcW w:w="40" w:type="dxa"/>
            <w:vAlign w:val="bottom"/>
            <w:shd w:val="clear" w:color="auto" w:fill="CCEEFF"/>
          </w:tcPr>
          <w:p>
            <w:pPr>
              <w:spacing w:after="0"/>
              <w:rPr>
                <w:sz w:val="17"/>
                <w:szCs w:val="17"/>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241,704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22,564</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158,351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164,915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 (loss) income</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58,534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76,789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spacing w:after="0"/>
              <w:rPr>
                <w:sz w:val="20"/>
                <w:szCs w:val="20"/>
                <w:color w:val="auto"/>
              </w:rPr>
            </w:pPr>
            <w:r>
              <w:rPr>
                <w:rFonts w:ascii="Arial" w:cs="Arial" w:eastAsia="Arial" w:hAnsi="Arial"/>
                <w:sz w:val="14"/>
                <w:szCs w:val="14"/>
                <w:color w:val="auto"/>
              </w:rPr>
              <w:t>Net loss on asset sales and impairment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in subsidiaries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ind w:left="300"/>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49,610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16,979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66,399</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(75,058)</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57,930</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income tax provision</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00" w:type="dxa"/>
            <w:vAlign w:val="bottom"/>
            <w:gridSpan w:val="5"/>
          </w:tcPr>
          <w:p>
            <w:pPr>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subsidiaries</w:t>
            </w:r>
          </w:p>
        </w:tc>
        <w:tc>
          <w:tcPr>
            <w:tcW w:w="3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9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w w:val="93"/>
              </w:rPr>
              <w:t>Net income attributable to Matador Resources</w:t>
            </w:r>
          </w:p>
        </w:tc>
        <w:tc>
          <w:tcPr>
            <w:tcW w:w="360" w:type="dxa"/>
            <w:vAlign w:val="bottom"/>
            <w:gridSpan w:val="2"/>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36,752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8,659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66,399</w:t>
            </w: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(75,058)</w:t>
            </w:r>
          </w:p>
        </w:tc>
        <w:tc>
          <w:tcPr>
            <w:tcW w:w="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36,752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Company shareholders</w:t>
            </w: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gridSpan w:val="3"/>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gridSpan w:val="3"/>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80" w:type="dxa"/>
            <w:vAlign w:val="bottom"/>
            <w:gridSpan w:val="19"/>
          </w:tcPr>
          <w:p>
            <w:pPr>
              <w:jc w:val="center"/>
              <w:ind w:right="62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w w:val="93"/>
              </w:rPr>
              <w:t>For the Six Months Ended June 30, 2020</w:t>
            </w: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500" w:type="dxa"/>
            <w:vAlign w:val="bottom"/>
            <w:tcBorders>
              <w:top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86,863</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389,776</w:t>
            </w: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(42,134)</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46,984</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669,288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(42,134)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(loss) income</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39,879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(279,512)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Net loss on asset sales and impairment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earnings in subsidiaries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(261,590)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244,077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tcPr>
          <w:p>
            <w:pPr>
              <w:ind w:left="320"/>
              <w:spacing w:after="0"/>
              <w:rPr>
                <w:sz w:val="20"/>
                <w:szCs w:val="20"/>
                <w:color w:val="auto"/>
              </w:rPr>
            </w:pPr>
            <w:r>
              <w:rPr>
                <w:rFonts w:ascii="Arial" w:cs="Arial" w:eastAsia="Arial" w:hAnsi="Arial"/>
                <w:sz w:val="14"/>
                <w:szCs w:val="14"/>
                <w:color w:val="auto"/>
              </w:rPr>
              <w:t>(Loss) income before income taxes</w:t>
            </w:r>
          </w:p>
        </w:tc>
        <w:tc>
          <w:tcPr>
            <w:tcW w:w="3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(297,553)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34,340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(261,590)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244,077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(280,726)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benefit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80" w:type="dxa"/>
            <w:vAlign w:val="bottom"/>
            <w:gridSpan w:val="4"/>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3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(16,827)</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80" w:type="dxa"/>
            <w:vAlign w:val="bottom"/>
            <w:shd w:val="clear" w:color="auto" w:fill="CCEEFF"/>
          </w:tcPr>
          <w:p>
            <w:pPr>
              <w:ind w:left="320"/>
              <w:spacing w:after="0" w:line="143" w:lineRule="exact"/>
              <w:rPr>
                <w:sz w:val="20"/>
                <w:szCs w:val="20"/>
                <w:color w:val="auto"/>
              </w:rPr>
            </w:pPr>
            <w:r>
              <w:rPr>
                <w:rFonts w:ascii="Arial" w:cs="Arial" w:eastAsia="Arial" w:hAnsi="Arial"/>
                <w:sz w:val="14"/>
                <w:szCs w:val="14"/>
                <w:color w:val="auto"/>
              </w:rPr>
              <w:t>Net (loss) income attributable to Matador</w:t>
            </w:r>
          </w:p>
        </w:tc>
        <w:tc>
          <w:tcPr>
            <w:tcW w:w="5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17,513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(261,590)</w:t>
            </w:r>
          </w:p>
        </w:tc>
        <w:tc>
          <w:tcPr>
            <w:tcW w:w="2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244,077</w:t>
            </w:r>
          </w:p>
        </w:tc>
        <w:tc>
          <w:tcPr>
            <w:tcW w:w="40" w:type="dxa"/>
            <w:vAlign w:val="bottom"/>
            <w:shd w:val="clear" w:color="auto" w:fill="CCEEFF"/>
          </w:tcPr>
          <w:p>
            <w:pPr>
              <w:spacing w:after="0"/>
              <w:rPr>
                <w:sz w:val="12"/>
                <w:szCs w:val="12"/>
                <w:color w:val="auto"/>
              </w:rPr>
            </w:pPr>
          </w:p>
        </w:tc>
        <w:tc>
          <w:tcPr>
            <w:tcW w:w="2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(227,687)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Resources Company shareholders</w:t>
            </w:r>
          </w:p>
        </w:tc>
        <w:tc>
          <w:tcPr>
            <w:tcW w:w="500" w:type="dxa"/>
            <w:vAlign w:val="bottom"/>
            <w:gridSpan w:val="3"/>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4"/>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4"/>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4"/>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180"/>
          </w:cols>
          <w:pgMar w:left="1360" w:top="171" w:right="135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5803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4"/>
                <w:szCs w:val="14"/>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8"/>
              </w:rPr>
              <w:t>Non-Guarantor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Entries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366,133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415,593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48,069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316,395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(35,136)</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(loss) income</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36,527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Net loss on asset sales and impairment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65,261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320"/>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31,650</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32,208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65,261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(81,687)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47,432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provision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80" w:type="dxa"/>
            <w:vAlign w:val="bottom"/>
            <w:gridSpan w:val="4"/>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(15,782)</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0" w:type="dxa"/>
            <w:vAlign w:val="bottom"/>
            <w:shd w:val="clear" w:color="auto" w:fill="CCEEFF"/>
          </w:tcPr>
          <w:p>
            <w:pPr>
              <w:ind w:left="320"/>
              <w:spacing w:after="0" w:line="143" w:lineRule="exact"/>
              <w:rPr>
                <w:sz w:val="20"/>
                <w:szCs w:val="20"/>
                <w:color w:val="auto"/>
              </w:rPr>
            </w:pPr>
            <w:r>
              <w:rPr>
                <w:rFonts w:ascii="Arial" w:cs="Arial" w:eastAsia="Arial" w:hAnsi="Arial"/>
                <w:sz w:val="14"/>
                <w:szCs w:val="14"/>
                <w:color w:val="auto"/>
                <w:w w:val="93"/>
              </w:rPr>
              <w:t>Net income attributable to Matador Resources</w:t>
            </w:r>
          </w:p>
        </w:tc>
        <w:tc>
          <w:tcPr>
            <w:tcW w:w="320" w:type="dxa"/>
            <w:vAlign w:val="bottom"/>
            <w:vMerge w:val="restart"/>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19,805</w:t>
            </w:r>
          </w:p>
        </w:tc>
        <w:tc>
          <w:tcPr>
            <w:tcW w:w="1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65,261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(81,687)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Company shareholders</w:t>
            </w: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auto"/>
            </w:tcBorders>
            <w:gridSpan w:val="2"/>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60" w:type="dxa"/>
            <w:vAlign w:val="bottom"/>
            <w:gridSpan w:val="15"/>
          </w:tcPr>
          <w:p>
            <w:pPr>
              <w:jc w:val="center"/>
              <w:ind w:right="740"/>
              <w:spacing w:after="0"/>
              <w:rPr>
                <w:sz w:val="20"/>
                <w:szCs w:val="20"/>
                <w:color w:val="auto"/>
              </w:rPr>
            </w:pPr>
            <w:r>
              <w:rPr>
                <w:rFonts w:ascii="Arial" w:cs="Arial" w:eastAsia="Arial" w:hAnsi="Arial"/>
                <w:sz w:val="14"/>
                <w:szCs w:val="14"/>
                <w:b w:val="1"/>
                <w:bCs w:val="1"/>
                <w:color w:val="auto"/>
                <w:w w:val="90"/>
              </w:rPr>
              <w:t>Condensed Consolidating Statement of Cash Flows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5"/>
          </w:tcPr>
          <w:p>
            <w:pPr>
              <w:jc w:val="center"/>
              <w:ind w:right="720"/>
              <w:spacing w:after="0"/>
              <w:rPr>
                <w:sz w:val="20"/>
                <w:szCs w:val="20"/>
                <w:color w:val="auto"/>
              </w:rPr>
            </w:pPr>
            <w:r>
              <w:rPr>
                <w:rFonts w:ascii="Arial" w:cs="Arial" w:eastAsia="Arial" w:hAnsi="Arial"/>
                <w:sz w:val="14"/>
                <w:szCs w:val="14"/>
                <w:b w:val="1"/>
                <w:bCs w:val="1"/>
                <w:color w:val="auto"/>
                <w:w w:val="93"/>
              </w:rPr>
              <w:t>For the Six Months Ended June 30, 2020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3"/>
                <w:szCs w:val="13"/>
                <w:color w:val="auto"/>
              </w:rPr>
            </w:pPr>
          </w:p>
        </w:tc>
        <w:tc>
          <w:tcPr>
            <w:tcW w:w="118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Entries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45,408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164,974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210,385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(124,180)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(334,509)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(458,761)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77,050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149,634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226,756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300"/>
              <w:spacing w:after="0"/>
              <w:rPr>
                <w:sz w:val="20"/>
                <w:szCs w:val="20"/>
                <w:color w:val="auto"/>
              </w:rPr>
            </w:pPr>
            <w:r>
              <w:rPr>
                <w:rFonts w:ascii="Arial" w:cs="Arial" w:eastAsia="Arial" w:hAnsi="Arial"/>
                <w:sz w:val="14"/>
                <w:szCs w:val="14"/>
                <w:color w:val="auto"/>
                <w:w w:val="90"/>
              </w:rPr>
              <w:t>Increase (decrease) in cash and restricted cash</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(19,901)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00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1"/>
              </w:rPr>
              <w:t>Cash and restricted cash at beginning of period</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24,656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40,443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65,128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300"/>
              <w:spacing w:after="0"/>
              <w:rPr>
                <w:sz w:val="20"/>
                <w:szCs w:val="20"/>
                <w:color w:val="auto"/>
              </w:rPr>
            </w:pPr>
            <w:r>
              <w:rPr>
                <w:rFonts w:ascii="Arial" w:cs="Arial" w:eastAsia="Arial" w:hAnsi="Arial"/>
                <w:sz w:val="14"/>
                <w:szCs w:val="14"/>
                <w:color w:val="auto"/>
              </w:rPr>
              <w:t>Cash and restricted cash at end of period</w:t>
            </w: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22,934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20,542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43,508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0" w:type="dxa"/>
            <w:vAlign w:val="bottom"/>
            <w:tcBorders>
              <w:top w:val="single" w:sz="8" w:color="auto"/>
              <w:bottom w:val="single" w:sz="8" w:color="auto"/>
            </w:tcBorders>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060" w:type="dxa"/>
            <w:vAlign w:val="bottom"/>
            <w:tcBorders>
              <w:top w:val="single" w:sz="8" w:color="auto"/>
              <w:bottom w:val="single" w:sz="8" w:color="auto"/>
            </w:tcBorders>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1080" w:type="dxa"/>
            <w:vAlign w:val="bottom"/>
            <w:tcBorders>
              <w:top w:val="single" w:sz="8" w:color="auto"/>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60" w:type="dxa"/>
            <w:vAlign w:val="bottom"/>
            <w:gridSpan w:val="15"/>
          </w:tcPr>
          <w:p>
            <w:pPr>
              <w:jc w:val="center"/>
              <w:ind w:right="740"/>
              <w:spacing w:after="0"/>
              <w:rPr>
                <w:sz w:val="20"/>
                <w:szCs w:val="20"/>
                <w:color w:val="auto"/>
              </w:rPr>
            </w:pPr>
            <w:r>
              <w:rPr>
                <w:rFonts w:ascii="Arial" w:cs="Arial" w:eastAsia="Arial" w:hAnsi="Arial"/>
                <w:sz w:val="14"/>
                <w:szCs w:val="14"/>
                <w:b w:val="1"/>
                <w:bCs w:val="1"/>
                <w:color w:val="auto"/>
                <w:w w:val="90"/>
              </w:rPr>
              <w:t>Condensed Consolidating Statement of Cash Flows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5"/>
          </w:tcPr>
          <w:p>
            <w:pPr>
              <w:jc w:val="center"/>
              <w:ind w:right="720"/>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20" w:type="dxa"/>
            <w:vAlign w:val="bottom"/>
          </w:tcPr>
          <w:p>
            <w:pPr>
              <w:spacing w:after="0"/>
              <w:rPr>
                <w:sz w:val="13"/>
                <w:szCs w:val="13"/>
                <w:color w:val="auto"/>
              </w:rPr>
            </w:pPr>
          </w:p>
        </w:tc>
        <w:tc>
          <w:tcPr>
            <w:tcW w:w="118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Entries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Net cash (used in) provided by operating activities</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143,340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194,497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(59,309)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(327,195)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(394,694)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13,584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179,201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200,975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300"/>
              <w:spacing w:after="0"/>
              <w:rPr>
                <w:sz w:val="20"/>
                <w:szCs w:val="20"/>
                <w:color w:val="auto"/>
              </w:rPr>
            </w:pPr>
            <w:r>
              <w:rPr>
                <w:rFonts w:ascii="Arial" w:cs="Arial" w:eastAsia="Arial" w:hAnsi="Arial"/>
                <w:sz w:val="14"/>
                <w:szCs w:val="14"/>
                <w:color w:val="auto"/>
                <w:w w:val="90"/>
              </w:rPr>
              <w:t>(Decrease) increase in cash and restricted cash</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5,541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00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1"/>
              </w:rPr>
              <w:t>Cash and restricted cash at beginning of period</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18,841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64,687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83,984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ind w:left="300"/>
              <w:spacing w:after="0"/>
              <w:rPr>
                <w:sz w:val="20"/>
                <w:szCs w:val="20"/>
                <w:color w:val="auto"/>
              </w:rPr>
            </w:pPr>
            <w:r>
              <w:rPr>
                <w:rFonts w:ascii="Arial" w:cs="Arial" w:eastAsia="Arial" w:hAnsi="Arial"/>
                <w:sz w:val="14"/>
                <w:szCs w:val="14"/>
                <w:color w:val="auto"/>
              </w:rPr>
              <w:t>Cash and restricted cash at end of period</w:t>
            </w:r>
          </w:p>
        </w:tc>
        <w:tc>
          <w:tcPr>
            <w:tcW w:w="4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24,382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60,033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84,762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80"/>
          </w:cols>
          <w:pgMar w:left="1360" w:top="171" w:right="1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2019 (the “Annual Report”) filed with the Securities and Exchange Commission (the “SEC”) on March 2, 2020, along with Management’s Discussion and Analysis of Financial Condition and Results of Operations contained in the Annual Report. The Annual Report is accessible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xml:space="preserve"> and on our website at </w:t>
      </w:r>
      <w:r>
        <w:rPr>
          <w:rFonts w:ascii="Arial" w:cs="Arial" w:eastAsia="Arial" w:hAnsi="Arial"/>
          <w:sz w:val="17"/>
          <w:szCs w:val="17"/>
          <w:i w:val="1"/>
          <w:iCs w:val="1"/>
          <w:u w:val="single" w:color="auto"/>
          <w:color w:val="auto"/>
        </w:rPr>
        <w:t>www.matadorresources.com</w:t>
      </w:r>
      <w:r>
        <w:rPr>
          <w:rFonts w:ascii="Arial" w:cs="Arial" w:eastAsia="Arial" w:hAnsi="Arial"/>
          <w:sz w:val="17"/>
          <w:szCs w:val="17"/>
          <w:i w:val="1"/>
          <w:iCs w:val="1"/>
          <w:color w:val="auto"/>
        </w:rPr>
        <w:t>. Our discussion and analysis includes forward-looking information that involves risks and uncertainties and should be read in conjunction with the “Risk Factors” sections of the Annual Report and our Quarterly Report on Form 10-Q for the quarter ended March 31, 2020 and the section entitled “Cautionary Note Regarding Forward-Looking Statements” below for information about the risks and uncertainties that could cause our actual results to be materially different than our forward-looking statements.</w:t>
      </w:r>
    </w:p>
    <w:p>
      <w:pPr>
        <w:spacing w:after="0" w:line="7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Quarterly Report, please see the “Glossary of Oil and Natural Gas Terms” included with the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4"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6"/>
          <w:szCs w:val="16"/>
          <w:color w:val="0A0A0A"/>
        </w:rPr>
        <w:t>general economic conditions;</w:t>
      </w:r>
      <w:r>
        <w:rPr>
          <w:rFonts w:ascii="Arial" w:cs="Arial" w:eastAsia="Arial" w:hAnsi="Arial"/>
          <w:sz w:val="16"/>
          <w:szCs w:val="16"/>
          <w:color w:val="auto"/>
        </w:rPr>
        <w:t xml:space="preserve"> </w:t>
      </w:r>
      <w:r>
        <w:rPr>
          <w:rFonts w:ascii="Arial" w:cs="Arial" w:eastAsia="Arial" w:hAnsi="Arial"/>
          <w:sz w:val="16"/>
          <w:szCs w:val="16"/>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San Mateo’s expansion of the Black River cryogenic natural gas processing plant, including the timing of the further expansion of such plant; the timing and operating results of the buildout by San Mateo of oil, natural gas and water gathering and transportation systems and the drilling of any additional salt water disposal wells, including in conjunction with the expansion of San Mateo’s services and assets into new areas in </w:t>
      </w:r>
      <w:r>
        <w:rPr>
          <w:rFonts w:ascii="Arial" w:cs="Arial" w:eastAsia="Arial" w:hAnsi="Arial"/>
          <w:sz w:val="16"/>
          <w:szCs w:val="16"/>
          <w:color w:val="000000"/>
        </w:rPr>
        <w:t>Eddy County, New Mexico</w:t>
      </w:r>
      <w:r>
        <w:rPr>
          <w:rFonts w:ascii="Arial" w:cs="Arial" w:eastAsia="Arial" w:hAnsi="Arial"/>
          <w:sz w:val="16"/>
          <w:szCs w:val="16"/>
          <w:color w:val="0A0A0A"/>
        </w:rPr>
        <w:t xml:space="preserve">; </w:t>
      </w:r>
      <w:r>
        <w:rPr>
          <w:rFonts w:ascii="Arial" w:cs="Arial" w:eastAsia="Arial" w:hAnsi="Arial"/>
          <w:sz w:val="16"/>
          <w:szCs w:val="16"/>
          <w:color w:val="000000"/>
        </w:rPr>
        <w:t>and the other factors discussed below and elsewhere in this Quarterly Report and in other documents</w:t>
      </w:r>
      <w:r>
        <w:rPr>
          <w:rFonts w:ascii="Arial" w:cs="Arial" w:eastAsia="Arial" w:hAnsi="Arial"/>
          <w:sz w:val="16"/>
          <w:szCs w:val="16"/>
          <w:color w:val="0A0A0A"/>
        </w:rPr>
        <w:t xml:space="preserve"> </w:t>
      </w:r>
      <w:r>
        <w:rPr>
          <w:rFonts w:ascii="Arial" w:cs="Arial" w:eastAsia="Arial" w:hAnsi="Arial"/>
          <w:sz w:val="16"/>
          <w:szCs w:val="16"/>
          <w:color w:val="000000"/>
        </w:rPr>
        <w:t>that we file with or furnish to the SEC, all of which are difficult to predict. Forward-looking statements may include statements about:</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estimated future reserves and the present value thereof, including whether or to what extent a full-cost ceiling impairment could be realized;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 and demand of oil, natural gas and natural gas liquids;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natural gas and natural gas liquids prices, including our realized prices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and expansion of its Black River cryogenic natural gas processing plant and the drilling of additional salt water disposal wells;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COVID-19 on the oil and natural gas industry and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plans, objectives, expectations and intentions contained in this Quarterly Report or in our other filings with the SEC that are not historical.</w:t>
      </w:r>
    </w:p>
    <w:p>
      <w:pPr>
        <w:spacing w:after="0" w:line="126" w:lineRule="exact"/>
        <w:rPr>
          <w:sz w:val="20"/>
          <w:szCs w:val="20"/>
          <w:color w:val="auto"/>
        </w:rPr>
      </w:pPr>
    </w:p>
    <w:p>
      <w:pPr>
        <w:ind w:right="60" w:firstLine="445"/>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Highlights</w:t>
      </w:r>
    </w:p>
    <w:p>
      <w:pPr>
        <w:spacing w:after="0" w:line="11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For the three months ended June 30, 2020, our total oil equivalent production was 6.7 million BOE, and our average daily oil equivalent production was 73,300 BOE per day, of which 43,100 Bbl per day, or 59%, was oil and 181.4 MMcf per day, or 41%, was natural gas. Our oil production of 3.9 million Bbl for the three months ended June 30, 2020 increased 17% year-over-year from 3.3 million Bbl for the three months ended June 30, 2019. Our natural gas production of 16.5 Bcf for the three months ended June 30, 2020 increased 23% year-over-year from 13.4 Bcf for the three months ended June 30, 2019. For the six months ended June 30, 2020, our total oil equivalent production was 13.1 million BOE, and our average daily oil equivalent production was 72,200 BOE per day, of which 41,900 Bbl per day, or 58%, was oil and 182.3 MMcf per day, or 42%, was natural gas. Our oil production of 7.6 million Bbl for the six months ended June 30, 2020 increased 18% year-over-year from 6.5 million Bbl for the six months ended June 30, 2019. Our natural gas production of 33.2 Bcf for the six months ended June 30, 2020 increased 22% year-over-year from 27.1 Bcf for the six months ended June 30, 2019.</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For the second quarter of 2020, we reported a net loss attributable to Matador shareholders of approximately $353.4 million, or $3.04 per diluted common share, on a generally accepted accounting principles in the United States (“GAAP”) basis, as compared to net income attributable to Matador shareholders of $36.8 million, or $0.31 per diluted common share, for the second quarter of 2019. For the second quarter of 2020, our Adjusted EBITDA attributable to Matador shareholders (“Adjusted EBITDA”), a non-GAAP financial measure, was $107.6 million, as compared to Adjusted EBITDA of $144.1 million during the second quarter of 2019. For a definition of Adjusted EBITDA and a reconciliation of Adjusted EBITDA to our net income (loss) and net cash provided by operating activities, see “— Liquidity and Capital Resources — Non-GAAP Financial Measures.” For more information regarding our financial results for the second quarter of 2020, see “— Results of Operations” below.</w:t>
      </w:r>
    </w:p>
    <w:p>
      <w:pPr>
        <w:spacing w:after="0" w:line="6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For the six months ended June 30, 2020, we reported a net loss attributable to Matador shareholders of approximately $227.7 million, or $1.96 per diluted common share, on a GAAP basis, as compared to net income attributable to Matador shareholders of $19.8 million, or $0.17 per diluted common share, for the six months ended June 30, 2019. For the six months ended June 30, 2020, our Adjusted EBITDA, a non-GAAP financial measure, was $248.2 million, as compared to Adjusted EBITDA of $268.9 million during the six months ended June 30, 2019. For a definition of Adjusted EBITDA and a reconciliation of Adjusted EBITDA to our net income (loss) and net cash provided by operating activities, see “— Liquidity and Capital Resources — Non-GAAP Financial Measures.” For more information regarding our financial results for the six months ended June 30, 2020, see “— Results of Operations”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360" w:firstLine="405"/>
        <w:spacing w:after="0" w:line="293" w:lineRule="auto"/>
        <w:rPr>
          <w:sz w:val="20"/>
          <w:szCs w:val="20"/>
          <w:color w:val="auto"/>
        </w:rPr>
      </w:pPr>
      <w:r>
        <w:rPr>
          <w:rFonts w:ascii="Arial" w:cs="Arial" w:eastAsia="Arial" w:hAnsi="Arial"/>
          <w:sz w:val="16"/>
          <w:szCs w:val="16"/>
          <w:color w:val="auto"/>
        </w:rPr>
        <w:t>During the first half of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the Organization of Petroleum Exporting Countries and Russia (“OPEC+”) to agree on coordinated production cuts at their March 6, 2020 meetings in Vienna, Austria. Primarily as a result of these unexpected events and the resulting declines in oil prices, we significantly modified our 2020 operational plan.</w:t>
      </w:r>
    </w:p>
    <w:p>
      <w:pPr>
        <w:spacing w:after="0" w:line="56"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As a result of the events noted above, however, we released (i) one operated drilling rig from our Wolf asset area late in the first quarter of 2020, (ii) a second operated drilling rig from the Stebbins area and surrounding leaseholds in the southern portion of the Arrowhead asset area (the “Greater Stebbins Area”) in late April 2020 and (iii) a third operated drilling rig from our Rustler Breaks asset area in late June 2020. We expect to operate three drilling rigs in the Delaware Basin throughout the remainder of 2020. Two of these rigs are anticipated to operate in our Stateline asset area, and the third rig is expected to operate primarily in the Rustler Breaks and Antelope Ridge asset areas.</w:t>
      </w:r>
    </w:p>
    <w:p>
      <w:pPr>
        <w:spacing w:after="0" w:line="5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completed and turned to sales a total of 13 gross (8.3 net) wells in the Delaware Basin during the second quarter of 2020, including 11 gross (8.3 net) operated horizontal wells and two gross (less than 0.1 net) non-operated horizontal wells. During the second quarter of 2020, we completed and turned to sales a total of three gross (1.0 net) wells in the Antelope Ridge asset area, including one gross (1.0 net) operated well and two gross (less than 0.1 net) non-operated wells. The one gross operated well turned to sales in the Antelope Ridge asset area was a Wolfcamp A completion. In the Rustler Breaks asset area, we began producing oil and natural gas from a total of five gross (2.6 net) operated wells, of which three were Wolfcamp A completions and two were Wolfcamp B completions. In the Wolf and Jackson Trust asset areas, we began producing oil and natural gas from five gross (4.7 net) operated wells during the second quarter of 2020, of which three were Second Bone Spring completions, one was a Third Bone Spring Carbonate completion and one was a Wolfcamp A completion.</w:t>
      </w:r>
    </w:p>
    <w:p>
      <w:pPr>
        <w:spacing w:after="0" w:line="84"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Our average daily oil equivalent production in the Delaware Basin for the second quarter of 2020 was 66,000 BOE per day, consisting of 41,500 Bbl of oil per day and 146.9 MMcf of natural gas per day, a 27% increase from production of 51,800 BOE per day, consisting of 32,800 Bbl of oil per day and 113.5 MMcf of natural gas per day, in the second quarter of 2019. The Delaware Basin contributed approximately 96% of our daily oil production and approximately 81% of our daily natural gas production in the second quarter of 2020, as compared to approximately 89% of our daily oil production and approximately 77% of our daily natural gas production in the second quarter of 2019.</w:t>
      </w:r>
    </w:p>
    <w:p>
      <w:pPr>
        <w:spacing w:after="0" w:line="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During the second quarter of 2020, we did not complete and turn to sales any operated or non-operated wells on our leasehold properties in the Eagle Ford shale play in South Texas or in the Haynesville shale and Cotton Valley plays in Northwest Louisiana.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During April 2020, we restructured a portion of our then-existing 2020 West Texas Intermediate (“WTI”) oil derivative financial instruments, providing additional revenue protection should oil prices decline again to depressed levels, such as those experienced late in the first quarter and early in the second quarter of 2020, for the remainder of 2020 or should further market disruptions occur. As a result of these modifications, we almost doubled our oil volumes hedged for the period from April through December 2020. These restructured derivative financial instruments included approximately 7.6 million Bbl of fixed-price oil swaps at a weighted average price of approximately $35 per Bbl and 2.3 million Bbl of oil collars with a weighted average floor price of approximately $48 per Bbl and a weighted average ceiling price of approximately $66 per Bbl. We also had approximately 0.4 million Bbl in oil put options, which represent options to sell at a specified exercise price, at a weighted average price of approximately $48 per Bbl for the period from April through June 2020. The Company recorded $44.1 million in realized gains on derivatives during the second quarter of 2020.</w:t>
      </w:r>
    </w:p>
    <w:p>
      <w:pPr>
        <w:spacing w:after="0" w:line="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during the second quarter of 2020, we added approximately 2.0 million Bbl of oil swaps at a weighted average price of approximately $35 per Bbl and 2.4 million Bbl of oil costless collars with a weighted average floor price of approximately $35 per Bbl and a weighted average ceiling price of approximately $46 per Bbl for 2021. We also added natural gas collars for November and December 2020 for approximately 3.2 million MMBtu and for the first quarter of 2021 for approximately 4.8 million MMBtu, each with a weighted average floor price of approximately $2.52 per MMBtu and a weighted average ceiling price of approximately $3.71 per MMBtu.</w:t>
      </w:r>
    </w:p>
    <w:p>
      <w:pPr>
        <w:spacing w:after="0" w:line="8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See Note 7 to the interim unaudited condensed consolidated financial statements to this Quarterly Report for a summary of our open derivative financial instruments at June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 accounting pronouncements that are expected to have a material impact on our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6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Oil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94,174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189,085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263,759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343,288</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24,593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52,922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61,041</w:t>
            </w:r>
          </w:p>
        </w:tc>
      </w:tr>
      <w:tr>
        <w:trPr>
          <w:trHeight w:val="237"/>
        </w:trPr>
        <w:tc>
          <w:tcPr>
            <w:tcW w:w="6480" w:type="dxa"/>
            <w:vAlign w:val="bottom"/>
          </w:tcPr>
          <w:p>
            <w:pPr>
              <w:ind w:left="660"/>
              <w:spacing w:after="0"/>
              <w:rPr>
                <w:sz w:val="20"/>
                <w:szCs w:val="20"/>
                <w:color w:val="auto"/>
              </w:rPr>
            </w:pPr>
            <w:r>
              <w:rPr>
                <w:rFonts w:ascii="Arial" w:cs="Arial" w:eastAsia="Arial" w:hAnsi="Arial"/>
                <w:sz w:val="18"/>
                <w:szCs w:val="18"/>
                <w:color w:val="auto"/>
              </w:rPr>
              <w:t>Total oil and natural gas revenues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118,767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211,060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316,681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8"/>
              </w:rPr>
              <w:t>404,329</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Third-party 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30,498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26,197</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24,525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20,194</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bonus - mineral acreage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44,110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54,977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4,435</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(39,562)</w:t>
            </w:r>
          </w:p>
        </w:tc>
      </w:tr>
      <w:tr>
        <w:trPr>
          <w:trHeight w:val="237"/>
        </w:trPr>
        <w:tc>
          <w:tcPr>
            <w:tcW w:w="6480" w:type="dxa"/>
            <w:vAlign w:val="bottom"/>
          </w:tcPr>
          <w:p>
            <w:pPr>
              <w:ind w:left="11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62,920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241,704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434,505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8"/>
              </w:rPr>
              <w:t>415,593</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6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6480" w:type="dxa"/>
            <w:vAlign w:val="bottom"/>
          </w:tcPr>
          <w:p>
            <w:pPr>
              <w:ind w:left="360"/>
              <w:spacing w:after="0"/>
              <w:rPr>
                <w:sz w:val="20"/>
                <w:szCs w:val="20"/>
                <w:color w:val="auto"/>
              </w:rPr>
            </w:pPr>
            <w:r>
              <w:rPr>
                <w:rFonts w:ascii="Arial" w:cs="Arial" w:eastAsia="Arial" w:hAnsi="Arial"/>
                <w:sz w:val="18"/>
                <w:szCs w:val="18"/>
                <w:color w:val="auto"/>
              </w:rPr>
              <w:t>Oil (MBbl)</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6,452</w:t>
            </w:r>
          </w:p>
        </w:tc>
      </w:tr>
      <w:tr>
        <w:trPr>
          <w:trHeight w:val="27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(Bcf)</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r>
      <w:tr>
        <w:trPr>
          <w:trHeight w:val="270"/>
        </w:trPr>
        <w:tc>
          <w:tcPr>
            <w:tcW w:w="6480" w:type="dxa"/>
            <w:vAlign w:val="bottom"/>
          </w:tcPr>
          <w:p>
            <w:pPr>
              <w:ind w:left="760"/>
              <w:spacing w:after="0"/>
              <w:rPr>
                <w:sz w:val="20"/>
                <w:szCs w:val="20"/>
                <w:color w:val="auto"/>
              </w:rPr>
            </w:pPr>
            <w:r>
              <w:rPr>
                <w:rFonts w:ascii="Arial" w:cs="Arial" w:eastAsia="Arial" w:hAnsi="Arial"/>
                <w:sz w:val="18"/>
                <w:szCs w:val="18"/>
                <w:color w:val="auto"/>
              </w:rPr>
              <w:t>Total oil equivalent (MBOE)</w:t>
            </w:r>
            <w:r>
              <w:rPr>
                <w:rFonts w:ascii="Arial" w:cs="Arial" w:eastAsia="Arial" w:hAnsi="Arial"/>
                <w:sz w:val="23"/>
                <w:szCs w:val="23"/>
                <w:color w:val="auto"/>
                <w:vertAlign w:val="superscript"/>
              </w:rPr>
              <w:t>(4)</w:t>
            </w:r>
          </w:p>
        </w:tc>
        <w:tc>
          <w:tcPr>
            <w:tcW w:w="20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13,146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10,972</w:t>
            </w:r>
          </w:p>
        </w:tc>
      </w:tr>
      <w:tr>
        <w:trPr>
          <w:trHeight w:val="270"/>
        </w:trPr>
        <w:tc>
          <w:tcPr>
            <w:tcW w:w="6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Average daily production (BOE/d)</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73,302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61,290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72,232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60,619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Oil, without realized derivatives (per Bbl)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53.20</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Oil, with realized derivatives (per Bbl)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53.91</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Natural gas, without realized derivatives (per Mcf)</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Natural gas, with realized derivatives (per Mcf)</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2.25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260" w:hanging="332"/>
        <w:spacing w:after="0" w:line="273"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One thousand Bbl of oil.</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One thousand Bbl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2020 as Compared to Three Months Ended June 30, 2019</w:t>
      </w:r>
    </w:p>
    <w:p>
      <w:pPr>
        <w:spacing w:after="0" w:line="11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decreased $92.3 million, or 44%, to $118.8 million for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2020, as compared to $211.1 million for the three months ended June 30, 2019. Our oil revenues decreased $94.9 million, or 50%, to $94.2 million for the three months ended June 30, 2020, as compared to $189.1 million for the three months ended June 30, 2019. The decrease in oil revenues resulted from a 57% decrease in the weighted average oil price realized for the three months ended June 30, 2020 to $24.03 per Bbl, as compared to $56.51 per Bbl for the three months ended June 30, 2019. This decrease in oil revenues was partially offset by the 17% increase in oil production to 3.9 million Bbl for the three months ended June 30, 2020, as compared to 3.3 million Bbl for the three months ended June 30, 2019. The increase in oil production was primarily attributable to our ongoing delineation and development drilling activities in the Delaware Basin. Our natural gas revenues increased by $2.6 million, or 12%, to $24.6 million for the three months ended June 30, 2020, as compared to $22.0 million for the three months ended June 30, 2019. The increase in natural gas revenues resulted from a 23% increase in our natural gas production to 16.5 Bcf for the three months ended June 30, 2020, as compared to 13.4 Bcf for the three months ended June 30, 2019. The increase in natural gas production was primarily attributable to our ongoing delineation and development drilling activities in the Delaware Basin as well as from significant volumes of natural gas production associated with two non-operated Haynesville shale wells completed and placed on production during the third quarter of 2019. The increase in natural gas revenues was partially offset by a 9% decrease in the weighted average natural gas price realized for the three months ended June 30, 2020 to $1.49 per Mcf, as compared to $1.64 per Mcf for the three months ended June 30, 2019.</w:t>
      </w:r>
    </w:p>
    <w:p>
      <w:pPr>
        <w:spacing w:after="0" w:line="76"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$0.3 million, or 2%, to $14.7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as compared to $14.4 million for the three months ended June 30, 2019. Third-party midstream services revenues are those revenues from midstream operations related to third parties, including working interest owners in our operated wells. This increase was primarily attributable to an increase in our third-party oil gathering and transportation revenues to $2.1 million for the three months ended June 30, 2020, as compared to $1.6 million for the three months ended June 30, 2019, which was partially offset by a decrease in our third-party natural gas gathering, transportation and processing revenues to approximately $6.3 million for the three months ended June 30, 2020, as compared to $6.5 million for the three months ended June 30, 2019.</w:t>
      </w:r>
    </w:p>
    <w:p>
      <w:pPr>
        <w:spacing w:after="0" w:line="87"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i w:val="1"/>
          <w:iCs w:val="1"/>
          <w:color w:val="auto"/>
        </w:rPr>
        <w:t xml:space="preserve">Sales of purchased natural gas. </w:t>
      </w:r>
      <w:r>
        <w:rPr>
          <w:rFonts w:ascii="Arial" w:cs="Arial" w:eastAsia="Arial" w:hAnsi="Arial"/>
          <w:sz w:val="16"/>
          <w:szCs w:val="16"/>
          <w:color w:val="auto"/>
        </w:rPr>
        <w:t>Our sales of purchased natural gas increased $5.0 million, or 56%, to $14.0 million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as compared to $9.0 million for the three months ended June 30, 2019. This increase was primarily the result of an increase in natural gas volumes sold during the three months ended June 30, 2020. Sales of purchased natural gas reflect those natural gas purchase transactions that we periodically enter into with third parties whereby we purchase natural gas and (i) subsequently sell the natural gas to other purchasers or (ii) process the natural gas at San Mateo’s Black River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 of operations.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Lease bonus - mineral acreage. </w:t>
      </w:r>
      <w:r>
        <w:rPr>
          <w:rFonts w:ascii="Arial" w:cs="Arial" w:eastAsia="Arial" w:hAnsi="Arial"/>
          <w:sz w:val="16"/>
          <w:szCs w:val="16"/>
          <w:color w:val="auto"/>
        </w:rPr>
        <w:t>Our lease bonus - mineral acreage revenues were $4.1 million for the three months ended June 30, 2020. Lease bonus</w:t>
      </w:r>
    </w:p>
    <w:p>
      <w:pPr>
        <w:spacing w:after="0" w:line="46" w:lineRule="exact"/>
        <w:rPr>
          <w:sz w:val="20"/>
          <w:szCs w:val="20"/>
          <w:color w:val="auto"/>
        </w:rPr>
      </w:pPr>
    </w:p>
    <w:p>
      <w:pPr>
        <w:ind w:firstLine="8"/>
        <w:spacing w:after="0" w:line="290" w:lineRule="auto"/>
        <w:tabs>
          <w:tab w:leader="none" w:pos="1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mineral acreage revenues reflect the payments we receive to enter into or extend leases to third-party lessees to develop the oil and natural gas attributable to certain of our mineral interests. We received no lease bonuses on our mineral acreage for the three months ended June 30, 2019.</w:t>
      </w:r>
    </w:p>
    <w:p>
      <w:pPr>
        <w:spacing w:after="0" w:line="53"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i w:val="1"/>
          <w:iCs w:val="1"/>
          <w:color w:val="auto"/>
        </w:rPr>
        <w:t xml:space="preserve">Realized gain on derivatives. </w:t>
      </w:r>
      <w:r>
        <w:rPr>
          <w:rFonts w:ascii="Arial" w:cs="Arial" w:eastAsia="Arial" w:hAnsi="Arial"/>
          <w:sz w:val="16"/>
          <w:szCs w:val="16"/>
          <w:color w:val="auto"/>
        </w:rPr>
        <w:t>Our realized net gain on derivatives was $44.1 million for the three months ended June 30, 2020,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net gain of $1.2 million for the three months ended June 30, 2019. We realized a net gain of $41.9 million related to our oil costless collar, put and swap contracts for the three months ended June 30, 2020, resulting from oil prices that were below the floor prices of certain of our oil costless collar contracts and below the strike prices of certain of our oil put and swap contracts. We realized a net gain of $2.2 million related to our oil basis swap contracts for the three months ended June 30, 2020, resulting from oil basis prices that were below the fixed prices of certain of our oil basis swap contracts. We realized an average gain on our oil derivatives contracts of approximately $11.25 per Bbl produced during the three months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2020, as compared to an average gain of approximately $0.35 per Bbl produced during the three months ended June 30, 2019.</w:t>
      </w:r>
    </w:p>
    <w:p>
      <w:pPr>
        <w:spacing w:after="0" w:line="129"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Unrealized (loss) gain on derivatives. </w:t>
      </w:r>
      <w:r>
        <w:rPr>
          <w:rFonts w:ascii="Arial" w:cs="Arial" w:eastAsia="Arial" w:hAnsi="Arial"/>
          <w:sz w:val="17"/>
          <w:szCs w:val="17"/>
          <w:color w:val="auto"/>
        </w:rPr>
        <w:t>Our unrealized net loss on derivatives was $132.7 million for the three months ended June 30,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an unrealized net gain of $6.2 million for the three months ended June 30, 2019. During the three months ended June 30, 2020, the net fair value of our open oil and natural gas derivative contracts decreased to a net liability of $0.1 million from a net asset of $132.6 million at March 31, 2020, resulting in an unrealized loss on derivatives of $132.7 million for the three months ended June 30, 2020. During the three months ended June 30, 2019, the net fair value of our open oil and natural gas derivative contracts increased to a net asset of $10.3 million from a net asset of $4.1 million at March 31, 2019, resulting in an unrealized gain on derivatives of $6.2 million for the three months ended June 30, 2019.</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Six Months Ended June 30, 2020 as Compared to Six Months Ended June 30, 2019</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decreased $87.6 million, or 22%, to $316.7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as compared to $404.3 million for the six months ended June 30, 2019. Our oil revenues decreased $79.5 million, or 23%, to $263.8 million for the six months ended June 30, 2020, as compared to $343.3 million for the six months ended June 30, 2019. This decrease in oil revenues resulted from a 35% decrease in the weighted average oil price realized for the six months ended June 30, 2020 to $34.63 per Bbl, as compared to $53.20 per Bbl for the six months ended June 30, 2019. This decrease was partially offset by the 18% increase in our oil production to 7.6 million Bbl for the six months ended June 30, 2020, as compared to 6.5 million Bbl for the six months ended June 30, 2019. The increase in oil production was primarily attributable to our ongoing delineation and development drilling activities in the Delaware Basin. Our natural gas revenues decreased by $8.1 million, or 13%, to $52.9 million for the six months ended June 30, 2020, as compared to $61.0 million for the six months ended June 30, 2019. The decrease in natural gas revenues resulted from a 29% decrease in the weighted average natural gas price realized for the six months ended June 30, 2020 to $1.60 per Mcf, as compared to $2.25 per Mcf for the six months ended June 30, 2019. This decrease was partially offset by the 22% increase in our natural gas production to 33.2 Bcf for the six months ended June 30, 2020, as compared to 27.1 Bcf for the six months ended June 30, 2019. The increase in natural gas production was primarily attributable to our ongoing delineation and development drilling activities in the Delaware Basin as well as from two non-operated Haynesville shale wells completed and placed on production during the third quarter of 2019.</w:t>
      </w:r>
    </w:p>
    <w:p>
      <w:pPr>
        <w:spacing w:after="0" w:line="6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$4.3 million, or 16%, to $30.5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as compared to $26.2 million for the six months ended June 30, 2019. This increase was primarily attributable to (i) an increase in natural gas gathering, transportation and processing revenues to approximately $13.4 million for the six months ended June 30, 2020, as compared to $11.0 million for the six months ended June 30, 2019, (ii) an increase in our third-party salt water gathering and disposal revenues to approximately $12.9 million for the six months ended June 30, 2020, as compared to approximately $12.0 million for the six months ended June 30, 2019, and (iii) an increase in our third-party oil gathering and transportation revenues to approximately $4.2 million for the six months ended June 30, 2020, as compared to $3.2 million for the six months ended June 30, 2019.</w:t>
      </w:r>
    </w:p>
    <w:p>
      <w:pPr>
        <w:spacing w:after="0" w:line="6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Our sales of purchased natural gas increased $4.3 million, or 21%, to $24.5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$20.2 million for the six months ended June 30, 2019. This increase was primarily the result of an increase in natural gas volumes sold during the six months ended June 30, 2020.</w:t>
      </w:r>
    </w:p>
    <w:p>
      <w:pPr>
        <w:spacing w:after="0" w:line="7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i w:val="1"/>
          <w:iCs w:val="1"/>
          <w:color w:val="auto"/>
        </w:rPr>
        <w:t xml:space="preserve">Lease bonus - mineral acreage. </w:t>
      </w:r>
      <w:r>
        <w:rPr>
          <w:rFonts w:ascii="Arial" w:cs="Arial" w:eastAsia="Arial" w:hAnsi="Arial"/>
          <w:sz w:val="18"/>
          <w:szCs w:val="18"/>
          <w:color w:val="auto"/>
        </w:rPr>
        <w:t>Our lease bonus - mineral acreage revenues were $4.1 million for the six months ended June 30, 2020. We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no lease bonuses on our mineral acreage for the six months ended June 30, 2019.</w:t>
      </w:r>
    </w:p>
    <w:p>
      <w:pPr>
        <w:spacing w:after="0" w:line="6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i w:val="1"/>
          <w:iCs w:val="1"/>
          <w:color w:val="auto"/>
        </w:rPr>
        <w:t xml:space="preserve">Realized gain on derivatives. </w:t>
      </w:r>
      <w:r>
        <w:rPr>
          <w:rFonts w:ascii="Arial" w:cs="Arial" w:eastAsia="Arial" w:hAnsi="Arial"/>
          <w:sz w:val="17"/>
          <w:szCs w:val="17"/>
          <w:color w:val="auto"/>
        </w:rPr>
        <w:t>Our realized net gain on derivatives was $55.0 million for the six months ended June 30, 2020, as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net gain of $4.4 million for the six months ended June 30, 2019. We realized a net gain of $53.4 million related to our oil costless collar, put and swap contracts for the six months ended June 30, 2020, resulting from oil prices that were below the floor prices of certain of our oil costless collar contracts and below the strike prices of certain of our oil put and swap contracts. We realized a net gain of $1.5 million related to our oil basis swap contracts for the six months ended June 30, 2020, resulting from oil basis prices that were below the fixed prices of certain of our oil basis swap contracts. We realized an average gain on our oil derivatives of approximately $7.22 per Bbl produced during the six months ended June 30, 2020, as compared to an average gain of $0.71 per Bbl produced during the six months ended June 30, 2019.</w:t>
      </w:r>
    </w:p>
    <w:p>
      <w:pPr>
        <w:spacing w:after="0" w:line="6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i w:val="1"/>
          <w:iCs w:val="1"/>
          <w:color w:val="auto"/>
        </w:rPr>
        <w:t xml:space="preserve">Unrealized (loss) gain on derivatives. </w:t>
      </w:r>
      <w:r>
        <w:rPr>
          <w:rFonts w:ascii="Arial" w:cs="Arial" w:eastAsia="Arial" w:hAnsi="Arial"/>
          <w:sz w:val="16"/>
          <w:szCs w:val="16"/>
          <w:color w:val="auto"/>
        </w:rPr>
        <w:t>Our unrealized net gain on derivatives was $3.8 million for the six months ended June 30,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unrealized net loss of $39.6 million for the six months ended June 30, 2019. During the period from December 31, 2019 through June 30, 2020, the aggregate net fair value of our open oil and natural gas derivative contracts increased to a net liability of approximately $0.1 million from a net liability of approximately $3.9 million, resulting in an unrealized gain on derivatives of approximately $3.8 million for the six months ended June 30, 2020. During the period from December 31, 2018 through June 30, 2019, the aggregate net fair value of our open oil and natural gas derivative contracts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decreased from a net asset of approximately $49.8 million to a net asset of approximately $10.3 million, resulting in an unrealized loss on derivatives of approximately $39.6 million for the six months ended June 30,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expenses per BOE)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Production taxes, transportation and processing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41,207</w:t>
            </w:r>
          </w:p>
        </w:tc>
        <w:tc>
          <w:tcPr>
            <w:tcW w:w="0" w:type="dxa"/>
            <w:vAlign w:val="bottom"/>
          </w:tcPr>
          <w:p>
            <w:pPr>
              <w:spacing w:after="0"/>
              <w:rPr>
                <w:sz w:val="1"/>
                <w:szCs w:val="1"/>
                <w:color w:val="auto"/>
              </w:rPr>
            </w:pPr>
          </w:p>
        </w:tc>
      </w:tr>
      <w:tr>
        <w:trPr>
          <w:trHeight w:val="243"/>
        </w:trPr>
        <w:tc>
          <w:tcPr>
            <w:tcW w:w="648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26,162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26,351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57,072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57,514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Plant and other midstream services operating</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Purchased natural gas</w:t>
            </w:r>
          </w:p>
        </w:tc>
        <w:tc>
          <w:tcPr>
            <w:tcW w:w="2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10,922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8,172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18,806</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184,057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156,999</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Accretion of asset retirement obligations</w:t>
            </w:r>
          </w:p>
        </w:tc>
        <w:tc>
          <w:tcPr>
            <w:tcW w:w="2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Full-cost ceiling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324,001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14,723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19,876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30,945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38,166</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498,230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676,283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331,264</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(435,310)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76,789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(241,778)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84,329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Net loss on asset sales and impairment</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(36,897)</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(455,766)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57,930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(280,726)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47,432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 provision</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(15,782)</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Matador Resources Company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(353,416)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36,752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Expenses per BOE: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Production taxes, transportation and processing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Lease operating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Plant and other midstream services operating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6480" w:type="dxa"/>
            <w:vAlign w:val="bottom"/>
          </w:tcPr>
          <w:p>
            <w:pPr>
              <w:ind w:left="660"/>
              <w:spacing w:after="0"/>
              <w:rPr>
                <w:sz w:val="20"/>
                <w:szCs w:val="20"/>
                <w:color w:val="auto"/>
              </w:rPr>
            </w:pPr>
            <w:r>
              <w:rPr>
                <w:rFonts w:ascii="Arial" w:cs="Arial" w:eastAsia="Arial" w:hAnsi="Arial"/>
                <w:sz w:val="18"/>
                <w:szCs w:val="18"/>
                <w:color w:val="auto"/>
              </w:rPr>
              <w:t>Depletion, depreciation and amortization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6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June 30, 2020 as Compared to Three Months Ended June 30, 2019</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and transportation and processing expenses decreased $2.7 million, or 13%, to</w:t>
      </w:r>
      <w:r>
        <w:rPr>
          <w:rFonts w:ascii="Arial" w:cs="Arial" w:eastAsia="Arial" w:hAnsi="Arial"/>
          <w:sz w:val="17"/>
          <w:szCs w:val="17"/>
          <w:i w:val="1"/>
          <w:iCs w:val="1"/>
          <w:color w:val="auto"/>
        </w:rPr>
        <w:t xml:space="preserve"> </w:t>
      </w:r>
      <w:r>
        <w:rPr>
          <w:rFonts w:ascii="Arial" w:cs="Arial" w:eastAsia="Arial" w:hAnsi="Arial"/>
          <w:sz w:val="17"/>
          <w:szCs w:val="17"/>
          <w:color w:val="auto"/>
        </w:rPr>
        <w:t>$18.8 million for the three months ended June 30, 2020, as compared to $21.5 million for the three months ended June 30, 2019. On a unit-of-production basis, our production taxes and transportation and processing expenses decreased 27% to $2.82 per BOE for the three months ended June 30, 2020, as compared to $3.86 per BOE for the three months ended June 30, 2019. These decreases were primarily attributable to the $6.6 million decrease in production taxes to $8.6 million for the three months ended June 30, 2020, as compared to $15.2 million for the three months ended June 30, 2019, primarily due to the decrease in the weighted average oil and natural gas prices realized between the two periods. This decrease was partially offset by a $3.9 million increase in transportation and processing expenses to $10.2 million for the three months ended June 30, 2020, as compared to $6.3 million for the three months ended June 30, 2019, primarily due to the 23% increase in our natural gas production to 16.5 Bcf for the three months ended June 30, 2020, as compared to 13.4 Bcf for the three months ended June 30, 2019.</w:t>
      </w:r>
    </w:p>
    <w:p>
      <w:pPr>
        <w:spacing w:after="0" w:line="73"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decreased $0.2 million, or 1%, to $26.2 million for the three months ended June 30,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$26.4 million for the three months ended June 30, 2019. This decrease was largely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attributable to a decrease in salt water disposal expenses of $1.7 million, which was partially offset by increases in ad valorem taxes and other expenses related to the increased number of wells at June 30, 2020, as compared to June 30, 2019. Our lease operating expenses on a unit-of-production basis decreased 17% to $3.92 per BOE for the three months ended June 30, 2020, as compared to $4.72 per BOE for the three months ended June 30, 2019, which was further attributable to the 20% increase in our total oil equivalent production to 6.7 million BOE for the three months ended June 30, 2020, as compared to 5.6 million BOE for the three months ended June 30, 2019.</w:t>
      </w:r>
    </w:p>
    <w:p>
      <w:pPr>
        <w:spacing w:after="0" w:line="80"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$1.4 million, or 16%, to $9.8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2020, as compared to $8.4 million for the three months ended June 30, 2019. This increase was primarily attributable to increased expenses associated with our expanded commercial salt water disposal operations of $5.4 million for the three months ended June 30, 2020, as compared to $3.8 million for the three months ended June 30, 2019, which were partially offset by decreased expenses associated with the Black River Processing Plant of $2.5 million for the three months ended June 30, 2020, as compared to $3.1 million for the three months ended June 30, 2019.</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$13.2 million, or 16%, to $93.4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2020, as compared to $80.1 million for the three months ended June 30, 2019. This increase was primarily attributable to (i) the 20% increase in our total oil equivalent production to 6.7 million BOE for the three months ended June 30, 2020, as compared to 5.6 million BOE for the three months ended June 30, 2019, and (ii) increased depreciation expenses attributable to our midstream segment of $5.0 million for the three months ended June 30, 2020, as compared to $3.8 million for the three months ended June 30, 2019. On a unit-of-production basis, our depletion, depreciation and amortization expenses decreased 3% to $14.00 per BOE for the three months ended June 30, 2020, as compared to $14.37 per BOE for the three months ended June 30, 2019. On a unit-of-production basis, the impact of the higher total proved oil and natural gas reserves at June 30, 2020, as compared to June 30, 2019, primarily attributable to our ongoing delineation and development activities in the Delaware Basin, was largely offset by the increase in total oil equivalent production for the three months ended June 30, 2020, as compared to the three months ended June 30, 2019.</w:t>
      </w:r>
    </w:p>
    <w:p>
      <w:pPr>
        <w:spacing w:after="0" w:line="58"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i w:val="1"/>
          <w:iCs w:val="1"/>
          <w:color w:val="auto"/>
        </w:rPr>
        <w:t xml:space="preserve">Full-cost ceiling impairment. </w:t>
      </w:r>
      <w:r>
        <w:rPr>
          <w:rFonts w:ascii="Arial" w:cs="Arial" w:eastAsia="Arial" w:hAnsi="Arial"/>
          <w:sz w:val="16"/>
          <w:szCs w:val="16"/>
          <w:color w:val="auto"/>
        </w:rPr>
        <w:t>At June 30, 2020, the net capitalized costs of our oil and natural gas properties less related deferred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exceeded the full-cost ceiling by $243.9 million. As a result, we recorded an impairment charge of $324.0 million to the net capitalized costs of our oil and natural gas properties and a deferred income tax benefit of $80.1 million. This full-cost ceiling impairment of $324.0 million is reflected in our interim unaudited condensed consolidated statement of operations for the three months ended June 30, 2020. No impairment to the net carrying value of our oil and natural gas properties and no corresponding charge resulting from a full-cost ceiling impairment were recorded for the three months ended June 30, 2019. In determining the full-cost ceiling impairment at June 30, 2020, we estimated the present value, discounted at 10%, (“PV-10”) of our total proved oil and natural gas reserves using the unweighted arithmetic average of oil and natural gas prices as of the first day of each month for the trailing 12-month period ended June 30, 2020, as required under the guidelines established by the SEC, which were $43.60 per Bbl and $2.07 per MMBtu, respectively.</w:t>
      </w:r>
    </w:p>
    <w:p>
      <w:pPr>
        <w:spacing w:after="0" w:line="5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$5.2 million, or 26%, to $14.7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as compared to $19.9 million for the three months ended June 30, 2019. This decrease was primarily attributable to cost reductions initially implemented during the three months ended March 31, 2020, including headcount and employee salary reductions, that were more fully realized during the three months ended June 30, 2020. Our general and administrative expenses decreased 38% on a unit-of-production basis to $2.21 per BOE for the three months ended June 30, 2020, as compared to $3.56 per BOE for the three months ended June 30, 2019, which was further attributable to the 20% increase in our total oil equivalent production to 6.7 million BOE for the three months ended June 30, 2020, as compared to 5.6 million BOE for the three months ended June 30, 2019.</w:t>
      </w:r>
    </w:p>
    <w:p>
      <w:pPr>
        <w:spacing w:after="0" w:line="87" w:lineRule="exact"/>
        <w:rPr>
          <w:sz w:val="20"/>
          <w:szCs w:val="20"/>
          <w:color w:val="auto"/>
        </w:rPr>
      </w:pPr>
    </w:p>
    <w:p>
      <w:pPr>
        <w:ind w:right="240" w:firstLine="445"/>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three months ended June 30, 2020, we incurred total interest expense of $20.1 million. We capitalized $1.8 million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on certain qualifying projects for the three months ended June 30, 2020 and expensed the remaining $18.3 million to operations. For the three months ended June 30, 2019, we incurred total interest expense of $20.7 million. We capitalized $2.6 million of our interest expense on certain qualifying projects for the three months ended June 30, 2019 and expensed the remaining $18.1 million to operations.</w:t>
      </w:r>
    </w:p>
    <w:p>
      <w:pPr>
        <w:spacing w:after="0" w:line="63"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i w:val="1"/>
          <w:iCs w:val="1"/>
          <w:color w:val="auto"/>
        </w:rPr>
        <w:t xml:space="preserve">Total income tax (benefit) provision. </w:t>
      </w:r>
      <w:r>
        <w:rPr>
          <w:rFonts w:ascii="Arial" w:cs="Arial" w:eastAsia="Arial" w:hAnsi="Arial"/>
          <w:sz w:val="17"/>
          <w:szCs w:val="17"/>
          <w:color w:val="auto"/>
        </w:rPr>
        <w:t>We recorded a total income tax benefit of $109.8 million for the three months ended June 30, 2020,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24%, which differed from amounts computed by applying the U.S. federal statutory tax rates to pre-tax loss due primarily to the impact of permanent differences between book and tax loss and state taxes, primarily in New Mexico. We recorded a total income tax expense of $12.9 million for the three months ended June 30, 2019, and the effective tax rate was 26%, which differed from amounts computed by applying the U.S. federal statutory rate to the pre-tax income due primarily to the impact of permanent differences between book and tax income.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Six Months Ended June 30, 2020 as Compared to Six Months Ended June 30, 2019</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i w:val="1"/>
          <w:iCs w:val="1"/>
          <w:color w:val="auto"/>
        </w:rPr>
        <w:t xml:space="preserve">Production taxes, transportation and processing. </w:t>
      </w:r>
      <w:r>
        <w:rPr>
          <w:rFonts w:ascii="Arial" w:cs="Arial" w:eastAsia="Arial" w:hAnsi="Arial"/>
          <w:sz w:val="18"/>
          <w:szCs w:val="18"/>
          <w:color w:val="auto"/>
        </w:rPr>
        <w:t>Our production taxes and transportation and processing expenses decreased $0.7 million, or 2%, to</w:t>
      </w:r>
      <w:r>
        <w:rPr>
          <w:rFonts w:ascii="Arial" w:cs="Arial" w:eastAsia="Arial" w:hAnsi="Arial"/>
          <w:sz w:val="18"/>
          <w:szCs w:val="18"/>
          <w:i w:val="1"/>
          <w:iCs w:val="1"/>
          <w:color w:val="auto"/>
        </w:rPr>
        <w:t xml:space="preserve"> </w:t>
      </w:r>
      <w:r>
        <w:rPr>
          <w:rFonts w:ascii="Arial" w:cs="Arial" w:eastAsia="Arial" w:hAnsi="Arial"/>
          <w:sz w:val="18"/>
          <w:szCs w:val="18"/>
          <w:color w:val="auto"/>
        </w:rPr>
        <w:t>$40.5 million for the six months ended June 30, 2020, as compared to $41.2 million for the six months ended June 30, 2019. On a unit-of-production basis, our production taxes, transportation and processing expenses decreased 18% to $3.08 per BOE for the six months ended June 30, 2020, as compared to $3.76 per BOE for the six months ended June 30, 2019. These decreases were primarily attributable to the $6.0 million decrease in production taxes to $22.7 million for the six months ended June 30, 2020, as compared to $28.7 million for the six months ended June 30, 2019, primarily due to the decrease in the weighted average oil and natural gas prices realized between the two periods. This decrease was partially offset by a $5.3 million increase in transportation and processing expenses for the six months ended June 30, 2020, as compared to the six months ended June 30, 2019, primarily due to the 22% increase in our natural gas production to 33.2 Bcf for the six months ended June 30, 2020, as compared to 27.1 Bcf for the six months ended June 30, 2019.</w:t>
      </w:r>
    </w:p>
    <w:p>
      <w:pPr>
        <w:spacing w:after="0" w:line="8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decreased $0.4 million, or 1%, to $57.1 million for the six months ended June 30,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$57.5 million for the six months ended June 30, 2019. This decrease was largely attributable to a decrease in salt water disposal expenses of approximately $6.0 million, which was partially offset by increases in ad valorem taxes and other expenses related to the increased number of wells at June 30, 2020, as compared to June 30, 2019. Our lease operating expenses on a unit-of-production basis decreased 17% to $4.34 per BOE for the six months ended June 30, 2020, as compared to $5.24 per BOE for the six months ended June 30, 2019, which was further attributable to the 20% increase in our total oil equivalent production to 13.1 million BOE for the six months ended June 30, 2020, as compared to 11.0 million BOE for the six months ended June 30, 2019.</w:t>
      </w:r>
    </w:p>
    <w:p>
      <w:pPr>
        <w:spacing w:after="0" w:line="8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$2.0 million, or 11%, to $19.7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2020, as compared to $17.7 million for the six months ended June 30, 2019. This increase was primarily attributable to (i) increased expenses associated with our expanded commercial salt water disposal operations of $10.5 million for the six months ended June 30, 2020, as compared to $8.1 million for the six months ended June 30, 2019, and (ii) increased expenses associated with pipeline operations of $4.0 million for the six months ended June 30, 2020, as compared to $3.7 million for the six months ended June 30, 2019, which were partially offset by decreased expenses associated with the Black River Processing Plant of $5.2 million for the six months ended June 30, 2020, as compared to $6.1 million for the six months ended June 30, 2019.</w:t>
      </w:r>
    </w:p>
    <w:p>
      <w:pPr>
        <w:spacing w:after="0" w:line="8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$27.1 million, or 17%, to $184.1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2020, as compared to $157.0 million for the six months ended June 30, 2019. This increase was primarily attributable to</w:t>
      </w:r>
    </w:p>
    <w:p>
      <w:pPr>
        <w:ind w:right="60" w:firstLine="8"/>
        <w:spacing w:after="0" w:line="288"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20% increase in our total oil equivalent production to 13.1 million BOE for the six months ended June 30, 2020, as compared to 11.0 million BOE for the six months ended June 30, 2019, and (ii) increased depreciation expenses attributable to our midstream segment of $9.8 million for the six months ended June 30, 2020, as compared to $7.5 million for the six months ended June 30, 2019. On a unit-of-production basis, our depletion, depreciation and amortization expenses decreased 2% to $14.00 per BOE for the six months ended June 30, 2020, as compared to $14.31 per BOE for the six months ended June 30, 2019. On a unit-of-production basis, the impact of the higher total proved oil and natural gas reserves at June 30, 2020, as compared to June 30, 2019, primarily attributable to our ongoing delineation and development activities in the Delaware Basin, was largely offset by the increase in total oil equivalent production for the six months ended June 30, 2020, as compared to the six months ended June 30, 2019.</w:t>
      </w:r>
    </w:p>
    <w:p>
      <w:pPr>
        <w:spacing w:after="0" w:line="6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i w:val="1"/>
          <w:iCs w:val="1"/>
          <w:color w:val="auto"/>
        </w:rPr>
        <w:t xml:space="preserve">Full-cost ceiling impairment. </w:t>
      </w:r>
      <w:r>
        <w:rPr>
          <w:rFonts w:ascii="Arial" w:cs="Arial" w:eastAsia="Arial" w:hAnsi="Arial"/>
          <w:sz w:val="16"/>
          <w:szCs w:val="16"/>
          <w:color w:val="auto"/>
        </w:rPr>
        <w:t>At June 30, 2020, the net capitalized costs of our oil and natural gas properties less related deferred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exceeded the full-cost ceiling by $243.9 million. As a result, we recorded an impairment charge of $324.0 million to the net capitalized costs of our oil and natural gas properties and a deferred income tax benefit of $80.1 million. This full-cost ceiling impairment of $324.0 million is reflected in our interim unaudited condensed consolidated statement of operations for the three months ended June 30, 2020. No impairment to the net carrying value of our oil and natural gas properties and no corresponding charge resulting from a full-cost ceiling impairment were recorded for the three months ended March 31, 2020 or for the six months ended June 30, 2019. In determining the full-cost ceiling impairment at June 30, 2020, we estimated the PV-10 of our total proved oil and natural gas reserves using the unweighted arithmetic average of oil and natural gas prices as of the first day of each month for the trailing 12-month period ended June 30, 2020, as required under the guidelines established by the SEC, which were $43.60 per Bbl and $2.07 per MMBtu, respectively.</w:t>
      </w:r>
    </w:p>
    <w:p>
      <w:pPr>
        <w:spacing w:after="0" w:line="5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$7.2 million, or 19%, to $30.9 million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as compared to $38.2 million for the six months ended June 30, 2019. This decrease was primarily attributable to cost reductions initially implemented during the three months ended March 31, 2020, including headcount and employee salary reductions, that were more fully realized during the three months ended June 30, 2020. Our general and administrative expenses decreased 32% on a unit-of-production basis to $2.35 per BOE for the six months ended June 30, 2020, as compared to $3.48 per BOE for the six months ended June 30, 2019, which was further attributable to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20% increase in our total oil equivalent production to 13.1 million BOE for the six months ended June 30, 2020, as compared to 11.0 million BOE for the six months ended June 30, 2019.</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six months ended June 30, 2020, we incurred total interest expense of $41.3 million. We capitalized $3.2 million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on certain qualifying projects for the six months ended June 30, 2020 and expensed the remaining $38.1 million to operations. For the six months ended June 30, 2019, we incurred total interest expense of $40.2 million. We capitalized $4.2 million of our interest expense on certain qualifying projects for the six months ended June 30, 2019 and expensed the remaining $36.0 million to operations.</w:t>
      </w:r>
    </w:p>
    <w:p>
      <w:pPr>
        <w:spacing w:after="0" w:line="63" w:lineRule="exact"/>
        <w:rPr>
          <w:sz w:val="20"/>
          <w:szCs w:val="20"/>
          <w:color w:val="auto"/>
        </w:rPr>
      </w:pPr>
    </w:p>
    <w:p>
      <w:pPr>
        <w:ind w:right="220" w:firstLine="445"/>
        <w:spacing w:after="0" w:line="275" w:lineRule="auto"/>
        <w:rPr>
          <w:sz w:val="20"/>
          <w:szCs w:val="20"/>
          <w:color w:val="auto"/>
        </w:rPr>
      </w:pPr>
      <w:r>
        <w:rPr>
          <w:rFonts w:ascii="Arial" w:cs="Arial" w:eastAsia="Arial" w:hAnsi="Arial"/>
          <w:sz w:val="17"/>
          <w:szCs w:val="17"/>
          <w:i w:val="1"/>
          <w:iCs w:val="1"/>
          <w:color w:val="auto"/>
        </w:rPr>
        <w:t xml:space="preserve">Total income tax (benefit) provision. </w:t>
      </w:r>
      <w:r>
        <w:rPr>
          <w:rFonts w:ascii="Arial" w:cs="Arial" w:eastAsia="Arial" w:hAnsi="Arial"/>
          <w:sz w:val="17"/>
          <w:szCs w:val="17"/>
          <w:color w:val="auto"/>
        </w:rPr>
        <w:t>We recorded a total income tax benefit of $69.9 million for the six months ended June 30, 2020,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23%, which differed from amounts computed by applying the U.S. federal statutory tax rates to pre-tax loss due primarily to the impact of permanent differences between book and tax loss and state taxes, primarily in New Mexico. We recorded a total income tax expense of $11.8 million for the six months ended June 30, 2019, and the effective tax rate was 37%, which differed from amounts computed by applying the U.S. federal statutory rate to the pre-tax income due primarily to the impact of permanent differences between book and tax income.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Our primary use of capital has been, and we expect will continue to be during the remainder of 2020 and for the foreseeable future, for the acquisition, exploration and development of oil and natural gas properties and for midstream investments. Excluding any possible significant acquisitions, we expect to fund the remainder of our 2020 capital expenditures primarily through a combination of cash on hand, operating cash flows, performance incentives in connection with San Mateo, borrowings under our reserves-based revolving credit facility (the “Credit Agreement”) (assuming availability under our borrowing base of $900.0 million) and borrowings under San Mateo I’s revolving credit facility (the “San Mateo Credit Facility”) (assuming availability under the accordion feature of such facility to up to $400.0 million). We continually evaluate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58" w:lineRule="exact"/>
        <w:rPr>
          <w:sz w:val="20"/>
          <w:szCs w:val="20"/>
          <w:color w:val="auto"/>
        </w:rPr>
      </w:pPr>
    </w:p>
    <w:p>
      <w:pPr>
        <w:ind w:right="140" w:firstLine="445"/>
        <w:spacing w:after="0" w:line="311" w:lineRule="auto"/>
        <w:rPr>
          <w:sz w:val="20"/>
          <w:szCs w:val="20"/>
          <w:color w:val="auto"/>
        </w:rPr>
      </w:pPr>
      <w:r>
        <w:rPr>
          <w:rFonts w:ascii="Arial" w:cs="Arial" w:eastAsia="Arial" w:hAnsi="Arial"/>
          <w:sz w:val="16"/>
          <w:szCs w:val="16"/>
          <w:color w:val="auto"/>
        </w:rPr>
        <w:t>At June 30, 2020, we had cash totaling approximately $20.6 million and restricted cash totaling approximately $22.9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41"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At June 30, 2020, we had (i) $1.05 billion of outstanding 5.875% senior notes due September 2026 (the “Notes”), (ii) $385.0 million in borrowings outstanding under the Credit Agreement, (iii) approximately $45.1 million in outstanding letters of credit issued pursuant to the Credit Agreement and (iv) $7.5 million outstanding under an unsecured U.S. Small Business Administration (“SBA”) loan. In February 2020, the lenders under our Credit Agreement completed their review of our proved oil and natural gas reserves at December 31, 2019, and, as a result, the borrowing base was affirmed at $900.0 million. We elected to increase the borrowing commitment from $500.0 million to $700.0 million, and the maximum facility amount remained $1.5 billion. This February 2020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June 30, 2020. At July 28, 2020, we had (i) $1.05 billion of outstanding Notes,</w:t>
      </w:r>
    </w:p>
    <w:p>
      <w:pPr>
        <w:spacing w:after="0" w:line="5" w:lineRule="exact"/>
        <w:rPr>
          <w:sz w:val="20"/>
          <w:szCs w:val="20"/>
          <w:color w:val="auto"/>
        </w:rPr>
      </w:pPr>
    </w:p>
    <w:p>
      <w:pPr>
        <w:ind w:right="60" w:firstLine="8"/>
        <w:spacing w:after="0" w:line="260"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$404.0 million in borrowings outstanding under the Credit Agreement, (iii) approximately $45.1 million in outstanding letters of credit issued pursuant to the Credit Agreement and (iv) $7.5 million outstanding under an unsecured SBA loan.</w:t>
      </w:r>
    </w:p>
    <w:p>
      <w:pPr>
        <w:spacing w:after="0" w:line="77"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At June 30, 2020 and July 28, 2020, San Mateo I had $320.0 million in borrowings outstanding under the San Mateo Credit Facility and approximately $9.0 million in outstanding letters of credit issued pursuant to the San Mateo Credit Facility. The San Mateo Credit Facility includes an accordion feature, which provides for potential increases to up to $400.0 million, and matures in December 2023. At June 30, 2020, the lender commitments under the San Mateo Credit Facility were $375.0 million (subject to San Mateo I’s compliance with the covenants noted below). The San Mateo Credit Facility is guaranteed by San Mateo I’s subsidiaries, secured by substantially all of San Mateo I’s assets, including real property, and is non-recourse with respect to Matador and its wholly-owned subsidiaries, as well as San Mateo II and its subsidiaries. 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I to maintain an interest coverage ratio,</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which is defined as a rolling four quarter EBITDA calculation divided by San Mateo I’s consolidated interest expense for such period, of 2.50 or more. The Company believes that San Mateo I was in compliance with the terms of the San Mateo Credit Facility at June 30, 2020.</w:t>
      </w:r>
    </w:p>
    <w:p>
      <w:pPr>
        <w:spacing w:after="0" w:line="62"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During the first half of 2020, the oil and natural gas industry witnessed an abrupt and significant decline in oil prices from $63 per Bbl in early January to as low as ($38) per Bbl in late April, although oil prices began to improve in May and June.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w:t>
      </w:r>
    </w:p>
    <w:p>
      <w:pPr>
        <w:spacing w:after="0" w:line="6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Primarily as a result of these unexpected events and the resulting declines in oil prices, we modified our 2020 operational plan. In March 2020, we significantly reduced our capital expenditure budget, including reducing our operated drilling program from six to three drilling rigs by the end of the second quarter of 2020. In addition, we made initial reductions to headcount, employee salaries and lease operating expenses and curtailed or shut in portions of our oil and natural gas production. While we had prepared to make further reductions to headcount, salaries and our capital expenditure budget, we have been able to avoid such reductions to date as a result of realizing greater-than-expected savings from the above changes to our 2020 operational plan, restructuring our hedge portfolio (as described below) and applying for and receiving an SBA loan through the Paycheck Protection Program. The general outlook for the oil and natural gas industry for the remainder of 2020 remains highly uncertain, and we can provide no assurances as to when the economic disruptions resulting from COVID-19 and the corresponding decline in oil demand may improve. Until such time, however, we anticipate that oil prices will remain well below the prices realized in 2019. These economic disruptions have also significantly reduced our ability to access the capital markets on reasonably similar terms as were available in prior periods.</w:t>
      </w:r>
    </w:p>
    <w:p>
      <w:pPr>
        <w:spacing w:after="0" w:line="7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As noted above, on April 13, 2020, we executed a promissory note evidencing an unsecured loan in the amount of approximately $7.5 million as part of the Paycheck Protection Program. The Paycheck Protection Program was established under the Coronavirus Aid, Relief, and Economic Security Act and is administered by the SBA. The loan was issued through Iberiabank, which is a lender under the Credit Agreement, matures on the second anniversary of the funding date and bears interest at a fixed rate of 1.00% per </w:t>
      </w:r>
      <w:r>
        <w:rPr>
          <w:rFonts w:ascii="Arial" w:cs="Arial" w:eastAsia="Arial" w:hAnsi="Arial"/>
          <w:sz w:val="17"/>
          <w:szCs w:val="17"/>
          <w:color w:val="242424"/>
        </w:rPr>
        <w:t>a</w:t>
      </w:r>
      <w:r>
        <w:rPr>
          <w:rFonts w:ascii="Arial" w:cs="Arial" w:eastAsia="Arial" w:hAnsi="Arial"/>
          <w:sz w:val="17"/>
          <w:szCs w:val="17"/>
          <w:color w:val="auto"/>
        </w:rPr>
        <w:t>nn</w:t>
      </w:r>
      <w:r>
        <w:rPr>
          <w:rFonts w:ascii="Arial" w:cs="Arial" w:eastAsia="Arial" w:hAnsi="Arial"/>
          <w:sz w:val="17"/>
          <w:szCs w:val="17"/>
          <w:color w:val="242424"/>
        </w:rPr>
        <w:t>um.</w:t>
      </w:r>
      <w:r>
        <w:rPr>
          <w:rFonts w:ascii="Arial" w:cs="Arial" w:eastAsia="Arial" w:hAnsi="Arial"/>
          <w:sz w:val="17"/>
          <w:szCs w:val="17"/>
          <w:color w:val="auto"/>
        </w:rPr>
        <w:t xml:space="preserve"> We used the proceeds of the loan for payroll, including salaries, payroll taxes and employee medical benefits, as permitted by the program. The receipt of the loan allowed us to avoid the planned further reductions to employee headcount and salaries discussed above. The loan is eligible for forgiveness for the portion of the loan proceeds used for payroll costs and other designated operating expenses, provided at least 60% of the loan’s proceeds are used for payroll costs.</w:t>
      </w:r>
    </w:p>
    <w:p>
      <w:pPr>
        <w:spacing w:after="0" w:line="6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During April 2020, we also restructured a portion of our then-existing 2020 WTI oil derivative financial instruments, providing additional revenue protection should oil prices decline again to depressed levels, such as those experienced late in the first quarter and early in the second quarter of 2020, for the remainder of 2020 or should further market disruptions occur. As a result of these modifications, we almost doubled our oil volumes hedged for the period from April through December 2020. These restructured derivative financial instruments included approximately 7.6 million Bbl of fixed-price oil swaps at a weighted average price of approximately $35 per Bbl and 2.3 million Bbl of oil collars with a weighted average floor price of approximately $48 per Bbl and a weighted average ceiling price of approximately $66 per Bbl. We also had approximately 0.4 million Bbl in oil put options, which represent options to sell at a specified exercise price, at a weighted average price of approximately $48 per Bbl for the period from April through June 2020.</w:t>
      </w:r>
    </w:p>
    <w:p>
      <w:pPr>
        <w:spacing w:after="0" w:line="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during the second quarter of 2020, we added approximately 2.0 million Bbl of oil swaps at a weighted average price of approximately $35 per Bbl and 2.4 million Bbl of oil costless collars with a weighted average floor price of approximately $35 per Bbl and a weighted average ceiling price of approximately $46 per Bbl for 2021. We also added natural gas collars for November and December 2020 for approximately 3.2 million MMBtu and for the first quarter of 2021 for approximately 4.8 million MMBtu, each with a weighted average floor price of approximately $2.52 per MMBtu and a weighted average ceiling price of approximately $3.71 per MMBtu.</w:t>
      </w:r>
    </w:p>
    <w:p>
      <w:pPr>
        <w:spacing w:after="0" w:line="8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however, we released (i) one operated drilling rig from our Wolf asset area late in the first quarter of 2020, (ii) a second operated drilling rig from the Greater Stebbins Area in late April 2020 and (iii) a third operated drilling rig from our Rustler Breaks asset area in late June 2020. We expect to operate three drilling rigs in the Delaware Basin throughout the remainder of 2020. Two of these rigs are anticipated to operate in our Stateline asset area, and the third rig is expected to operate primarily in the Rustler Breaks and Antelope Ridge asset areas.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As a result of our plans to reduce our operated drilling program from six to three rigs by the end of the second quarter of 2020, on April 29, 2020, we decreased the range of our anticipated full-year 2020 capital expenditures for drilling, completing and equipping wells from $690.0 to $750.0 million to $440.0 to $500.0 million. The range of our anticipated full-year 2020 capital expenditures for midstream capital expenditures remained $85.0 to $105.0 million, which reflects our proportionate share of San Mateo’s estimated capital expenditures of $190.0 to $235.0 million and also accounts for the portions of the $50.0 million capital carry remaining as of January 1, 2020 that Five Point provided us in conjunction with the formation of San Mateo II. Substantially all of these 2020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w:t>
      </w:r>
    </w:p>
    <w:p>
      <w:pPr>
        <w:spacing w:after="0" w:line="7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To narrow any potential difference between our 2020 capital expenditures and operating cash flows, we may divest portions of our non-core assets, particularly in the Haynesville shale and in parts of our South Texas positions (as we did in 2019, converting $21.9 million of non-core assets to cash),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2020. These monetizations, divestitures and expenditures are opportunity-specific, and purchase price multiples and per-acre prices can vary significantly based on the asset or prospect. As a result, it is difficult to estimate these 2020 monetizations, divestitures and capital expenditures with any degree of certainty; therefore, we have not provided estimated proceeds related to monetizations or divestitures or estimated capital expenditures related to acreage and mineral acquisitions for 2020.</w:t>
      </w:r>
    </w:p>
    <w:p>
      <w:pPr>
        <w:spacing w:after="0" w:line="84"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Our 2020 capital expenditures may be adjusted as business conditions warrant and the amount, timing and allocation of such expenditures are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2020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2020 and the hedges we currently have in place. As noted above, the oil and natural gas industry witnessed an abrupt and significant decline in oil prices during the first quarter and early in the second quarter of 2020 that improved during May and June.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unaudited cash flows for the six months ended June 30, 2020 and 2019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210,385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194,497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(458,761)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(394,694)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226,756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200,975</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248,170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268,943</w:t>
            </w:r>
          </w:p>
        </w:tc>
        <w:tc>
          <w:tcPr>
            <w:tcW w:w="0" w:type="dxa"/>
            <w:vAlign w:val="bottom"/>
          </w:tcPr>
          <w:p>
            <w:pPr>
              <w:spacing w:after="0"/>
              <w:rPr>
                <w:sz w:val="1"/>
                <w:szCs w:val="1"/>
                <w:color w:val="auto"/>
              </w:rPr>
            </w:pPr>
          </w:p>
        </w:tc>
      </w:tr>
      <w:tr>
        <w:trPr>
          <w:trHeight w:val="297"/>
        </w:trPr>
        <w:tc>
          <w:tcPr>
            <w:tcW w:w="810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300" w:hanging="332"/>
        <w:spacing w:after="0" w:line="273"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180" w:firstLine="445"/>
        <w:spacing w:after="0" w:line="273" w:lineRule="auto"/>
        <w:rPr>
          <w:sz w:val="20"/>
          <w:szCs w:val="20"/>
          <w:color w:val="auto"/>
        </w:rPr>
      </w:pPr>
      <w:r>
        <w:rPr>
          <w:rFonts w:ascii="Arial" w:cs="Arial" w:eastAsia="Arial" w:hAnsi="Arial"/>
          <w:sz w:val="17"/>
          <w:szCs w:val="17"/>
          <w:color w:val="auto"/>
        </w:rPr>
        <w:t>Net cash provided by operating activities increased $15.9 million to $210.4 million for the six months ended June 30, 2020 from $194.5 million for the six months ended June 30, 2019. Excluding changes in operating assets and liabilities, net cash provided by operating activities decreased to $235.7 million for the six months ended June 30, 2020 from $255.5 million for the six months ended June 30, 2019, primarily attributable to significantly lower realized oil and natural gas prices for the six months ended June 30, 2020, as compared to the six months ended June 30, 2019. Changes in our operating assets and liabilities between the two periods resulted in a net increase of approximately $35.7 million in net cash provided by operating activities for the six months ended June 30, 2020, as compared to the six months ended June 30, 2019.</w:t>
      </w:r>
    </w:p>
    <w:p>
      <w:pPr>
        <w:spacing w:after="0" w:line="7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continued effect of COVID-19 and the corresponding decline in oil demand will also significantly impact the prices we receive for our oil production. These factors are beyond our control and are difficult to predict. We use commodity derivative financial instruments at times to mitigate our exposure to fluctuations in oil, natural gas and NGL prices.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Net cash used in investing activities increased by $64.1 million to $458.8 million for the six months ended June 30, 2020 from $394.7 million for the six months ended June 30, 2019. This increase in net cash used in investing activities was primarily due to an increase in midstream capital expenditures of approximately $59.2 million, which was partially offset by a decrease of $14.8 million in oil and natural gas properties capital expenditures and a reduction in proceeds from the sales of assets of $20.5 million for the six months ended June 30, 2020, as compared to the six months ended June 30, 2019. Cash used for midstream capital expenditures for the six months ended June 30, 2020 was primarily attributable to the expansion of the Black River Processing Plant and midstream facilities in the Greater Stebbins Area and the Stateline asset area. Cash used for oil and natural gas properties capital expenditures for the six months ended June 30, 2020 was primarily attributable to our operated and non-operated drilling and completion activities in the Delaware Basin.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Net cash provided by financing activities increased by $25.8 million to $226.8 million for the six months ended June 30, 2020 from $201.0 million for the six months ended June 30, 2019. During the six months ended June 30, 2020, our primary sources of cash from financing activities included borrowings under the Credit Agreement of $130.0 million, borrowings under the San Mateo Credit Facility of $32.0 million, net contributions related to the formation of San Mateo I and from non-controlling interest owners in less-than-wholly-owned subsidiaries of $59.8 million and the SBA loan of $7.5 million discussed above. During the six months ended June 30, 2019, we had borrowings under our Credit Agreement of $165.0 million, borrowings under the San Mateo Credit Facility of $20.0 million and net contributions related to the formation of San Mateo I and from non-controlling interest owners in less-than-wholly-owned subsidiaries of $16.9 million.</w:t>
      </w:r>
    </w:p>
    <w:p>
      <w:pPr>
        <w:spacing w:after="0" w:line="69"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See Note 4 to the unaudited condensed consolidated financial statements in this Quarterly Report for a summary of our debt, including the Credit Agreement, the San Mateo Credit Facility and the Notes.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104"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11"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(loss) and net cash provided by operating activities,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3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19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1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Unaudited Adjusted EBITDA Reconciliation to Net (Loss)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w w:val="97"/>
              </w:rPr>
              <w:t>Net (loss) income attributable to Matador Resources Company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(353,416)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36,752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(227,687)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19,805</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16,827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15,782</w:t>
            </w:r>
          </w:p>
        </w:tc>
      </w:tr>
      <w:tr>
        <w:trPr>
          <w:trHeight w:val="237"/>
        </w:trPr>
        <w:tc>
          <w:tcPr>
            <w:tcW w:w="594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(345,943)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45,072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(210,860)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35,587</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35,997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Total income tax (benefit) provision</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(109,823)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(69,866)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11,845</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184,057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156,999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834</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Full-cost ceiling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324,001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324,001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Unrealized loss (gain) on derivatives</w:t>
            </w: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132,668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39,562</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9,076</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loss on asset sales and impairment</w:t>
            </w: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368</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118,963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272,362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290,268</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(21,325)</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Adjusted EBITDA attributable to Matador Resources Company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107,594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144,104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248,170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268,943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r>
      <w:tr>
        <w:trPr>
          <w:trHeight w:val="343"/>
        </w:trPr>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19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61"/>
        </w:trPr>
        <w:tc>
          <w:tcPr>
            <w:tcW w:w="59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101,013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135,257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210,385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194,497</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60,963</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 net of non-cash portion</w:t>
            </w: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17,582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17,522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36,710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34,808</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(21,325)</w:t>
            </w:r>
          </w:p>
        </w:tc>
      </w:tr>
      <w:tr>
        <w:trPr>
          <w:trHeight w:val="237"/>
        </w:trPr>
        <w:tc>
          <w:tcPr>
            <w:tcW w:w="5940" w:type="dxa"/>
            <w:vAlign w:val="bottom"/>
          </w:tcPr>
          <w:p>
            <w:pPr>
              <w:ind w:left="120"/>
              <w:spacing w:after="0"/>
              <w:rPr>
                <w:sz w:val="20"/>
                <w:szCs w:val="20"/>
                <w:color w:val="auto"/>
              </w:rPr>
            </w:pPr>
            <w:r>
              <w:rPr>
                <w:rFonts w:ascii="Arial" w:cs="Arial" w:eastAsia="Arial" w:hAnsi="Arial"/>
                <w:sz w:val="18"/>
                <w:szCs w:val="18"/>
                <w:color w:val="auto"/>
                <w:w w:val="95"/>
              </w:rPr>
              <w:t>Adjusted EBITDA attributable to Matador Resources Company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107,594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144,104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248,170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268,943</w:t>
            </w:r>
          </w:p>
        </w:tc>
      </w:tr>
      <w:tr>
        <w:trPr>
          <w:trHeight w:val="27"/>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the three months ended June 30, 2020, we reported a net loss attributable to Matador shareholders of approximately $353.4 million, as compared to net income of $36.8 million for the three months ended June 30, 2019. This decrease in net income attributable to Matador shareholders is primarily attributable to the full-cost ceiling impairment of $324.0 million we recorded for the three months ended June 30, 2020. In addition, we recorded an unrealized loss on derivatives of $132.7 million for the three months ended June 30, 2020, as compared to an unrealized gain on derivatives of $6.2 million for the three months ended June 30, 2019, and an income tax benefit of $109.8 million for the three months ended June 30, 2020, as compared to an income tax provision of $12.9 million for the three months ended June 30, 2019.</w:t>
      </w:r>
    </w:p>
    <w:p>
      <w:pPr>
        <w:spacing w:after="0" w:line="8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the six months ended June 30, 2020, we reported a net loss attributable to Matador shareholders of approximately $227.7 million, as compared to net income attributable to Matador shareholders of $19.8 million for the six months ended June 30, 2019. This decrease in net income attributable to Matador Resources Company shareholders is primarily attributable to the full-cost ceiling impairment of $324.0 million we recorded for the six months ended June 30, 2020. In addition, we recorded an unrealized gain on derivatives of $3.8 million for the six months ended June 30, 2020, as compared to an unrealized loss on derivatives of $39.6 million for the six months ended June 30, 2019, and we recorded an income tax benefit of $69.9 million for the six months ended June 30, 2020, as compared to an income tax provision of $11.8 million for the six months ended June 30, 2019.</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Adjusted EBITDA, a non-GAAP financial measure, decreased by $36.5 million to $107.6 million for the three months ended June 30, 2020, as compared to $144.1 million for the three months ended June 30, 2019. This decrease is primarily attributable to significantly lower realized oil and natural gas prices, partially offset by higher oil and natural gas production for the three months ended June 30, 2020, as compared to the three months ended June 30, 2019.</w:t>
      </w:r>
    </w:p>
    <w:p>
      <w:pPr>
        <w:spacing w:after="0" w:line="7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Adjusted EBITDA, a non-GAAP financial measure, decreased by $20.8 million to $248.2 million for the six months ended June 30, 2020, as compared to $268.9 million for the six months ended June 30, 2019. This decrease is primarily attributable to significantly lower realized oil and natural gas prices, partially offset by higher oil and natural gas production for the six months ended June 30, 2020, as compared to the six months ended June 30,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From time-to-time, we enter into off-balance sheet arrangements and transactions that can give rise to material off-balance sheet obligations. As</w:t>
      </w:r>
    </w:p>
    <w:p>
      <w:pPr>
        <w:spacing w:after="0" w:line="4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of June 30, 2020, the material off-balance sheet arrangements and transactions that we have entered into include (i) non-operated drilling commitments, (ii) firm transportation, gathering, processing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the following material contractual obligations and commitments at June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81"/>
              </w:rPr>
              <w:t>Less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8"/>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rPr>
              <w:t>Than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36"/>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w w:val="92"/>
              </w:rPr>
              <w:t>Borrowings under credit agreements and facilities, including letters of</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759,108</w:t>
            </w: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73"/>
              <w:spacing w:after="0"/>
              <w:rPr>
                <w:sz w:val="20"/>
                <w:szCs w:val="20"/>
                <w:color w:val="auto"/>
              </w:rPr>
            </w:pPr>
            <w:r>
              <w:rPr>
                <w:rFonts w:ascii="Arial" w:cs="Arial" w:eastAsia="Arial" w:hAnsi="Arial"/>
                <w:sz w:val="18"/>
                <w:szCs w:val="18"/>
                <w:color w:val="auto"/>
              </w:rPr>
              <w:t>759,108</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credit</w:t>
            </w:r>
            <w:r>
              <w:rPr>
                <w:rFonts w:ascii="Arial" w:cs="Arial" w:eastAsia="Arial" w:hAnsi="Arial"/>
                <w:sz w:val="23"/>
                <w:szCs w:val="23"/>
                <w:color w:val="auto"/>
                <w:vertAlign w:val="superscript"/>
              </w:rPr>
              <w:t>(1)</w:t>
            </w: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1,050,000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4"/>
              </w:rPr>
              <w:t>1,050,000</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Office leases</w:t>
            </w:r>
          </w:p>
        </w:tc>
        <w:tc>
          <w:tcPr>
            <w:tcW w:w="1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24,389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Non-operated drilling and other capital commitments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57,208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13,703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tcPr>
          <w:p>
            <w:pPr>
              <w:ind w:left="20"/>
              <w:spacing w:after="0"/>
              <w:rPr>
                <w:sz w:val="20"/>
                <w:szCs w:val="20"/>
                <w:color w:val="auto"/>
              </w:rPr>
            </w:pPr>
            <w:r>
              <w:rPr>
                <w:rFonts w:ascii="Arial" w:cs="Arial" w:eastAsia="Arial" w:hAnsi="Arial"/>
                <w:sz w:val="18"/>
                <w:szCs w:val="18"/>
                <w:color w:val="auto"/>
              </w:rPr>
              <w:t>Drilling rig contracts</w:t>
            </w:r>
            <w:r>
              <w:rPr>
                <w:rFonts w:ascii="Arial" w:cs="Arial" w:eastAsia="Arial" w:hAnsi="Arial"/>
                <w:sz w:val="23"/>
                <w:szCs w:val="23"/>
                <w:color w:val="auto"/>
                <w:vertAlign w:val="superscript"/>
              </w:rPr>
              <w:t>(4)</w:t>
            </w:r>
          </w:p>
        </w:tc>
        <w:tc>
          <w:tcPr>
            <w:tcW w:w="1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29,961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38,536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32,609</w:t>
            </w: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w w:val="91"/>
              </w:rPr>
              <w:t>Natural gas transportation, gathering and processing agreements with</w:t>
            </w:r>
          </w:p>
        </w:tc>
        <w:tc>
          <w:tcPr>
            <w:tcW w:w="18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625,477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58,284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134,355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8"/>
                <w:szCs w:val="18"/>
                <w:color w:val="auto"/>
              </w:rPr>
              <w:t>134,386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74"/>
              <w:spacing w:after="0"/>
              <w:rPr>
                <w:sz w:val="20"/>
                <w:szCs w:val="20"/>
                <w:color w:val="auto"/>
              </w:rPr>
            </w:pPr>
            <w:r>
              <w:rPr>
                <w:rFonts w:ascii="Arial" w:cs="Arial" w:eastAsia="Arial" w:hAnsi="Arial"/>
                <w:sz w:val="18"/>
                <w:szCs w:val="18"/>
                <w:color w:val="auto"/>
              </w:rPr>
              <w:t>298,452</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non-affiliates</w:t>
            </w:r>
            <w:r>
              <w:rPr>
                <w:rFonts w:ascii="Arial" w:cs="Arial" w:eastAsia="Arial" w:hAnsi="Arial"/>
                <w:sz w:val="23"/>
                <w:szCs w:val="23"/>
                <w:color w:val="auto"/>
                <w:vertAlign w:val="superscript"/>
              </w:rPr>
              <w:t>(6)</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Gathering, processing and disposal agreements with San Mateo</w:t>
            </w:r>
            <w:r>
              <w:rPr>
                <w:rFonts w:ascii="Arial" w:cs="Arial" w:eastAsia="Arial" w:hAnsi="Arial"/>
                <w:sz w:val="23"/>
                <w:szCs w:val="23"/>
                <w:color w:val="auto"/>
                <w:w w:val="96"/>
                <w:vertAlign w:val="superscript"/>
              </w:rPr>
              <w:t>(7)</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510,896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59,518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163,614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287,764</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Natural gas engineering, construction and installation contract</w:t>
            </w:r>
            <w:r>
              <w:rPr>
                <w:rFonts w:ascii="Arial" w:cs="Arial" w:eastAsia="Arial" w:hAnsi="Arial"/>
                <w:sz w:val="23"/>
                <w:szCs w:val="23"/>
                <w:color w:val="auto"/>
                <w:w w:val="99"/>
                <w:vertAlign w:val="superscript"/>
              </w:rPr>
              <w:t>(8)</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3,102,805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113,386</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235,525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1,081,420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1,672,474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340" w:right="100" w:hanging="332"/>
        <w:spacing w:after="0" w:line="273" w:lineRule="auto"/>
        <w:tabs>
          <w:tab w:leader="none" w:pos="33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June 30, 2020, we had $385.0 million in borrowings outstanding under the Credit Agreement and approximately $45.1 million in outstanding letters of credit issued pursuant to the Credit Agreement. The Credit Agreement matures in October 2023. At June 30, 2020, San Mateo I had $320.0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1.68% and 1.93% (for the Credit Agreement and the San Mateo Credit Facility), respectively, at June 30, 2020, the interest expense is expected to be approximately $6.6 million and $6.3 million each year until maturity.</w:t>
      </w:r>
    </w:p>
    <w:p>
      <w:pPr>
        <w:spacing w:after="0" w:line="67" w:lineRule="exact"/>
        <w:rPr>
          <w:rFonts w:ascii="Arial" w:cs="Arial" w:eastAsia="Arial" w:hAnsi="Arial"/>
          <w:sz w:val="13"/>
          <w:szCs w:val="13"/>
          <w:color w:val="auto"/>
        </w:rPr>
      </w:pPr>
    </w:p>
    <w:p>
      <w:pPr>
        <w:ind w:left="340" w:right="460" w:hanging="332"/>
        <w:spacing w:after="0" w:line="273"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June 30, 2020 is expected to be approximately $61.7 million each year until maturity.</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 June 30, 2020, we had outstanding commitments to drill and complete and to participate in the drilling and completion of various operated and non-operated wells.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June 30, 2020.</w:t>
      </w:r>
    </w:p>
    <w:p>
      <w:pPr>
        <w:spacing w:after="0" w:line="109" w:lineRule="exact"/>
        <w:rPr>
          <w:rFonts w:ascii="Arial" w:cs="Arial" w:eastAsia="Arial" w:hAnsi="Arial"/>
          <w:sz w:val="14"/>
          <w:szCs w:val="14"/>
          <w:color w:val="auto"/>
        </w:rPr>
      </w:pPr>
    </w:p>
    <w:p>
      <w:pPr>
        <w:ind w:left="340" w:right="140" w:hanging="332"/>
        <w:spacing w:after="0" w:line="252"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salt water from certain portions of our acreage for gathering, transportation, processing, fractionation, sales and, in the case of salt water,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9" w:lineRule="exact"/>
        <w:rPr>
          <w:rFonts w:ascii="Arial" w:cs="Arial" w:eastAsia="Arial" w:hAnsi="Arial"/>
          <w:sz w:val="14"/>
          <w:szCs w:val="14"/>
          <w:color w:val="auto"/>
        </w:rPr>
      </w:pPr>
    </w:p>
    <w:p>
      <w:pPr>
        <w:ind w:left="340" w:right="20" w:hanging="332"/>
        <w:spacing w:after="0" w:line="247"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 gathering, natural gas processing and salt water disposal. See Note 9 to the interim unaudited condensed consolidated financial statements in this Quarterly Report for more information about these contractual commitments.</w:t>
      </w:r>
    </w:p>
    <w:p>
      <w:pPr>
        <w:spacing w:after="0" w:line="85" w:lineRule="exact"/>
        <w:rPr>
          <w:rFonts w:ascii="Arial" w:cs="Arial" w:eastAsia="Arial" w:hAnsi="Arial"/>
          <w:sz w:val="14"/>
          <w:szCs w:val="14"/>
          <w:color w:val="auto"/>
        </w:rPr>
      </w:pPr>
    </w:p>
    <w:p>
      <w:pPr>
        <w:ind w:left="340" w:hanging="332"/>
        <w:spacing w:after="0" w:line="257"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June 2019, a subsidiary of San Mateo II entered into an agreement with third parties for the engineering, procurement, construction and installation of an expansion of the Black River Processing Plant, including required compression. See Note 9 to the interim unaudited condensed consolidated financial statements in this Quarterly Report for more information about these contractual commitments.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During the first quarter of 2020, the oil and natural gas industry witnessed an abrupt and significant decline in oil prices, which continued through April but began to improve in May and June. For the three months ended June 30, 2020, oil prices averaged $28.00 per Bbl, ranging from a low of ($37.63) per Bbl in mid-April to a high of $40.46 per Bbl in late June, based upon the NYMEX WTI oil futures contract price for the earliest delivery date.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w:t>
      </w:r>
    </w:p>
    <w:p>
      <w:pPr>
        <w:spacing w:after="0" w:line="8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As noted previously in this Quarterly Report, we significantly modified our 2020 operational plan primarily as a result of these unexpected events and the resulting decline in oil prices. We began 2020 operating six drilling rigs in the Delaware Basin but reduced our operated drilling program from six to three drilling rigs by the end of the second quarter of 2020. We expect to operate three drilling rigs in the Delaware Basin throughout the remainder of 2020, but we are prepared to further reduce our drilling activities should conditions warrant. The general outlook for the oil and natural gas industry for the remainder of 2020 remains highly uncertain, and we can provide no assurances as to when the economic disruptions resulting from COVID-19 and the corresponding decline in oil demand may improve. Until such time, however, we anticipate that oil prices will remain well below the prices realized in 2019.</w:t>
      </w:r>
    </w:p>
    <w:p>
      <w:pPr>
        <w:spacing w:after="0" w:line="8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realized a weighted average oil price of $24.03 per Bbl ($35.28 per Bbl including realized gains from oil derivatives) for our oil production for the three months ended June 30, 2020, as compared to $56.51 per Bbl ($56.86 per Bbl including realized gains from oil derivatives) for our oil production for the three months ended June 30, 2019. At July 28, 2020, the NYMEX WTI oil futures contract for the earliest delivery date had increased from the average price for the second quarter of 2020 of $28.00 per Bbl, settling at $41.04 per Bbl, which was a decrease as compared to $56.20 per Bbl at July 26, 2019.</w:t>
      </w:r>
    </w:p>
    <w:p>
      <w:pPr>
        <w:spacing w:after="0" w:line="80" w:lineRule="exact"/>
        <w:rPr>
          <w:sz w:val="20"/>
          <w:szCs w:val="20"/>
          <w:color w:val="auto"/>
        </w:rPr>
      </w:pPr>
    </w:p>
    <w:p>
      <w:pPr>
        <w:ind w:right="140" w:firstLine="445"/>
        <w:spacing w:after="0" w:line="271" w:lineRule="auto"/>
        <w:rPr>
          <w:sz w:val="20"/>
          <w:szCs w:val="20"/>
          <w:color w:val="auto"/>
        </w:rPr>
      </w:pPr>
      <w:r>
        <w:rPr>
          <w:rFonts w:ascii="Arial" w:cs="Arial" w:eastAsia="Arial" w:hAnsi="Arial"/>
          <w:sz w:val="17"/>
          <w:szCs w:val="17"/>
          <w:color w:val="auto"/>
        </w:rPr>
        <w:t>Natural gas prices were also lower in the second quarter of 2020, as compared to the second quarter of 2019. For the three months ended June 30, 2020, natural gas prices averaged $1.75 per MMBtu, ranging from a high of $2.13 per MMBtu in early May to a low of $1.48 per MMBtu in late June, based upon the NYMEX Henry Hub natural gas futures contract price for the earliest delivery date. We realized a weighted average natural gas price of $1.49 per Mcf (with no realized gains or losses from natural gas derivatives) for our natural gas production (including revenues attributable to NGLs) for the three months ended June 30, 2020, as compared to $1.64 per Mcf (including negligible realized losses from natural gas derivatives) for our natural gas production (including revenues attributable to NGLs) for the three months ended June 30, 2019. At July 28, 2020, the NYMEX Henry Hub natural gas futures contract price for the earliest delivery date had increased slightly from the end of the second quarter of 2020, settling at $1.80 per MMBtu, which was a decrease as compared to $2.17 per MMBtu at July 26, 2019.</w:t>
      </w:r>
    </w:p>
    <w:p>
      <w:pPr>
        <w:spacing w:after="0" w:line="7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or when oil and natural gas prices may rise from their current levels, and, in fact, oil and natural gas prices may decrease in future periods. See “Risk Factors — Our Success Is Dependent on the Prices of Oil and Natural Gas. Low Oil and Natural Gas Prices and the Continued Volatility in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Prices May Adversely Affect Our Financial Condition and Our Ability to Meet Our Capital Expenditure Requirements and Financial Obligations.” in the Annual Report.</w:t>
      </w:r>
    </w:p>
    <w:p>
      <w:pPr>
        <w:spacing w:after="0" w:line="62"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w:t>
      </w:r>
    </w:p>
    <w:p>
      <w:pPr>
        <w:spacing w:after="0" w:line="63"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prices we receive for our oil and natural gas production often reflect a discount to the relevant benchmark prices, such as the NYMEX WTI oil price or the NYMEX Henry Hub natural gas price. The difference between the benchmark price and the price we receive is called a differential. At June 30, 2020, most of our oil production from the Delaware Basin was sold based on prices established in Midland, Texas. For most of the first nine months of 2019, almost all of our natural gas production from the Delaware Basin was sold based on prices established at the Waha Hub in far West Texas, and portions of our natural gas are still sold based on Waha prices. At the end of September 2019, however, the Kinder Morgan Gulf Coast Express Pipeline Project (the “GCX Pipeline”) became operational. We have secured firm natural gas transportation and sales on the GCX Pipeline for an average of approximately 110,000 to 115,000 MMBtu per day at a natural gas price based upon Houston Ship Channel pricing.</w:t>
      </w:r>
    </w:p>
    <w:p>
      <w:pPr>
        <w:spacing w:after="0" w:line="6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After a lengthy period beginning in the second quarter of 2018 in which the Midland-Cushing (Oklahoma) oil price differential was negative, reaching as high as ($16.00) per Bbl in late September 2018, this oil price differential became positive late in the third quarter of 2019 and remained positive into the first quarter of 2020. With the abrupt decline in oil prices during the first quarter of 2020, however, the Midland-Cushing (Oklahoma) oil price differential experienced significant volatility in April 2020, reaching ($6.00) per Bbl before improving throughout the rest of the second quarter of 2020, especially for the month of June 2020. At July 28, 2020, this oil price differential was approximately $0.25 per Bbl. It is possible that the differential could turn negative again at certain times during the remainder of 2020. At July 28, 2020, we had derivative contracts in place to mitigate our exposure to this Midland-Cushing (Oklahoma) oil price differential on a portion of our anticipated oil production for the remainder of 2020 and throughout 2021 and 2022.</w:t>
      </w:r>
    </w:p>
    <w:p>
      <w:pPr>
        <w:spacing w:after="0" w:line="84"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Our realized prices for a portion of our Delaware Basin natural gas production are exposed to the Waha-Henry Hub basis differential. This Waha basis differential has increased significantly over the past two years, including a few days in April 2019 when natural gas was being sold at the Waha hub for negative prices as high as ($7.00) to ($9.00) per MMBtu on a daily market basis. During the second half of 2019, the Waha basis differentials improved and natural gas prices at the Waha hub averaged approximately $1.00 per MMBtu for the final six months of the year. Despite improving during the second half of 2019, beginning in the fourth quarter, the Waha basis differential widened further at times, and natural gas prices at the Waha hub were slightly negative on certain days in late December 2019. In early 2020, the Waha basis differential continued to deteriorate, and natural gas prices at the Waha hub were negative on certain days in April 2020. However, the Waha basis differential narrowed during the remainder of the second quarter of 2020. At July 28, 2020, the Waha basis differential was approximately ($0.50) per MMBtu.</w:t>
      </w:r>
    </w:p>
    <w:p>
      <w:pPr>
        <w:spacing w:after="0" w:line="70"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Beginning in late September 2019, as the GCX Pipeline became operational, we began selling a majority of our produced Delaware Basin natural gas at Houston Ship Channel pricing, and we have realized an improvement in the natural gas pricing received despite higher transportation charges incurred to transport the natural gas to the Gulf Coast. Further, approximately 24% of our reported natural gas production in the first half of 2020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53"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We anticipate that the volatility in these oil and natural gas price differentials could persist throughout 2020 or longer until additional oil and natural gas pipeline capacity from West Texas to the Texas Gulf Coast and other end markets is completed and as the balance between oil supply and demand is restored. We can provide no assurances as to how long these volatile differentials may persist, and as noted above,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during 2020.</w:t>
      </w:r>
    </w:p>
    <w:p>
      <w:pPr>
        <w:spacing w:after="0" w:line="70"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In addition to concerns regarding oil and natural gas prices and basis differentials, the destruction of global oil demand resulting from the decline in economic activity associated with COVID-19, in conjunction with the recent actions initiated by Saudi Arabia to increase its oil production to world markets, has led to a significant oversupply of oil worldwide. On April 10, 2020, the members of OPEC+ (led by Saudi Arabia) reversed course and announced their intentions to reduce oil production significantly for the remainder of 2020 and into 2021 and 2022. It is uncertain, however, to what degree these production cuts may restore the balance between oil supply and demand, and most oil and natural gas industry observers remain skeptical that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oil prices can improve substantially until oil demand improves, most likely as a result of the “re-opening” of the world economy as concerns surrounding COVID-19 begin to subside.</w:t>
      </w:r>
    </w:p>
    <w:p>
      <w:pPr>
        <w:spacing w:after="0" w:line="6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the near term, it also remains possible that oil production in the United States may exceed available oil storage capacity, especially as domestic producers return to production wells that were recently shut in. Should this occur, we may be required by our oil purchasers to shut in a portion or all of our oil production for a period of time. Further, the concern over available oil storage capacity may also result in lower oil prices, and as a result, we may elect to shut in or curtail certain volumes of our oil production temporarily rather than sell the oil at further depressed prices. During the second quarter of 2020, we voluntarily curtailed or shut in portions of our Delaware Basin and Eagle Ford shale oil production in May and June 2020. As most of our natural gas production in the Delaware Basin is associated with oil production, portions of our natural gas production were also curtailed or shut in. When shut-in wells resume production, they may not produce at their previous rates, and we may be required to expend capital to improve their production. We can provide no assurances as to whether additional portions of our production may be shut in or curtailed in the future or how long these periods may persist.</w:t>
      </w:r>
    </w:p>
    <w:p>
      <w:pPr>
        <w:spacing w:after="0" w:line="57" w:lineRule="exact"/>
        <w:rPr>
          <w:sz w:val="20"/>
          <w:szCs w:val="20"/>
          <w:color w:val="auto"/>
        </w:rPr>
      </w:pPr>
    </w:p>
    <w:p>
      <w:pPr>
        <w:ind w:right="20" w:firstLine="405"/>
        <w:spacing w:after="0" w:line="283" w:lineRule="auto"/>
        <w:rPr>
          <w:sz w:val="20"/>
          <w:szCs w:val="20"/>
          <w:color w:val="auto"/>
        </w:rPr>
      </w:pPr>
      <w:r>
        <w:rPr>
          <w:rFonts w:ascii="Arial" w:cs="Arial" w:eastAsia="Arial" w:hAnsi="Arial"/>
          <w:sz w:val="16"/>
          <w:szCs w:val="16"/>
          <w:color w:val="auto"/>
        </w:rPr>
        <w:t>Further, if oil prices remain at their current depressed levels during the third quarter of 2020, we anticipate that we could realize another full-cost ceiling impairment to the net capitalized value of our oil and natural gas properties. In determining whether a full-cost ceiling impairment existed at June 30, 2020, we estimated the value, discounted at 10%, of our total proved oil and natural gas reserves using the unweighted arithmetic average of oil and natural gas prices as of the first day of each month for the trailing 12-month period ended June 30, 2020 as required under the guidelines established by the SEC, which were $43.60 per Bbl and $2.07 per MMBtu, respectively. We recorded an impairment charge of $324.0 million at June 30, 2020. If the unweighted arithmetic average of oil and natural gas prices as of the first day of each month for the trailing 12-month period ended June 30, 2020 had been $39.42 per Bbl and $1.91 per MMBtu, respectively, while all other factors remained constant, our full-cost ceiling would have been further impaired by approximately $300.0 million on a pro forma basis. The aforementioned pro forma prices, as estimated for the twelve month period October 2019 through September 2020, were calculated using a 12-month unweighted arithmetic average of oil and natural gas prices, which included the oil and natural gas prices on the first day of the month for the 10 months ended July 2020, with the price for July 2020 being held constant for August and September</w:t>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2020. This pro forma excess of our net capitalized costs above the full-cost ceiling is attributable to a pro forma reduction of approximately $300.0 million in the estimated value, discounted at 10%, of our total proved oil and natural gas reserves, including a pro forma decrease in our estimated total proved reserves of approximately 5% from our estimated proved reserves at June 30, 2020, primarily attributable to certain proved undeveloped locations that would no longer be classified as proved undeveloped reserves using the pro forma prices. This calculation of the impact of lower commodity prices on our estimated total proved oil and natural gas reserves and our full-cost ceiling was prepared based on the presumption that all other inputs and assumptions are held constant with the exception of oil and natural gas prices. Therefore, this calculation strictly isolates the impact of commodity prices on our full-cost ceiling and proved reserves. Commodity prices are among several variables impacting the estimation of our proved reserves and full-cost ceiling, and other factors could have a significant effect on our future proved reserves and the present value of future cash flows, including, but not limited to, extensions and discoveries, acquisitions of proved reserves, changes in drilling and completion and operating costs, drilling results, revisions due to well performance and other factors, changes in development plans and production, among others. There are numerous uncertainties inherent in the estimation of proved oil and natural gas reserves and accounting for oil and natural gas properties in subsequent periods and this pro forma estimate should not be construed as indicative of our development plans or future results.</w:t>
      </w:r>
    </w:p>
    <w:p>
      <w:pPr>
        <w:spacing w:after="0" w:line="13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2019 and 2020, separate bills were introduced in the New Mexico Senate proposing to add a surtax on natural gas processors and proposing to place a moratorium on hydraulic fracturing. In 2019, New Mexico’s governor also signed an executive order requiring a regulatory framework to ensure reductions of methane emissions.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6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87" w:lineRule="exact"/>
        <w:rPr>
          <w:sz w:val="20"/>
          <w:szCs w:val="20"/>
          <w:color w:val="auto"/>
        </w:rPr>
      </w:pPr>
    </w:p>
    <w:p>
      <w:pPr>
        <w:jc w:val="both"/>
        <w:ind w:right="120" w:firstLine="445"/>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2019, which are disclosed in Part II, Item 7A of the Annual Report and incorporated herein by reference.</w:t>
      </w:r>
    </w:p>
    <w:p>
      <w:pPr>
        <w:spacing w:after="0" w:line="62" w:lineRule="exact"/>
        <w:rPr>
          <w:sz w:val="20"/>
          <w:szCs w:val="20"/>
          <w:color w:val="auto"/>
        </w:rPr>
      </w:pPr>
    </w:p>
    <w:p>
      <w:pPr>
        <w:jc w:val="both"/>
        <w:ind w:right="280" w:firstLine="445"/>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us with downside price protection through the purchase of a put option, but they also allow us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In response to the decline in the price of oil, in April 2020, we repurchased the call options on certain existing open oil costless collars and kept the remaining put options, exchanged certain existing open oil costless collars and added oil swaps.</w:t>
      </w:r>
    </w:p>
    <w:p>
      <w:pPr>
        <w:spacing w:after="0" w:line="62"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June 30, 2020, The Bank of Nova Scotia, BMO Harris Financing (Bank of Montreal)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2020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June 30, 2020 that have materially affected or are reasonably likely to have a material effect on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information on our legal proceeding with the Environmental Protection Agency and the New Mexico Environment Department, see “Item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 the Annual Report. There have been no material changes regarding such legal proceeding.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We are subject to various risks and uncertainties in the course of our business. For a discussion of such risks and uncertainties, please see “Item 1A. Risk Factors” in the Annual Report and in our Quarterly Report on Form 10-Q for the quarter ended March 31, 2020. There have been no material changes to the risk factors we have disclosed in such reports.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During the quarter ended June 30, 2020, the Company re-acquired shares of common stock from certain employees in order to satisfy the employees’ tax liability in connection with the vesting of restricted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 Purchased as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72"/>
        </w:trPr>
        <w:tc>
          <w:tcPr>
            <w:tcW w:w="4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Purchased under the</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340" w:type="dxa"/>
            <w:vAlign w:val="bottom"/>
            <w:vMerge w:val="restart"/>
          </w:tcPr>
          <w:p>
            <w:pPr>
              <w:ind w:left="19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2"/>
                <w:szCs w:val="2"/>
                <w:color w:val="auto"/>
              </w:rPr>
            </w:pPr>
          </w:p>
        </w:tc>
        <w:tc>
          <w:tcPr>
            <w:tcW w:w="1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Paid Per Share</w:t>
            </w:r>
          </w:p>
        </w:tc>
        <w:tc>
          <w:tcPr>
            <w:tcW w:w="100" w:type="dxa"/>
            <w:vAlign w:val="bottom"/>
            <w:vMerge w:val="restart"/>
          </w:tcPr>
          <w:p>
            <w:pPr>
              <w:spacing w:after="0"/>
              <w:rPr>
                <w:sz w:val="2"/>
                <w:szCs w:val="2"/>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vMerge w:val="restart"/>
          </w:tcPr>
          <w:p>
            <w:pPr>
              <w:spacing w:after="0"/>
              <w:rPr>
                <w:sz w:val="2"/>
                <w:szCs w:val="2"/>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line="20" w:lineRule="exact"/>
              <w:rPr>
                <w:sz w:val="1"/>
                <w:szCs w:val="1"/>
                <w:color w:val="auto"/>
              </w:rPr>
            </w:pPr>
          </w:p>
        </w:tc>
      </w:tr>
      <w:tr>
        <w:trPr>
          <w:trHeight w:val="229"/>
        </w:trPr>
        <w:tc>
          <w:tcPr>
            <w:tcW w:w="4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2020 to April 30, 2020</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22,678</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May 1, 2020 to May 31, 2020</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664</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9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2020 to June 30, 2020</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23,676</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2"/>
                <w:szCs w:val="22"/>
                <w:color w:val="auto"/>
              </w:rPr>
            </w:pPr>
          </w:p>
        </w:tc>
        <w:tc>
          <w:tcPr>
            <w:tcW w:w="184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160" w:hanging="332"/>
        <w:spacing w:after="0" w:line="273"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9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8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20" w:type="dxa"/>
            <w:vAlign w:val="bottom"/>
            <w:tcBorders>
              <w:top w:val="single" w:sz="8" w:color="auto"/>
              <w:bottom w:val="single" w:sz="8" w:color="0000FF"/>
            </w:tcBorders>
            <w:gridSpan w:val="3"/>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Amended and Restated Certificate of Formation of Matador Resources Company (incorporated by reference to Exhibit 3.2 to the Quarterly</w:t>
              </w:r>
            </w:hyperlink>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Report on Form 10-Q for the quarter ended June 30, 2017).</w:t>
              </w:r>
            </w:hyperlink>
          </w:p>
        </w:tc>
        <w:tc>
          <w:tcPr>
            <w:tcW w:w="57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right"/>
              <w:ind w:right="19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4"/>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(incorporated by reference to Exhibit 3.3 to the Quarterly Report on Form 10-Q for the quarter ended June 30, 2017).</w:t>
              </w:r>
            </w:hyperlink>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3.3</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br w:type="column"/>
      </w:r>
    </w:p>
    <w:p>
      <w:pPr>
        <w:ind w:right="360"/>
        <w:spacing w:after="0" w:line="258" w:lineRule="auto"/>
        <w:rPr>
          <w:rFonts w:ascii="Arial" w:cs="Arial" w:eastAsia="Arial" w:hAnsi="Arial"/>
          <w:sz w:val="17"/>
          <w:szCs w:val="17"/>
          <w:u w:val="single" w:color="auto"/>
          <w:color w:val="0000FF"/>
        </w:rPr>
      </w:pPr>
      <w:hyperlink r:id="rId60">
        <w:r>
          <w:rPr>
            <w:rFonts w:ascii="Arial" w:cs="Arial" w:eastAsia="Arial" w:hAnsi="Arial"/>
            <w:sz w:val="17"/>
            <w:szCs w:val="17"/>
            <w:u w:val="single" w:color="auto"/>
            <w:color w:val="0000FF"/>
          </w:rPr>
          <w:t>Certificate of Amendment to the Amended and Restated Certificate of Formation of Matador Resources Company effective June 2, 2017</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(incorporated by reference to Exhibit 3.4 to the Quarterly Report on Form 10-Q for the quarter ended June 30, 2017).</w:t>
        </w:r>
      </w:hyperlink>
    </w:p>
    <w:p>
      <w:pPr>
        <w:spacing w:after="0" w:line="39"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Amended and Restated Bylaws of Matador Resources Company, as amended (incorporated by reference to Exhibit 3.1 to the Current Report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on Form 8-K filed on February 22, 2018).</w:t>
        </w:r>
      </w:hyperlink>
    </w:p>
    <w:p>
      <w:pPr>
        <w:spacing w:after="0" w:line="54" w:lineRule="exact"/>
        <w:rPr>
          <w:sz w:val="20"/>
          <w:szCs w:val="20"/>
          <w:color w:val="auto"/>
        </w:rPr>
      </w:pPr>
    </w:p>
    <w:p>
      <w:pPr>
        <w:sectPr>
          <w:pgSz w:w="11900" w:h="16838" w:orient="portrait"/>
          <w:cols w:equalWidth="0" w:num="2">
            <w:col w:w="600" w:space="420"/>
            <w:col w:w="10220"/>
          </w:cols>
          <w:pgMar w:left="320" w:top="125" w:right="33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31.1</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31.2</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32.1</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32.2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of Principal Executive Officer pursuant to Section 302 of the Sarbanes-Oxley Act of 2002 (filed herewith).</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Principal Financial Officer pursuant to Section 302 of the Sarbanes-Oxley Act of 2002 (filed herewith).</w:t>
        </w:r>
      </w:hyperlink>
    </w:p>
    <w:p>
      <w:pPr>
        <w:spacing w:after="0" w:line="117"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Act of 2002 (furnished herewith).</w:t>
        </w:r>
      </w:hyperlink>
    </w:p>
    <w:p>
      <w:pPr>
        <w:spacing w:after="0" w:line="54"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Act of 2002 (furnished herewith).</w:t>
        </w:r>
      </w:hyperlink>
    </w:p>
    <w:p>
      <w:pPr>
        <w:spacing w:after="0" w:line="54" w:lineRule="exact"/>
        <w:rPr>
          <w:sz w:val="20"/>
          <w:szCs w:val="20"/>
          <w:color w:val="auto"/>
        </w:rPr>
      </w:pPr>
    </w:p>
    <w:p>
      <w:pPr>
        <w:sectPr>
          <w:pgSz w:w="11900" w:h="16838" w:orient="portrait"/>
          <w:cols w:equalWidth="0" w:num="2">
            <w:col w:w="640" w:space="380"/>
            <w:col w:w="10220"/>
          </w:cols>
          <w:pgMar w:left="320" w:top="125" w:right="339" w:bottom="1440" w:gutter="0" w:footer="0" w:header="0"/>
          <w:type w:val="continuous"/>
        </w:sectPr>
      </w:pPr>
    </w:p>
    <w:p>
      <w:pPr>
        <w:ind w:left="1020" w:right="140" w:hanging="648"/>
        <w:spacing w:after="0" w:line="22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Quarterly Report on Form 10-Q for the quarter ended June 30, 2020,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71" w:lineRule="exact"/>
        <w:rPr>
          <w:sz w:val="20"/>
          <w:szCs w:val="20"/>
          <w:color w:val="auto"/>
        </w:rPr>
      </w:pPr>
    </w:p>
    <w:p>
      <w:pPr>
        <w:ind w:left="1020" w:hanging="64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as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Date: July 31, 2020</w:t>
            </w:r>
          </w:p>
        </w:tc>
        <w:tc>
          <w:tcPr>
            <w:tcW w:w="2440" w:type="dxa"/>
            <w:vAlign w:val="bottom"/>
          </w:tcPr>
          <w:p>
            <w:pPr>
              <w:ind w:left="1700"/>
              <w:spacing w:after="0"/>
              <w:rPr>
                <w:sz w:val="20"/>
                <w:szCs w:val="20"/>
                <w:color w:val="auto"/>
              </w:rPr>
            </w:pPr>
            <w:r>
              <w:rPr>
                <w:rFonts w:ascii="Arial" w:cs="Arial" w:eastAsia="Arial" w:hAnsi="Arial"/>
                <w:sz w:val="18"/>
                <w:szCs w:val="18"/>
                <w:color w:val="auto"/>
              </w:rPr>
              <w:t>By:</w:t>
            </w:r>
          </w:p>
        </w:tc>
        <w:tc>
          <w:tcPr>
            <w:tcW w:w="562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1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378"/>
        </w:trPr>
        <w:tc>
          <w:tcPr>
            <w:tcW w:w="3120" w:type="dxa"/>
            <w:vAlign w:val="bottom"/>
          </w:tcPr>
          <w:p>
            <w:pPr>
              <w:spacing w:after="0"/>
              <w:rPr>
                <w:sz w:val="20"/>
                <w:szCs w:val="20"/>
                <w:color w:val="auto"/>
              </w:rPr>
            </w:pPr>
            <w:r>
              <w:rPr>
                <w:rFonts w:ascii="Arial" w:cs="Arial" w:eastAsia="Arial" w:hAnsi="Arial"/>
                <w:sz w:val="18"/>
                <w:szCs w:val="18"/>
                <w:color w:val="auto"/>
              </w:rPr>
              <w:t>Date: July 31, 2020</w:t>
            </w:r>
          </w:p>
        </w:tc>
        <w:tc>
          <w:tcPr>
            <w:tcW w:w="2440" w:type="dxa"/>
            <w:vAlign w:val="bottom"/>
          </w:tcPr>
          <w:p>
            <w:pPr>
              <w:ind w:left="1700"/>
              <w:spacing w:after="0"/>
              <w:rPr>
                <w:sz w:val="20"/>
                <w:szCs w:val="20"/>
                <w:color w:val="auto"/>
              </w:rPr>
            </w:pPr>
            <w:r>
              <w:rPr>
                <w:rFonts w:ascii="Arial" w:cs="Arial" w:eastAsia="Arial" w:hAnsi="Arial"/>
                <w:sz w:val="18"/>
                <w:szCs w:val="18"/>
                <w:color w:val="auto"/>
              </w:rPr>
              <w:t>By:</w:t>
            </w:r>
          </w:p>
        </w:tc>
        <w:tc>
          <w:tcPr>
            <w:tcW w:w="562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1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484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31750</wp:posOffset>
            </wp:positionV>
            <wp:extent cx="23399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40" w:hanging="18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2503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80"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2020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70"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31750</wp:posOffset>
            </wp:positionV>
            <wp:extent cx="2339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June 30, 2020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70" w:lineRule="exact"/>
        <w:rPr>
          <w:sz w:val="20"/>
          <w:szCs w:val="20"/>
          <w:color w:val="auto"/>
        </w:rPr>
      </w:pPr>
    </w:p>
    <w:p>
      <w:pPr>
        <w:ind w:left="20"/>
        <w:spacing w:after="0"/>
        <w:tabs>
          <w:tab w:leader="none" w:pos="4960" w:val="left"/>
        </w:tabs>
        <w:rPr>
          <w:sz w:val="20"/>
          <w:szCs w:val="20"/>
          <w:color w:val="auto"/>
        </w:rPr>
      </w:pPr>
      <w:r>
        <w:rPr>
          <w:rFonts w:ascii="Arial" w:cs="Arial" w:eastAsia="Arial" w:hAnsi="Arial"/>
          <w:sz w:val="18"/>
          <w:szCs w:val="18"/>
          <w:color w:val="auto"/>
        </w:rPr>
        <w:t>July 31,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2451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8" Type="http://schemas.openxmlformats.org/officeDocument/2006/relationships/hyperlink" Target="http://www.sec.gov/Archives/edgar/data/1520006/000152000617000188/a20170630mtdr10q-exhibit32.htm" TargetMode="External"/><Relationship Id="rId59" Type="http://schemas.openxmlformats.org/officeDocument/2006/relationships/hyperlink" Target="http://www.sec.gov/Archives/edgar/data/1520006/000152000617000188/a20170630mtdr10q-exhibit33.htm" TargetMode="External"/><Relationship Id="rId60" Type="http://schemas.openxmlformats.org/officeDocument/2006/relationships/hyperlink" Target="http://www.sec.gov/Archives/edgar/data/1520006/000152000617000188/a20170630mtdr10q-exhibit34.htm" TargetMode="External"/><Relationship Id="rId61"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2020-07-31T15:13:09Z</dcterms:created>
  <dcterms:modified xsi:type="dcterms:W3CDTF">2020-07-31T15:13:09Z</dcterms:modified>
</cp:coreProperties>
</file>