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 </w:t>
      </w:r>
    </w:p>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2024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  </w:t>
      </w:r>
    </w:p>
    <w:p>
      <w:pPr>
        <w:pStyle w:val="TextBody"/>
        <w:bidi w:val="0"/>
        <w:spacing w:lineRule="auto" w:line="21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LBJ Freeway, Suite 1500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 xml:space="preserve">As of April 23, 2024, there were 124,780,249 shares of the registrant’s common </w:t>
      </w:r>
      <w:r>
        <w:rPr>
          <w:rFonts w:ascii="Times New Roman;sans-serif" w:hAnsi="Times New Roman;sans-serif"/>
          <w:b w:val="false"/>
          <w:color w:val="000000"/>
          <w:sz w:val="18"/>
          <w:shd w:fill="FFFFFF" w:val="clear"/>
        </w:rPr>
        <w:t>s</w:t>
      </w:r>
      <w:r>
        <w:rPr>
          <w:rFonts w:ascii="Times New Roman;sans-serif" w:hAnsi="Times New Roman;sans-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5"/>
        <w:gridCol w:w="158"/>
        <w:gridCol w:w="158"/>
        <w:gridCol w:w="226"/>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0">
              <w:r>
                <w:rPr>
                  <w:rStyle w:val="InternetLink"/>
                  <w:rFonts w:ascii="Times New Roman;sans-serif" w:hAnsi="Times New Roman;sans-serif"/>
                  <w:b w:val="false"/>
                  <w:color w:val="0000FF"/>
                  <w:sz w:val="20"/>
                  <w:u w:val="single"/>
                </w:rPr>
                <w:t>PART I — FINANCIAL INFORMATION</w:t>
              </w:r>
            </w:hyperlink>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430ef3d8ab4d4ca6a96533a35316bc06_10">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3">
              <w:r>
                <w:rPr>
                  <w:rStyle w:val="InternetLink"/>
                  <w:rFonts w:ascii="Times New Roman;sans-serif" w:hAnsi="Times New Roman;sans-serif"/>
                  <w:b w:val="false"/>
                  <w:color w:val="0000FF"/>
                  <w:sz w:val="20"/>
                  <w:u w:val="single"/>
                </w:rPr>
                <w:t>Item 1. Financial Statements —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3">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6">
              <w:r>
                <w:rPr>
                  <w:rStyle w:val="InternetLink"/>
                  <w:rFonts w:ascii="Times New Roman;sans-serif" w:hAnsi="Times New Roman;sans-serif"/>
                  <w:b w:val="false"/>
                  <w:color w:val="0000FF"/>
                  <w:sz w:val="20"/>
                  <w:u w:val="single"/>
                </w:rPr>
                <w:t>Condensed Consolidated Balance Sheets at March 31, 2024 and December 31, 2023</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6">
              <w:r>
                <w:rPr>
                  <w:rStyle w:val="InternetLink"/>
                  <w:rFonts w:ascii="Times New Roman;sans-serif" w:hAnsi="Times New Roman;sans-serif"/>
                  <w:b w:val="false"/>
                  <w:color w:val="0000FF"/>
                  <w:sz w:val="20"/>
                  <w:u w:val="single"/>
                </w:rPr>
                <w:t>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22">
              <w:r>
                <w:rPr>
                  <w:rStyle w:val="InternetLink"/>
                  <w:rFonts w:ascii="Times New Roman;sans-serif" w:hAnsi="Times New Roman;sans-serif"/>
                  <w:b w:val="false"/>
                  <w:color w:val="000080"/>
                  <w:sz w:val="20"/>
                  <w:u w:val="single"/>
                </w:rPr>
                <w:t xml:space="preserve">Condensed Consolidated Statements of </w:t>
              </w:r>
            </w:hyperlink>
            <w:hyperlink w:anchor="i430ef3d8ab4d4ca6a96533a35316bc06_22">
              <w:r>
                <w:rPr>
                  <w:rStyle w:val="InternetLink"/>
                  <w:rFonts w:ascii="Times New Roman;sans-serif" w:hAnsi="Times New Roman;sans-serif"/>
                  <w:b w:val="false"/>
                  <w:color w:val="000080"/>
                  <w:sz w:val="20"/>
                  <w:u w:val="single"/>
                </w:rPr>
                <w:t>Income</w:t>
              </w:r>
            </w:hyperlink>
            <w:hyperlink w:anchor="i430ef3d8ab4d4ca6a96533a35316bc06_22">
              <w:r>
                <w:rPr>
                  <w:rStyle w:val="InternetLink"/>
                  <w:rFonts w:ascii="Times New Roman;sans-serif" w:hAnsi="Times New Roman;sans-serif"/>
                  <w:b w:val="false"/>
                  <w:color w:val="000080"/>
                  <w:sz w:val="20"/>
                  <w:u w:val="single"/>
                </w:rPr>
                <w:t xml:space="preserve"> for the Three Months Ended March 31, 2024 and 2023</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22">
              <w:r>
                <w:rPr>
                  <w:rStyle w:val="InternetLink"/>
                  <w:rFonts w:ascii="Times New Roman;sans-serif" w:hAnsi="Times New Roman;sans-serif"/>
                  <w:b w:val="false"/>
                  <w:color w:val="0000FF"/>
                  <w:sz w:val="20"/>
                  <w:u w:val="single"/>
                </w:rPr>
                <w:t>4</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25">
              <w:r>
                <w:rPr>
                  <w:rStyle w:val="InternetLink"/>
                  <w:rFonts w:ascii="Times New Roman;sans-serif" w:hAnsi="Times New Roman;sans-serif"/>
                  <w:b w:val="false"/>
                  <w:color w:val="0000FF"/>
                  <w:sz w:val="20"/>
                  <w:u w:val="single"/>
                </w:rPr>
                <w:t>Condensed Consolidated Statements of Changes in Shareholders’ Equity for the Three Months Ended March 31, 2024 and 2023</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25">
              <w:r>
                <w:rPr>
                  <w:rStyle w:val="InternetLink"/>
                  <w:rFonts w:ascii="Times New Roman;sans-serif" w:hAnsi="Times New Roman;sans-serif"/>
                  <w:b w:val="false"/>
                  <w:color w:val="0000FF"/>
                  <w:sz w:val="20"/>
                  <w:u w:val="single"/>
                </w:rPr>
                <w:t>5</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31">
              <w:r>
                <w:rPr>
                  <w:rStyle w:val="InternetLink"/>
                  <w:rFonts w:ascii="Times New Roman;sans-serif" w:hAnsi="Times New Roman;sans-serif"/>
                  <w:b w:val="false"/>
                  <w:color w:val="0000FF"/>
                  <w:sz w:val="20"/>
                  <w:u w:val="single"/>
                </w:rPr>
                <w:t>Condensed Consolidated Statements of Cash Flows for the Three Months Ended March 31, 2024 and 2023</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31">
              <w:r>
                <w:rPr>
                  <w:rStyle w:val="InternetLink"/>
                  <w:rFonts w:ascii="Times New Roman;sans-serif" w:hAnsi="Times New Roman;sans-serif"/>
                  <w:b w:val="false"/>
                  <w:color w:val="0000FF"/>
                  <w:sz w:val="20"/>
                  <w:u w:val="single"/>
                </w:rPr>
                <w:t>7</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34">
              <w:r>
                <w:rPr>
                  <w:rStyle w:val="InternetLink"/>
                  <w:rFonts w:ascii="Times New Roman;sans-serif" w:hAnsi="Times New Roman;sans-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37">
              <w:r>
                <w:rPr>
                  <w:rStyle w:val="InternetLink"/>
                  <w:rFonts w:ascii="Times New Roman;sans-serif" w:hAnsi="Times New Roman;sans-serif"/>
                  <w:b w:val="false"/>
                  <w:color w:val="0000FF"/>
                  <w:sz w:val="20"/>
                  <w:u w:val="single"/>
                </w:rPr>
                <w:t>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97">
              <w:r>
                <w:rPr>
                  <w:rStyle w:val="InternetLink"/>
                  <w:rFonts w:ascii="Times New Roman;sans-serif" w:hAnsi="Times New Roman;sans-serif"/>
                  <w:b w:val="false"/>
                  <w:color w:val="0000FF"/>
                  <w:sz w:val="20"/>
                  <w:u w:val="single"/>
                </w:rPr>
                <w:t>22</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42">
              <w:r>
                <w:rPr>
                  <w:rStyle w:val="InternetLink"/>
                  <w:rFonts w:ascii="Times New Roman;sans-serif" w:hAnsi="Times New Roman;sans-serif"/>
                  <w:b w:val="false"/>
                  <w:color w:val="0000FF"/>
                  <w:sz w:val="20"/>
                  <w:u w:val="single"/>
                </w:rPr>
                <w:t>Item 3. 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42">
              <w:r>
                <w:rPr>
                  <w:rStyle w:val="InternetLink"/>
                  <w:rFonts w:ascii="Times New Roman;sans-serif" w:hAnsi="Times New Roman;sans-serif"/>
                  <w:b w:val="false"/>
                  <w:color w:val="0000FF"/>
                  <w:sz w:val="20"/>
                  <w:u w:val="single"/>
                </w:rPr>
                <w:t>38</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45">
              <w:r>
                <w:rPr>
                  <w:rStyle w:val="InternetLink"/>
                  <w:rFonts w:ascii="Times New Roman;sans-serif" w:hAnsi="Times New Roman;sans-serif"/>
                  <w:b w:val="false"/>
                  <w:color w:val="0000FF"/>
                  <w:sz w:val="20"/>
                  <w:u w:val="single"/>
                </w:rPr>
                <w:t>Item 4. 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45">
              <w:r>
                <w:rPr>
                  <w:rStyle w:val="InternetLink"/>
                  <w:rFonts w:ascii="Times New Roman;sans-serif" w:hAnsi="Times New Roman;sans-serif"/>
                  <w:b w:val="false"/>
                  <w:color w:val="0000FF"/>
                  <w:sz w:val="20"/>
                  <w:u w:val="single"/>
                </w:rPr>
                <w:t>40</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48">
              <w:r>
                <w:rPr>
                  <w:rStyle w:val="InternetLink"/>
                  <w:rFonts w:ascii="Times New Roman;sans-serif" w:hAnsi="Times New Roman;sans-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48">
              <w:r>
                <w:rPr>
                  <w:rStyle w:val="InternetLink"/>
                  <w:rFonts w:ascii="Times New Roman;sans-serif" w:hAnsi="Times New Roman;sans-serif"/>
                  <w:b w:val="false"/>
                  <w:color w:val="0000FF"/>
                  <w:sz w:val="20"/>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51">
              <w:r>
                <w:rPr>
                  <w:rStyle w:val="InternetLink"/>
                  <w:rFonts w:ascii="Times New Roman;sans-serif" w:hAnsi="Times New Roman;sans-serif"/>
                  <w:b w:val="false"/>
                  <w:color w:val="0000FF"/>
                  <w:sz w:val="20"/>
                  <w:u w:val="single"/>
                </w:rPr>
                <w:t>Item 1. 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51">
              <w:r>
                <w:rPr>
                  <w:rStyle w:val="InternetLink"/>
                  <w:rFonts w:ascii="Times New Roman;sans-serif" w:hAnsi="Times New Roman;sans-serif"/>
                  <w:b w:val="false"/>
                  <w:color w:val="0000FF"/>
                  <w:sz w:val="20"/>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54">
              <w:r>
                <w:rPr>
                  <w:rStyle w:val="InternetLink"/>
                  <w:rFonts w:ascii="Times New Roman;sans-serif" w:hAnsi="Times New Roman;sans-serif"/>
                  <w:b w:val="false"/>
                  <w:color w:val="0000FF"/>
                  <w:sz w:val="20"/>
                  <w:u w:val="single"/>
                </w:rPr>
                <w:t>Item 1A.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54">
              <w:r>
                <w:rPr>
                  <w:rStyle w:val="InternetLink"/>
                  <w:rFonts w:ascii="Times New Roman;sans-serif" w:hAnsi="Times New Roman;sans-serif"/>
                  <w:b w:val="false"/>
                  <w:color w:val="0000FF"/>
                  <w:sz w:val="20"/>
                  <w:u w:val="single"/>
                </w:rPr>
                <w:t>41</w:t>
              </w:r>
            </w:hyperlink>
          </w:p>
        </w:tc>
      </w:tr>
      <w:tr>
        <w:trPr/>
        <w:tc>
          <w:tcPr>
            <w:tcW w:w="9663"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60">
              <w:r>
                <w:rPr>
                  <w:rStyle w:val="InternetLink"/>
                  <w:rFonts w:ascii="Times New Roman;sans-serif" w:hAnsi="Times New Roman;sans-serif"/>
                  <w:b w:val="false"/>
                  <w:color w:val="0000FF"/>
                  <w:sz w:val="20"/>
                  <w:u w:val="single"/>
                </w:rPr>
                <w:t>Item 5.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54">
              <w:r>
                <w:rPr>
                  <w:rStyle w:val="InternetLink"/>
                  <w:rFonts w:ascii="Times New Roman;sans-serif" w:hAnsi="Times New Roman;sans-serif"/>
                  <w:b w:val="false"/>
                  <w:color w:val="0000FF"/>
                  <w:sz w:val="20"/>
                  <w:u w:val="single"/>
                </w:rPr>
                <w:t>41</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63">
              <w:r>
                <w:rPr>
                  <w:rStyle w:val="InternetLink"/>
                  <w:rFonts w:ascii="Times New Roman;sans-serif" w:hAnsi="Times New Roman;sans-serif"/>
                  <w:b w:val="false"/>
                  <w:color w:val="0000FF"/>
                  <w:sz w:val="20"/>
                  <w:u w:val="single"/>
                </w:rPr>
                <w:t>Item 6. 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63">
              <w:r>
                <w:rPr>
                  <w:rStyle w:val="InternetLink"/>
                  <w:rFonts w:ascii="Times New Roman;sans-serif" w:hAnsi="Times New Roman;sans-serif"/>
                  <w:b w:val="false"/>
                  <w:color w:val="0000FF"/>
                  <w:sz w:val="20"/>
                  <w:u w:val="single"/>
                </w:rPr>
                <w:t>43</w:t>
              </w:r>
            </w:hyperlink>
          </w:p>
        </w:tc>
      </w:tr>
      <w:tr>
        <w:trPr/>
        <w:tc>
          <w:tcPr>
            <w:tcW w:w="96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0ef3d8ab4d4ca6a96533a35316bc06_166">
              <w:r>
                <w:rPr>
                  <w:rStyle w:val="InternetLink"/>
                  <w:rFonts w:ascii="Times New Roman;sans-serif" w:hAnsi="Times New Roman;sans-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0ef3d8ab4d4ca6a96533a35316bc06_166">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75"/>
        <w:gridCol w:w="2342"/>
        <w:gridCol w:w="2363"/>
        <w:gridCol w:w="196"/>
        <w:gridCol w:w="871"/>
        <w:gridCol w:w="109"/>
        <w:gridCol w:w="109"/>
        <w:gridCol w:w="109"/>
        <w:gridCol w:w="109"/>
        <w:gridCol w:w="196"/>
        <w:gridCol w:w="871"/>
        <w:gridCol w:w="155"/>
      </w:tblGrid>
      <w:tr>
        <w:trPr/>
        <w:tc>
          <w:tcPr>
            <w:tcW w:w="277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163,660 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715,872 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1,193,257 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1,318,015 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(5,441,274)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(5,228,963)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7,378,850 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6,956,441 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8,227,329 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365,848 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685,275 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2,914,033 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 xml:space="preserve">Common stock - $0.01 par value, 160,000,000 shares authorized; 124,835,154 and 119,478,282 shares issued;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and 124,780,297 and 119,458,674 shares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54,857 and 19,608 shares,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8,227,329 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7,726,996 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31745"/>
                <wp:effectExtent l="0" t="0" r="0" b="0"/>
                <wp:wrapNone/>
                <wp:docPr id="3" name="Frame3"/>
                <a:graphic xmlns:a="http://schemas.openxmlformats.org/drawingml/2006/main">
                  <a:graphicData uri="http://schemas.microsoft.com/office/word/2010/wordprocessingShape">
                    <wps:wsp>
                      <wps:cNvSpPr txBox="1"/>
                      <wps:spPr>
                        <a:xfrm>
                          <a:off x="0" y="0"/>
                          <a:ext cx="6480175" cy="253174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8860" w:type="dxa"/>
        <w:jc w:val="left"/>
        <w:tblInd w:w="0" w:type="dxa"/>
        <w:tblLayout w:type="fixed"/>
        <w:tblCellMar>
          <w:top w:w="28" w:type="dxa"/>
          <w:left w:w="28" w:type="dxa"/>
          <w:bottom w:w="28" w:type="dxa"/>
          <w:right w:w="28" w:type="dxa"/>
        </w:tblCellMar>
      </w:tblPr>
      <w:tblGrid>
        <w:gridCol w:w="2088"/>
        <w:gridCol w:w="1830"/>
        <w:gridCol w:w="1842"/>
        <w:gridCol w:w="211"/>
        <w:gridCol w:w="826"/>
        <w:gridCol w:w="109"/>
        <w:gridCol w:w="109"/>
        <w:gridCol w:w="109"/>
        <w:gridCol w:w="109"/>
        <w:gridCol w:w="211"/>
        <w:gridCol w:w="826"/>
        <w:gridCol w:w="109"/>
        <w:gridCol w:w="109"/>
        <w:gridCol w:w="109"/>
        <w:gridCol w:w="109"/>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pPr>
      <w:r>
        <w:rPr>
          <w:rFonts w:ascii="Times New Roman;sans-serif" w:hAnsi="Times New Roman;sans-serif"/>
          <w:b/>
          <w:color w:val="000000"/>
          <w:sz w:val="20"/>
        </w:rPr>
        <w:t>For the Three Months Ended March 31, 2024</w:t>
      </w:r>
      <w:r>
        <w:rPr>
          <w:color w:val="000000"/>
        </w:rPr>
        <w:t xml:space="preserve"> </w:t>
      </w:r>
    </w:p>
    <w:tbl>
      <w:tblPr>
        <w:tblW w:w="14881"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216,826 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4,127,688 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($0.20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public offering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$0.3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2,472,681 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4,636,162 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2023</w:t>
      </w:r>
    </w:p>
    <w:tbl>
      <w:tblPr>
        <w:tblW w:w="1488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91" w:type="dxa"/>
        <w:jc w:val="left"/>
        <w:tblInd w:w="0" w:type="dxa"/>
        <w:tblLayout w:type="fixed"/>
        <w:tblCellMar>
          <w:top w:w="28" w:type="dxa"/>
          <w:left w:w="28" w:type="dxa"/>
          <w:bottom w:w="28" w:type="dxa"/>
          <w:right w:w="28" w:type="dxa"/>
        </w:tblCellMar>
      </w:tblPr>
      <w:tblGrid>
        <w:gridCol w:w="2327"/>
        <w:gridCol w:w="2044"/>
        <w:gridCol w:w="2048"/>
        <w:gridCol w:w="196"/>
        <w:gridCol w:w="736"/>
        <w:gridCol w:w="109"/>
        <w:gridCol w:w="109"/>
        <w:gridCol w:w="109"/>
        <w:gridCol w:w="109"/>
        <w:gridCol w:w="196"/>
        <w:gridCol w:w="736"/>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changes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amend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restricted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11)</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 NATURE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and Pronto Midstream, LLC and its subsidiary (“Pronto”) in support of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2023 filed with the SEC on February 27, 2024 (the “Annual Report”).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xml:space="preserve">. The Company proportionately consolidates certain joint ventures that are less-than-wholly-owned and are involved in oil and natural gas exploration. All intercompany balances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March 31, 2024. Amounts as of December 31, 2023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three months ended March 31, 2024 and 2023 (in thousands).</w:t>
      </w:r>
    </w:p>
    <w:tbl>
      <w:tblPr>
        <w:tblW w:w="6475" w:type="dxa"/>
        <w:jc w:val="left"/>
        <w:tblInd w:w="0" w:type="dxa"/>
        <w:tblLayout w:type="fixed"/>
        <w:tblCellMar>
          <w:top w:w="28" w:type="dxa"/>
          <w:left w:w="28" w:type="dxa"/>
          <w:bottom w:w="28" w:type="dxa"/>
          <w:right w:w="28" w:type="dxa"/>
        </w:tblCellMar>
      </w:tblPr>
      <w:tblGrid>
        <w:gridCol w:w="1222"/>
        <w:gridCol w:w="1073"/>
        <w:gridCol w:w="1080"/>
        <w:gridCol w:w="211"/>
        <w:gridCol w:w="826"/>
        <w:gridCol w:w="109"/>
        <w:gridCol w:w="109"/>
        <w:gridCol w:w="109"/>
        <w:gridCol w:w="109"/>
        <w:gridCol w:w="211"/>
        <w:gridCol w:w="82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79" w:type="dxa"/>
        <w:jc w:val="left"/>
        <w:tblInd w:w="0" w:type="dxa"/>
        <w:tblLayout w:type="fixed"/>
        <w:tblCellMar>
          <w:top w:w="28" w:type="dxa"/>
          <w:left w:w="28" w:type="dxa"/>
          <w:bottom w:w="28" w:type="dxa"/>
          <w:right w:w="28" w:type="dxa"/>
        </w:tblCellMar>
      </w:tblPr>
      <w:tblGrid>
        <w:gridCol w:w="1368"/>
        <w:gridCol w:w="1204"/>
        <w:gridCol w:w="1207"/>
        <w:gridCol w:w="211"/>
        <w:gridCol w:w="826"/>
        <w:gridCol w:w="109"/>
        <w:gridCol w:w="109"/>
        <w:gridCol w:w="109"/>
        <w:gridCol w:w="109"/>
        <w:gridCol w:w="211"/>
        <w:gridCol w:w="826"/>
        <w:gridCol w:w="109"/>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months ended March 31, 2024 and 2023,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approximately $17.1 million and $12.6 million of its general and administrative costs for the three months ended March 31, 2024 and 2023, respectively. The Company capitalized approximately $5.9 million and $3.4 million of its interest expense for the three months ended March 31, 2024 and 2023, respectively.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diluted weighted average common shares outstanding for the three months ended March 31, 2024 and 2023 (in thousands).</w:t>
      </w:r>
    </w:p>
    <w:tbl>
      <w:tblPr>
        <w:tblW w:w="7757" w:type="dxa"/>
        <w:jc w:val="left"/>
        <w:tblInd w:w="0" w:type="dxa"/>
        <w:tblLayout w:type="fixed"/>
        <w:tblCellMar>
          <w:top w:w="28" w:type="dxa"/>
          <w:left w:w="28" w:type="dxa"/>
          <w:bottom w:w="28" w:type="dxa"/>
          <w:right w:w="28" w:type="dxa"/>
        </w:tblCellMar>
      </w:tblPr>
      <w:tblGrid>
        <w:gridCol w:w="1652"/>
        <w:gridCol w:w="1452"/>
        <w:gridCol w:w="1455"/>
        <w:gridCol w:w="421"/>
        <w:gridCol w:w="405"/>
        <w:gridCol w:w="213"/>
        <w:gridCol w:w="213"/>
        <w:gridCol w:w="213"/>
        <w:gridCol w:w="213"/>
        <w:gridCol w:w="421"/>
        <w:gridCol w:w="405"/>
        <w:gridCol w:w="213"/>
        <w:gridCol w:w="109"/>
        <w:gridCol w:w="109"/>
        <w:gridCol w:w="109"/>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59" w:type="dxa"/>
            <w:gridSpan w:val="3"/>
            <w:vMerge w:val="continue"/>
            <w:tcBorders/>
            <w:tcMar>
              <w:top w:w="0" w:type="dxa"/>
              <w:left w:w="0" w:type="dxa"/>
              <w:bottom w:w="0" w:type="dxa"/>
              <w:right w:w="0" w:type="dxa"/>
            </w:tcMar>
            <w:vAlign w:val="center"/>
          </w:tcPr>
          <w:p>
            <w:pPr>
              <w:pStyle w:val="Normal"/>
              <w:bidi w:val="0"/>
              <w:jc w:val="left"/>
              <w:rPr/>
            </w:pPr>
            <w:r>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119,034 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120,253 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Recent Accounting Pronouncements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Segments</w:t>
      </w:r>
      <w:r>
        <w:rPr>
          <w:rFonts w:ascii="Times New Roman;sans-serif" w:hAnsi="Times New Roman;sans-serif"/>
          <w:b w:val="false"/>
          <w:color w:val="000000"/>
          <w:sz w:val="20"/>
        </w:rPr>
        <w:t xml:space="preserve">. In November 2023, the Financial Accounting Standards Board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enhances the disclosures required for operating segments in the Company’s annual and interim consolidated financial statements. This ASU is effective retrospectively for fiscal years beginning after December 15, 2023 and for interim periods within fiscal years beginning after December 15, 2024. The Company is currently evaluating the impact of this standard on its disclosures.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In December 2023, the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is intended to enhance the transparency and decision usefulness of income tax 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Climate-Related Disclosures.</w:t>
      </w:r>
      <w:r>
        <w:rPr>
          <w:color w:val="000000"/>
        </w:rPr>
        <w:t xml:space="preserve"> </w:t>
      </w:r>
      <w:r>
        <w:rPr>
          <w:rFonts w:ascii="Times New Roman;sans-serif" w:hAnsi="Times New Roman;sans-serif"/>
          <w:b w:val="false"/>
          <w:color w:val="000000"/>
          <w:sz w:val="20"/>
        </w:rPr>
        <w:t>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 The Company is currently evaluating the impact of the final rules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Q1 2024 Acquisition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15, 2024, a wholly-owned subsidiary of the Company acquired oil and natural gas producing properties and undeveloped acreage located in Lea County, New Mexico (the “Q1 2024 Acquisition”). The Q1 2024 Acquisition had an effective date of October 1, 2023 and consideration for the acquisition consisted of an amount in cash equal to approximately $155.1 million (which amount was subject to certain customary post-closing adjustments).</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Q1 2024 Acquisition was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acquisition date, with any excess purchase price allocated to goodwill.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allocation of the total purchase price for the Q1 2024 Acquisition is set forth below (in thousands). The Company anticipates that the allocation of the purchase price should be finalized during 2024 upon determination of the final purchase price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tbl>
      <w:tblPr>
        <w:tblW w:w="3696" w:type="dxa"/>
        <w:jc w:val="left"/>
        <w:tblInd w:w="0" w:type="dxa"/>
        <w:tblLayout w:type="fixed"/>
        <w:tblCellMar>
          <w:top w:w="28" w:type="dxa"/>
          <w:left w:w="28" w:type="dxa"/>
          <w:bottom w:w="28" w:type="dxa"/>
          <w:right w:w="28" w:type="dxa"/>
        </w:tblCellMar>
      </w:tblPr>
      <w:tblGrid>
        <w:gridCol w:w="906"/>
        <w:gridCol w:w="799"/>
        <w:gridCol w:w="800"/>
        <w:gridCol w:w="211"/>
        <w:gridCol w:w="82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given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45,778</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105,446</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gas properties include estimates of: (i) future production volumes, (ii) future commodity prices and (iii) recent market comparable transactions for unproved acreage. These inputs require significant judgments and estimates and are the most sensitive and subject to change.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Q1 2024 Acquisition since the closing date have been included in the Company’s interim unaudited condensed consolidated financial statements for the three months ended March 31, 2024. The pro forma impact of this business combination to revenues and net income for 2024 would not be material to the Company’s 2024 revenues and net income as reported.</w:t>
      </w:r>
    </w:p>
    <w:p>
      <w:pPr>
        <w:pStyle w:val="TextBody"/>
        <w:bidi w:val="0"/>
        <w:spacing w:lineRule="auto" w:line="276"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Advance Acquisition</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“Initial Advance Acquisition”). The Initial Advance Acquisition had an effective date of January 1, 2023 and an aggregate purchase price consisting of (i) an amount in cash equal to approximately $1.60 billion (which amount was subject to certain customary post-closing adjustments) (the “Cash Consideration”) and (ii) potential additional cash consideration of $7.5 million for each month of 2023 in which the average oil price (as defined in the securities purchase agreement) exceeded $85 per barrel (all such payments for the 12 months in 2023, the “Contingent Consideration”). The Cash Consideration was paid upon the closing of the Initial Advance Acquisition and was funded by a combination of cash on hand and borrowings under the Company’s reserves-based revolving credit facility (the “Credit Agreement”). In the fourth quarter of 2023, the Company paid Contingent Consideration of $15.0 million, as the average oil price for the months of September and October 2023 exceeded $85 per barrel.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is subject to certain customary post-closing adjustments), and was funded by cash on hand.</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Advance Acquisition and Advance Royalty Acquisition (collectively, the “Advance Acquisition”) were accounted for under the acquisition method of accounting as a business combination in accordance with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final allocation of the total purchase price for the Advance Acquisition is set forth below (in thousands). </w:t>
      </w:r>
    </w:p>
    <w:tbl>
      <w:tblPr>
        <w:tblW w:w="6080" w:type="dxa"/>
        <w:jc w:val="left"/>
        <w:tblInd w:w="0" w:type="dxa"/>
        <w:tblLayout w:type="fixed"/>
        <w:tblCellMar>
          <w:top w:w="28" w:type="dxa"/>
          <w:left w:w="28" w:type="dxa"/>
          <w:bottom w:w="28" w:type="dxa"/>
          <w:right w:w="28" w:type="dxa"/>
        </w:tblCellMar>
      </w:tblPr>
      <w:tblGrid>
        <w:gridCol w:w="1715"/>
        <w:gridCol w:w="1510"/>
        <w:gridCol w:w="1514"/>
        <w:gridCol w:w="211"/>
        <w:gridCol w:w="97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at April 12, 2023</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given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1,418,668</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213,835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(73,885)</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1,693,223 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 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changes in the Company’s asset retirement obligations for the three months ended March 31, 2024 (in thousands). </w:t>
      </w:r>
    </w:p>
    <w:tbl>
      <w:tblPr>
        <w:tblW w:w="4686" w:type="dxa"/>
        <w:jc w:val="left"/>
        <w:tblInd w:w="0" w:type="dxa"/>
        <w:tblLayout w:type="fixed"/>
        <w:tblCellMar>
          <w:top w:w="28" w:type="dxa"/>
          <w:left w:w="28" w:type="dxa"/>
          <w:bottom w:w="28" w:type="dxa"/>
          <w:right w:w="28" w:type="dxa"/>
        </w:tblCellMar>
      </w:tblPr>
      <w:tblGrid>
        <w:gridCol w:w="1305"/>
        <w:gridCol w:w="1144"/>
        <w:gridCol w:w="1151"/>
        <w:gridCol w:w="211"/>
        <w:gridCol w:w="72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ans-serif" w:hAnsi="Times New Roman;sans-serif"/>
          <w:b/>
          <w:color w:val="000000"/>
          <w:sz w:val="18"/>
        </w:rPr>
        <w:t>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interim unaudited condensed consolidated balance sheet at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(i) $699.2 million of outstanding senior notes due 2026 (the “2026 Notes”), (ii) $500.0 million of outstanding senior notes due 2028 (the “2028 Notes”), (iii) $260.0 million in borrowings outstanding under the Credit Agreement and (iv) approximately $41.7 million in outstanding letters of credit issued pursuant to the Credit Agreement. Between March 31, 2024 and April 23, 2024, the Company (i) repurchased an aggregate principal amount of approximately $556.3 million of the 2026 Notes pursuant to the Company’s cash tender offer for the 2026 Notes announced on March 26, 2024 (the “2026 Notes Tender Offer”), (ii) exercised its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 and (iii) repaid $235.0 million in borrowings outstanding under the Credit Agreement. See Note 13 for a further discussion of changes in the Company’s debt between March 31, 2024 and April 23,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San Mateo had $526.0 million in borrowings outstanding under its revolving credit facility (the “San Mateo Credit Facility”) and approximately $9.0 million in outstanding letters of credit issued pursuant to the San Mateo Credit Facility. Between March 31, 2024 and April 23, 2024, San Mateo repaid $31.0 million of borrowings under the San Mateo Credit Facility.</w:t>
      </w:r>
    </w:p>
    <w:p>
      <w:pPr>
        <w:pStyle w:val="TextBody"/>
        <w:bidi w:val="0"/>
        <w:spacing w:lineRule="auto" w:line="288" w:before="120" w:after="1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On March 22, 2024, the Company and its lenders entered into an amendment to the Fourth Amended and Restated Credit Agreement, which amended the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cash or cash equivalents of up to the greater of (a) $150.0 million and (b) 10% of the elected commitment), divided by a rolling four quarter EBITDA calculation, of 3.5 to 1.0 or less. The Company believes that it was in compliance with the terms of the Credit Agreement at March 31, 2024.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is non-recourse with respect to Matador and its wholly-owned subsidiaries but is guaranteed by San Mateo’s subsidiaries and secured by substantially all of San Mateo’s assets, including real property. The outstanding borrowings under the San Mateo Credit Facility mature on December 9, 2026, and lender commitments under the facility were $535.0 million at March 31, 2024. The San Mateo Credit Facility includes an accordion feature, which provides for potential increases in lender commitments of up to $735.0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March 31, 2024.</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Company had $699.2 million of outstanding 2026 Notes, which had a 5.875% coupon rate. The 2026 Notes were jointly and severally guaranteed on a senior unsecured basis by certain subsidiaries of the Company (the “Guarantor Subsidiaries”). Neither San Mateo nor Pronto was a guarantor of the 2026 Notes.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Company had $500.0 million of outstanding 2028 Notes, which have a 6.875% coupon rate. The 2028 Notes mature April 15, 2028, and interest is payable on the 2028 Notes semi-annually in arrears on each April 15 and October 15. The 2028 Notes are jointly and severally guaranteed on a senior unsecured basis by the Guarantor Subsidiaries. Neither San Mateo nor Pronto is a guarantor of the 2028 Notes.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13 for a discussion of changes in the Company’s debt between March 31, 2024 and April 23,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Maturities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borrowings of $260.0 million at March 31, 2024 under the Credit Agreement mature on March 22, 2029. The outstanding borrowings of $526.0 million at March 31, 2024 under the San Mateo Credit Facility mature on December 9, 2026. The $699.2 million of outstanding 2026 Notes at March 31, 2024 were set to mature on September 15, 2026. The $500.0 million of outstanding 2028 Notes at March 31, 2024 mature on April 15,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current income tax provision of $17.3 million and a deferred income tax provision of $49.5 million for the three months ended March 31, 2024. For the three months ended March 31, 2023, the Company recorded a current income tax provision of $4.9 million and a deferred income tax provision of $51.7 million.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income tax rate of 26% for each of the three months ended March 31, 2024 and 2023 differed from the U.S. federal statutory rate due primarily to permanent differences between book and taxable income and state taxes, primarily in New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EQUITY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Offering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28, 2024, the Company completed an underwritten public offering of 5,250,000 shares of its common stock. After deducting underwriting discounts and offering expenses, the Company received net proceeds of approximately $344.2 million. The net proceeds from this offering were used for general corporate purposes, including the funding of acquisitions and the repayment of borrowings outstanding under the Credit Agreement.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granted awards to certain of its employees of 135,000 service-based restricted stock units to be settled in cash, which are liability instruments, and 170,000 performance-based stock units and 99,600 service-based shares of restricted stock, which are equity instruments. The performance-based stock units vest in an amount between zero and 200% of the target units granted based on the Company’s relative total shareholder return over the three-year period ending December 31, 2026, as compared to a designated peer group. The service-based restricted stock and restricted stock units vest over a three-year period. The fair value of these awards was approximately $22.8 million on the grant date.</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Matador’s Board of Directors (the “Board”) declared a quarterly cash dividend of $0.20 per share of common stock in February 2024. The dividend, which totaled $23.9 million, was paid on March 13, 2024 to shareholders of record as of February 23, 2024. On April 17, 2024, the Board declared a quarterly cash dividend of $0.20 per share of common stock payable on June 7, 2024 to shareholders of record as of May 17, 2024.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San Mateo distributed $26.8 million to the Company and $25.7 million to a subsidiary of Five Point Energy LLC (“Five Point”), the Company’s joint venture partner in San Mateo. During the three months ended March 31, 2023, San Mateo distributed $19.9 million to the Company and $19.1 million to Five Point. During the three months ended March 31, 2024, the Company contributed $7.7 million and Five Point contributed $7.4 million of cash to San Mateo. During the three months ended March 31, 2023, there were no contributions to San Mateo by either the Company or Five Point.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Five Point paid the Company $1.5 million and $14.7 million of performance incentives during the three months ended March 31, 2024 and 2023, respectively. These performance incentives are recorded when received, net of the $0.3 million and $3.1 million deferred tax impact to Matador for the three months ended March 31, 2024 and 2023, respectively, in “Additional paid-in capital” in the Company’s interim unaudited condensed consolidated balance sheets. These performance incentives for the three months ended March 31, 2024 and 2023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had natural gas basis differential swap contracts open and in place to mitigate its exposure to natural gas price volatility, with a specific term (calculation period), notional quantity (volume hedged) and fixed price. The Company had no open contracts associated with oil or natural gas liquids prices at March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differential swap contracts at March 31, 2024.</w:t>
      </w:r>
    </w:p>
    <w:tbl>
      <w:tblPr>
        <w:tblW w:w="10205" w:type="dxa"/>
        <w:jc w:val="left"/>
        <w:tblInd w:w="0" w:type="dxa"/>
        <w:tblLayout w:type="fixed"/>
        <w:tblCellMar>
          <w:top w:w="28" w:type="dxa"/>
          <w:left w:w="28" w:type="dxa"/>
          <w:bottom w:w="28" w:type="dxa"/>
          <w:right w:w="28" w:type="dxa"/>
        </w:tblCellMar>
      </w:tblPr>
      <w:tblGrid>
        <w:gridCol w:w="829"/>
        <w:gridCol w:w="727"/>
        <w:gridCol w:w="732"/>
        <w:gridCol w:w="109"/>
        <w:gridCol w:w="109"/>
        <w:gridCol w:w="109"/>
        <w:gridCol w:w="635"/>
        <w:gridCol w:w="635"/>
        <w:gridCol w:w="637"/>
        <w:gridCol w:w="109"/>
        <w:gridCol w:w="109"/>
        <w:gridCol w:w="109"/>
        <w:gridCol w:w="815"/>
        <w:gridCol w:w="730"/>
        <w:gridCol w:w="733"/>
        <w:gridCol w:w="109"/>
        <w:gridCol w:w="109"/>
        <w:gridCol w:w="109"/>
        <w:gridCol w:w="274"/>
        <w:gridCol w:w="685"/>
        <w:gridCol w:w="142"/>
        <w:gridCol w:w="109"/>
        <w:gridCol w:w="109"/>
        <w:gridCol w:w="109"/>
        <w:gridCol w:w="211"/>
        <w:gridCol w:w="616"/>
        <w:gridCol w:w="496"/>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4/01/2024 - 12/31/2025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19,200,000 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differential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650" w:type="dxa"/>
            <w:gridSpan w:val="6"/>
            <w:tcBorders/>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March 31, 2024 and December 31, 2023 (in thousands).</w:t>
      </w:r>
    </w:p>
    <w:tbl>
      <w:tblPr>
        <w:tblW w:w="9824"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33"/>
        <w:gridCol w:w="681"/>
        <w:gridCol w:w="122"/>
        <w:gridCol w:w="109"/>
        <w:gridCol w:w="109"/>
        <w:gridCol w:w="109"/>
        <w:gridCol w:w="452"/>
        <w:gridCol w:w="1353"/>
        <w:gridCol w:w="234"/>
        <w:gridCol w:w="109"/>
        <w:gridCol w:w="109"/>
        <w:gridCol w:w="109"/>
        <w:gridCol w:w="773"/>
        <w:gridCol w:w="2260"/>
        <w:gridCol w:w="402"/>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aggregate gain (loss) of all derivative financial instruments recorded in the interim unaudited condensed consolidated statements of income for the periods presented (in thousands). </w:t>
      </w:r>
    </w:p>
    <w:tbl>
      <w:tblPr>
        <w:tblW w:w="9272" w:type="dxa"/>
        <w:jc w:val="left"/>
        <w:tblInd w:w="0" w:type="dxa"/>
        <w:tblLayout w:type="fixed"/>
        <w:tblCellMar>
          <w:top w:w="28" w:type="dxa"/>
          <w:left w:w="28" w:type="dxa"/>
          <w:bottom w:w="28" w:type="dxa"/>
          <w:right w:w="28" w:type="dxa"/>
        </w:tblCellMar>
      </w:tblPr>
      <w:tblGrid>
        <w:gridCol w:w="685"/>
        <w:gridCol w:w="600"/>
        <w:gridCol w:w="604"/>
        <w:gridCol w:w="109"/>
        <w:gridCol w:w="109"/>
        <w:gridCol w:w="109"/>
        <w:gridCol w:w="1324"/>
        <w:gridCol w:w="1324"/>
        <w:gridCol w:w="1326"/>
        <w:gridCol w:w="109"/>
        <w:gridCol w:w="109"/>
        <w:gridCol w:w="109"/>
        <w:gridCol w:w="211"/>
        <w:gridCol w:w="616"/>
        <w:gridCol w:w="109"/>
        <w:gridCol w:w="109"/>
        <w:gridCol w:w="109"/>
        <w:gridCol w:w="109"/>
        <w:gridCol w:w="211"/>
        <w:gridCol w:w="691"/>
        <w:gridCol w:w="109"/>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Condensed Consolidated </w:t>
              <w:br/>
              <w:t>Statement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for identical, unrestricted assets or liabilities in active markets.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March 31, 2024 and December 31, 2023 (in thousands).</w:t>
      </w:r>
    </w:p>
    <w:tbl>
      <w:tblPr>
        <w:tblW w:w="765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616"/>
        <w:gridCol w:w="109"/>
        <w:gridCol w:w="109"/>
        <w:gridCol w:w="109"/>
        <w:gridCol w:w="109"/>
        <w:gridCol w:w="213"/>
        <w:gridCol w:w="411"/>
        <w:gridCol w:w="112"/>
        <w:gridCol w:w="109"/>
        <w:gridCol w:w="109"/>
        <w:gridCol w:w="109"/>
        <w:gridCol w:w="211"/>
        <w:gridCol w:w="61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March 31, 2024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 using</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disclosures related to derivative financial instruments are provided in Note 8.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fair value of the 2026 Notes was $699.5 million and $694.1 million, respectively, based on quoted market prices, which represent Level 1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the fair value of the 2028 Notes was $511.3 million and $510.9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for discussion of the fair value measurement of assets acquired and liabilities assumed as part of the Q1 2024 Acquisition and the Advance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Firm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$15.3 million and $10.7 million for deliveries under these agreements during the three months ended March 31, 2024 and 2023,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March 31, 2024, the total deficiencies required to be paid by the Company under these agreements would be approximately $537.0 million.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March 31, 2024 was approximately $191.3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11 — SUPPLEMENTAL DISCLOSURES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March 31, 2024 and December 31, 2023 (in thousands).</w:t>
      </w:r>
    </w:p>
    <w:tbl>
      <w:tblPr>
        <w:tblW w:w="8161" w:type="dxa"/>
        <w:jc w:val="left"/>
        <w:tblInd w:w="0" w:type="dxa"/>
        <w:tblLayout w:type="fixed"/>
        <w:tblCellMar>
          <w:top w:w="28" w:type="dxa"/>
          <w:left w:w="28" w:type="dxa"/>
          <w:bottom w:w="28" w:type="dxa"/>
          <w:right w:w="28" w:type="dxa"/>
        </w:tblCellMar>
      </w:tblPr>
      <w:tblGrid>
        <w:gridCol w:w="1951"/>
        <w:gridCol w:w="1712"/>
        <w:gridCol w:w="1721"/>
        <w:gridCol w:w="211"/>
        <w:gridCol w:w="826"/>
        <w:gridCol w:w="109"/>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three months ended March 31, 2024 and 2023 (in thousands).</w:t>
      </w:r>
    </w:p>
    <w:tbl>
      <w:tblPr>
        <w:tblW w:w="9249" w:type="dxa"/>
        <w:jc w:val="left"/>
        <w:tblInd w:w="0" w:type="dxa"/>
        <w:tblLayout w:type="fixed"/>
        <w:tblCellMar>
          <w:top w:w="28" w:type="dxa"/>
          <w:left w:w="28" w:type="dxa"/>
          <w:bottom w:w="28" w:type="dxa"/>
          <w:right w:w="28" w:type="dxa"/>
        </w:tblCellMar>
      </w:tblPr>
      <w:tblGrid>
        <w:gridCol w:w="2424"/>
        <w:gridCol w:w="2130"/>
        <w:gridCol w:w="2136"/>
        <w:gridCol w:w="211"/>
        <w:gridCol w:w="826"/>
        <w:gridCol w:w="109"/>
        <w:gridCol w:w="109"/>
        <w:gridCol w:w="109"/>
        <w:gridCol w:w="109"/>
        <w:gridCol w:w="211"/>
        <w:gridCol w:w="721"/>
        <w:gridCol w:w="154"/>
      </w:tblGrid>
      <w:tr>
        <w:trPr/>
        <w:tc>
          <w:tcPr>
            <w:tcW w:w="242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mineral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drilling, completion and equipping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acquisition of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liabilities for midstream properties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a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(to) from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left"/>
        <w:rPr/>
      </w:pPr>
      <w:r>
        <w:rPr/>
      </w:r>
    </w:p>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5064"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82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West Texas and Stateline asset areas and the Greater Stebbins Area in the Delaware Basin are conducted through San Mateo. In addition, at March 31, 2024, the Company operated a cryogenic gas processing plant, compressor stations and natural gas gathering pipelines in Lea and Eddy Counties, New Mexico through Pronto, which is a wholly-owned subsidiary of the Company. At March 31, 2024, neither San Mateo nor Pronto was a guarantor of the 2026 Notes or the 2028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842"/>
        <w:gridCol w:w="428"/>
        <w:gridCol w:w="430"/>
        <w:gridCol w:w="256"/>
        <w:gridCol w:w="1189"/>
        <w:gridCol w:w="132"/>
        <w:gridCol w:w="109"/>
        <w:gridCol w:w="109"/>
        <w:gridCol w:w="109"/>
        <w:gridCol w:w="211"/>
        <w:gridCol w:w="976"/>
        <w:gridCol w:w="109"/>
        <w:gridCol w:w="109"/>
        <w:gridCol w:w="109"/>
        <w:gridCol w:w="109"/>
        <w:gridCol w:w="211"/>
        <w:gridCol w:w="750"/>
        <w:gridCol w:w="109"/>
        <w:gridCol w:w="109"/>
        <w:gridCol w:w="109"/>
        <w:gridCol w:w="109"/>
        <w:gridCol w:w="452"/>
        <w:gridCol w:w="1033"/>
        <w:gridCol w:w="235"/>
        <w:gridCol w:w="109"/>
        <w:gridCol w:w="109"/>
        <w:gridCol w:w="109"/>
        <w:gridCol w:w="240"/>
        <w:gridCol w:w="1112"/>
        <w:gridCol w:w="182"/>
      </w:tblGrid>
      <w:tr>
        <w:trPr/>
        <w:tc>
          <w:tcPr>
            <w:tcW w:w="84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701,425 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(67,489)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(68,068)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292,355 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6,836,353 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8,227,329 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551,920 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638,558 </w:t>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$201.2 million and $10.8 million for the exploration and production and midstream segments, respectively. Also includes corporate depletion, depreciation and amortization expenses of $0.3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$19.5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$201.3 million attributable to land and seismic acquisition expenditures related to the exploration and production segment and $7.1 million in capital expenditures attributable to non-controlling interest in subsidiaries related to the midstream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836"/>
        <w:gridCol w:w="417"/>
        <w:gridCol w:w="419"/>
        <w:gridCol w:w="254"/>
        <w:gridCol w:w="1176"/>
        <w:gridCol w:w="131"/>
        <w:gridCol w:w="109"/>
        <w:gridCol w:w="109"/>
        <w:gridCol w:w="109"/>
        <w:gridCol w:w="211"/>
        <w:gridCol w:w="976"/>
        <w:gridCol w:w="109"/>
        <w:gridCol w:w="109"/>
        <w:gridCol w:w="109"/>
        <w:gridCol w:w="109"/>
        <w:gridCol w:w="211"/>
        <w:gridCol w:w="826"/>
        <w:gridCol w:w="109"/>
        <w:gridCol w:w="109"/>
        <w:gridCol w:w="109"/>
        <w:gridCol w:w="109"/>
        <w:gridCol w:w="494"/>
        <w:gridCol w:w="950"/>
        <w:gridCol w:w="256"/>
        <w:gridCol w:w="109"/>
        <w:gridCol w:w="109"/>
        <w:gridCol w:w="109"/>
        <w:gridCol w:w="238"/>
        <w:gridCol w:w="1104"/>
        <w:gridCol w:w="180"/>
      </w:tblGrid>
      <w:tr>
        <w:trPr/>
        <w:tc>
          <w:tcPr>
            <w:tcW w:w="8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4,266,414 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1,039,845 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5,782,105 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318,505 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333,554 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(1)Includes depletion, depreciation and amortization expenses of $116.6 million</w:t>
      </w:r>
      <w:r>
        <w:rPr>
          <w:color w:val="000000"/>
        </w:rPr>
        <w:t xml:space="preserve"> </w:t>
      </w:r>
      <w:r>
        <w:rPr>
          <w:rFonts w:ascii="Times New Roman;sans-serif" w:hAnsi="Times New Roman;sans-serif"/>
          <w:b w:val="false"/>
          <w:color w:val="000000"/>
          <w:sz w:val="16"/>
        </w:rPr>
        <w:t xml:space="preserve">and $9.4 million for the exploration and production and midstream segments, respectively. Also includes corporate depletion, depreciation and amortization expenses of $0.3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$15.8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(3)Includes $23.7 million attributable to land and seismic acquisition expenditures related to the exploration and production segment and $4.6 million in capital expenditures attributable to non-controlling interest in subsidiaries related to the midstream segment.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220" w:after="283"/>
        <w:jc w:val="left"/>
        <w:rPr/>
      </w:pPr>
      <w:r>
        <w:rPr/>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13 — SUBSEQUENT EVENTS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2026 Notes Tender Offer and Redemption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and April 4, 2024, the Company completed the repurchase of an aggregate principal amount of approximately $556.3 million of the 2026 Notes outstanding as part of the 2026 Notes Tender Offer announced on March 26, 2024. On April 2, 2024, the Company exercised its optional right, under the indenture governing the 2026 Notes, to redeem the remaining aggregate principal amount of approximately $142.9 million of 2026 Notes outstanding on September 15, 2024 as part of the 2026 Notes Redemption and, in connection therewith, to satisfy and discharge the Company’s obligations under such indenture with respect to the 2026 Notes. In connection with the 2026 Notes Tender Offer and 2026 Notes Redemption, the Company incurred a loss of approximately $3.0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2032 Senior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the Company completed the sale of $900.0 million in aggregate principal amount of the Company’s 6.50% senior notes due 2032 (the “2032 Notes”). The 2032 Notes mature on April 15, 2032. Interest on the 2032 Notes is payable in arrears on each April 15 and October 15 and the first interest payment date for the 2032 Notes will be October 15, 2024. The 2032 Notes are guaranteed on a senior unsecured basis by the Guarantor Subsidiaries. Neither San Mateo nor Pronto is a guarantor of the 2032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received net proceeds from the issuance and sale of the 2032 Notes (the “2032 Notes Offering”) of approximately $885.0 million after deducting the initial purchasers’ discounts and estimated offering expenses. The net proceeds from the 2032 Notes Offering were used to fund the 2026 Notes Tender Offer and 2026 Notes Redemption and for general corporate purposes, including the funding of acquisitions and the repayment of borrowings outstanding under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April 23, 2024, the Company had (i) $500.0 million of outstanding 2028 Notes, (ii) $900.0 million of outstanding 2032 Notes, (iii) $25.0 million of borrowings outstanding under the Credit Agreement and (iv) approximately $52.6 million in outstanding letters of credit issued pursuant to the Credit Agreement. </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2023 (the “Annual Report”) filed with the Securities and Exchange Commission (the “SEC”) on February 27, 2024, along with Management’s Discussion and Analysis of Financial Condition and Results of Operations contained in the Annual Report. The Annual Report is accessible on the SEC’s website at </w:t>
      </w:r>
      <w:r>
        <w:rPr>
          <w:rFonts w:ascii="Times New Roman;sans-serif" w:hAnsi="Times New Roman;sans-serif"/>
          <w:b w:val="false"/>
          <w:i/>
          <w:color w:val="000000"/>
          <w:sz w:val="20"/>
          <w:u w:val="single"/>
        </w:rPr>
        <w:t>www.sec.gov</w:t>
      </w:r>
      <w:r>
        <w:rPr>
          <w:color w:val="000000"/>
        </w:rPr>
        <w:t xml:space="preserve"> </w:t>
      </w:r>
      <w:r>
        <w:rPr>
          <w:rFonts w:ascii="Times New Roman;sans-serif" w:hAnsi="Times New Roman;sans-serif"/>
          <w:b w:val="false"/>
          <w:i/>
          <w:color w:val="000000"/>
          <w:sz w:val="20"/>
        </w:rPr>
        <w:t xml:space="preserve">and on our website at </w:t>
      </w:r>
      <w:r>
        <w:rPr>
          <w:rFonts w:ascii="Times New Roman;sans-serif" w:hAnsi="Times New Roman;sans-serif"/>
          <w:b w:val="false"/>
          <w:i/>
          <w:color w:val="000000"/>
          <w:sz w:val="20"/>
          <w:u w:val="single"/>
        </w:rPr>
        <w:t>www.matadorresources.com</w:t>
      </w:r>
      <w:r>
        <w:rPr>
          <w:rFonts w:ascii="Times New Roman;sans-serif" w:hAnsi="Times New Roman;sans-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(iv) references to “Pronto” refer to Pronto Midstream, LLC together with its subsidiary, (v) references to “Advance” refer to Advance Energy Partners Holdings, LLC and (vi) references to the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and the acquisition of additional interests from affiliates of EnCap Investments L.P., including overriding royalty interests and royalty interests in certain oil and natural gas properties located primarily in Lea County, New Mexico on December 1, 2023.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w:t>
      </w:r>
      <w:r>
        <w:rPr>
          <w:rFonts w:ascii="Times New Roman;sans-serif" w:hAnsi="Times New Roman;sans-serif"/>
          <w:b w:val="false"/>
          <w:color w:val="0A0A0A"/>
          <w:sz w:val="20"/>
        </w:rPr>
        <w:t xml:space="preserve">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w:t>
      </w:r>
      <w:r>
        <w:rPr>
          <w:rFonts w:ascii="Times New Roman;sans-serif" w:hAnsi="Times New Roman;sans-serif"/>
          <w:b w:val="false"/>
          <w:color w:val="000000"/>
          <w:sz w:val="20"/>
        </w:rPr>
        <w:t>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and demand of oil, natural gas and NGLs;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drilling and production equipment;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acquisitions with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Inflation Reduction Act of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First Quarter Highlights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our total oil equivalent production was 13.6 million BOE, and our average daily oil equivalent production was 149,760 BOE per day, of which 84,777 Bbl per day, or 57%, was oil and 389.9 MMcf per day, or 43%, was natural gas. Our average daily oil production of 84,777 Bbl per day for the three months ended March 31, 2024 increased 44% year-over-year from 58,941 Bbl per day for the three months ended March 31, 2023. Our average daily natural gas production of 389.9 MMcf per day for the three months ended March 31, 2024 increased 36% year-over-year from 286.3 MMcf per day for the three months ended March 31,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2024, we reported net income attributable to Matador shareholders of $193.7 million, or $1.61 per diluted common share, on a GAAP basis, as compared to net income attributable to Matador shareholders of $163.1 million, or $1.36 per diluted common share, for the first quarter of 2023. For the first quarter of 2024, our Adjusted EBITDA, a non-GAAP financial measure, was $505.4 million, as compared to Adjusted EBITDA of $365.2 million during the first quarter of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months ended March 31, 2024, see “—Results of Operations” below.</w:t>
      </w:r>
    </w:p>
    <w:p>
      <w:pPr>
        <w:pStyle w:val="TextBody"/>
        <w:bidi w:val="0"/>
        <w:spacing w:lineRule="auto" w:line="288" w:before="120" w:after="283"/>
        <w:jc w:val="left"/>
        <w:rPr/>
      </w:pPr>
      <w:r>
        <w:rPr>
          <w:rFonts w:ascii="Times New Roman;sans-serif" w:hAnsi="Times New Roman;sans-serif"/>
          <w:b w:val="false"/>
          <w:color w:val="000000"/>
          <w:sz w:val="20"/>
        </w:rPr>
        <w:t>O</w:t>
      </w:r>
      <w:r>
        <w:rPr>
          <w:rFonts w:ascii="Times New Roman;sans-serif" w:hAnsi="Times New Roman;sans-serif"/>
          <w:b w:val="false"/>
          <w:i/>
          <w:color w:val="000000"/>
          <w:sz w:val="20"/>
        </w:rPr>
        <w:t>perations Update</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We began 2024 operating seven drilling rigs in the Delaware Basin. We added an eighth operated drilling rig in the first quarter of 2024.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average daily oil equivalent production in the Delaware Basin for the first quarter of 2024 was 144,700 BOE per day, consisting of 83,900 Bbl of oil per day and 364.7 MMcf of natural gas per day, a 43% increase from 101,100 BOE per day, consisting of 58,200 Bbl of oil per day and 257.3 MMcf of natural gas per day, in the first quarter of 2023. These increases were primarily attributable to the Advance Acquisition and the increased number of wells being operated by us and other operators (where we own a working interest). The Delaware Basin contributed approximately 99% of our daily oil production and approximately 94% of our daily natural gas production in the first quarter of 2024, as compared to approximately 99% of our daily oil production and approximately 90% of our daily natural gas production in the first quarter of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completed our natural gas pipeline connections between Pronto and San Mateo and between Pronto and Matador’s acreage obtained in the Advance Acquisition. These connector pipelines will provide further flow assurance and options for Matador and third-party customer natural gas.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Pronto’s midstream system included a cryogenic natural gas processing plant with a designed inlet processing capacity of 60 MMcf per day (the “Marlan Processing Plant”), four compressor stations and approximately 110 miles of natural gas gathering pipelines in Eddy and Lea Counties, New Mexico, spanning from the northeastern portion of the Arrowhead asset area into the Ranger asset area. Pronto has begun construction on an additional natural gas processing plant with a designed inlet processing capacity of 200 MMcf per day, including a nitrogen rejection unit and additional related facilities, to expand the Marlan Processing Plant.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 Update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Matador’s Board of Directors (the “Board”) declared a quarterly cash dividend of $0.20 per share of common stock, which was paid on March 13, 2024 to shareholders of record as of February 23, 2024. On April 17, 2024, the Board declared a quarterly cash dividend of $0.20 per share of common stock payable on June 7, 2024 to shareholders of record as of May 17, 2024.</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and our lenders entered into an amendment to the Fourth Amended and Restated Credit Agreement, which amended our reserves-based revolving credit facility (the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we completed an underwritten public offering of 5,250,000 shares of our common stock (the “2024 Equity Offering”). After deducting underwriting discounts and offering expenses, we received net proceeds of approximately $344.2 million. The net proceeds from the 2024 Equity Offering were used for general corporate purposes, including the funding of acquisitions and the repayment of borrowings outstanding under our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(i) $260.0 million in borrowings outstanding under our Credit Agreement, (ii) approximately $41.7 million in outstanding letters of credit issued pursuant to the Credit Agreement, (iii) $699.2 million of outstanding 5.875% senior notes due 2026 (the “2026 Notes”) and (iv) $500.0 million of outstanding 6.875% senior notes due 2028 (the “2028 Notes”).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and April 4, 2024, we completed the repurchase of an aggregate principal amount of approximately $556.3 million of the 2026 Notes outstanding as part of our cash tender offer announced on March 26, 2024 (the “2026 Notes Tender Offer”). On April 2, 2024, we exercised our optional right, under the indenture governing the 2026 Notes, to redeem the remaining aggregate principal amount of approximately $142.9 million of 2026 Notes outstanding on September 15, 2024 (the “2026 Notes Redemption”) and, in connection therewith, to satisfy and discharge the Company’s obligations under such indenture with respect to the 2026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we completed the sale of $900.0 million in aggregate principal amount of the Company’s 6.50% senior notes due 2032 (the “2032 Notes”). We used the net proceeds from the sale of the 2032 Notes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April 23, 2024, we had (i) $500.0 million of outstanding 2028 Notes, (ii) $900.0 million of outstanding 2032 Notes, (iii) $25.0 million of borrowings outstanding under the Credit Agreement and (iv) approximately $52.6 million in outstanding letters of credit issued pursuant to the Credit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San Mateo had $526.0 million in borrowings outstanding under San Mateo’s revolving credit facility (the “San Mateo Credit Facility”) and approximately $9.0 million in outstanding letters of credit issued pursuant to the San Mateo Credit Facility. Between March 31, 2024 and April 23, 2024, San Mateo repaid $31.0 million of borrowings under the San Mateo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interim unaudited condensed consolidated financial statements for a description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revenues and production data for the periods indicated:</w:t>
      </w:r>
    </w:p>
    <w:tbl>
      <w:tblPr>
        <w:tblW w:w="7285" w:type="dxa"/>
        <w:jc w:val="left"/>
        <w:tblInd w:w="0" w:type="dxa"/>
        <w:tblLayout w:type="fixed"/>
        <w:tblCellMar>
          <w:top w:w="28" w:type="dxa"/>
          <w:left w:w="28" w:type="dxa"/>
          <w:bottom w:w="28" w:type="dxa"/>
          <w:right w:w="28" w:type="dxa"/>
        </w:tblCellMar>
      </w:tblPr>
      <w:tblGrid>
        <w:gridCol w:w="1518"/>
        <w:gridCol w:w="1331"/>
        <w:gridCol w:w="1336"/>
        <w:gridCol w:w="211"/>
        <w:gridCol w:w="826"/>
        <w:gridCol w:w="109"/>
        <w:gridCol w:w="109"/>
        <w:gridCol w:w="109"/>
        <w:gridCol w:w="109"/>
        <w:gridCol w:w="211"/>
        <w:gridCol w:w="826"/>
        <w:gridCol w:w="109"/>
        <w:gridCol w:w="109"/>
        <w:gridCol w:w="109"/>
        <w:gridCol w:w="109"/>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Data</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 (in thousands)</w:t>
            </w:r>
            <w:r>
              <w:rPr>
                <w:rFonts w:ascii="Times New Roman;sans-serif" w:hAnsi="Times New Roman;sans-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Production Volumes</w:t>
            </w:r>
            <w:r>
              <w:rPr>
                <w:rFonts w:ascii="Times New Roman;sans-serif" w:hAnsi="Times New Roman;sans-serif"/>
                <w:b/>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(MBbl)</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(Bcf)</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Total oil equivalent (MBOE)</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Average daily production (BOE/d)</w:t>
            </w:r>
            <w:r>
              <w:rPr>
                <w:rFonts w:ascii="Times New Roman;sans-serif" w:hAnsi="Times New Roman;sans-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(2)One thousand Bbl of oil.</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(3)One billion cubic feet of natural gas.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(4)One thousand Bbl of oil equivalent,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(5)Barrels of oil equivalent per day, estimated using a conversion ratio of one Bbl of oil per six Mcf of natural gas.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2024 as Compared to Three Months Ended March 31,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Our oil and natural gas revenues increased $200.6 million, or 40%, to $703.5 million for the three months ended March 31, 2024, as compared to $502.9 million for the three months ended March 31, 2023. Our oil revenues increased $196.7 million, or 49%, to $598.5 million for the three months ended March 31, 2024, as compared to $401.8 million for the three months ended March 31, 2023. The increase in oil revenues resulted from a 45% increase in our oil production to 7.7 million Bbl for the three months ended March 31, 2024, as compared to 5.3 million Bbl for the three months ended March 31, 2023, and a 2% increase in the weighted average oil price realized for the three months ended March 31, 2024 to $77.58 per Bbl, as compared to $75.74 per Bbl for the three months ended March 31, 2023. Our natural gas revenues increased $3.9 million, or 4%, to $105.0 million for the three months ended March 31, 2024, as compared to $101.1 million for the three months ended March 31, 2023. The increase in natural gas revenues resulted from a 38% increase in our natural gas production to 35.5 Bcf for the three months ended March 31, 2024, as compared to 25.8 Bcf for the three months ended March 31, 2023, which was partially offset by a 25% decrease in the weighted average natural gas price realized for the three months ended March 31, 2024 to $2.96 per Mcf, as compared to a weighted average natural gas price of $3.93 per Mcf realized for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$5.8 million, or 22%, to $32.4 million for the three months ended March 31, 2024, as compared to $26.5 million for the three months ended March 31, 2023. Third-party midstream services revenues are those revenues from midstream operations related to third parties, including working interest owners in our operated wells. This increase was primarily attributable to an increase in our third-party produced water disposal revenues to $14.0 million for the three months ended March 31, 2024, as compared to $10.5 million for the three months ended March 31, 2023, and an increase in our third-party natural gas gathering and processing revenues to $15.2 million for the three months ended March 31, 2024, as compared to $13.6 million for the three months ended March 31,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 xml:space="preserve">Our sales of purchased natural gas increased $15.2 million, or 44%, to $49.4 million for the three months ended March 31, 2024, as compared to $34.3 million for the three months ended March 31, 2023. This increase was primarily the result of a 45% increase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natural gas and NGLs to other purchasers. These revenues, and the expenses related to these transactions included in “Purchased natural gas,” are presented on a gross basis in our interim unaudited condensed consolidated statements of income.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Realized gain on derivatives.</w:t>
      </w:r>
      <w:r>
        <w:rPr>
          <w:color w:val="000000"/>
        </w:rPr>
        <w:t xml:space="preserve"> </w:t>
      </w:r>
      <w:r>
        <w:rPr>
          <w:rFonts w:ascii="Times New Roman;sans-serif" w:hAnsi="Times New Roman;sans-serif"/>
          <w:b w:val="false"/>
          <w:color w:val="000000"/>
          <w:sz w:val="20"/>
        </w:rPr>
        <w:t>Our realized gain on derivatives was $0.3 million for the three months ended March 31, 2024, as compared to a realized gain of $3.7 million for the three months ended March 31, 2023. We realized a net gain of $0.3 million related to our natural gas basis differential swap contracts for the three months ended March 31, 2024, resulting primarily from natural gas basis differentials that were below the fixed prices of certain of our natural gas basis differential swap contracts. For the three months ended March 31, 2023, we realized a net gain of $3.7 million related to our natural gas costless collar and natural gas basis swap contracts, resulting primarily from natural gas prices that were below the floor prices of certain of our natural gas costless collar contracts, offset by natural gas basis differential prices that were above the fixed price of our natural gas basis swap contract. We realized an average gain on our natural gas derivatives of approximately $0.01 per Mcf produced during the three months ended March 31, 2024, as compared to an average gain of approximately $0.14 per Mcf produced during the three months ended March 31,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Unrealized gain (loss) on derivatives.</w:t>
      </w:r>
      <w:r>
        <w:rPr>
          <w:color w:val="000000"/>
        </w:rPr>
        <w:t xml:space="preserve"> </w:t>
      </w:r>
      <w:r>
        <w:rPr>
          <w:rFonts w:ascii="Times New Roman;sans-serif" w:hAnsi="Times New Roman;sans-serif"/>
          <w:b w:val="false"/>
          <w:color w:val="000000"/>
          <w:sz w:val="20"/>
        </w:rPr>
        <w:t>During the three months ended March 31, 2024, the aggregate net fair value of our open natural gas basis differential swap contracts changed to a net asset of $4.7 million from a net asset of $2.7 million at December 31, 2023, resulting in an unrealized gain on derivatives of $2.1 million for the three months ended March 31, 2024. During the three months ended March 31, 2023, the aggregate net fair value of our open oil and natural gas derivative contracts changed to a net liability of $3.1 million from a net asset of $3.9 million at December 31, 2022, resulting in an unrealized loss on derivatives of $7.1 million for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before="120" w:after="283"/>
        <w:ind w:left="0" w:right="0" w:firstLine="225"/>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operating expenses and other income (expense) for the periods indicated:</w:t>
      </w:r>
    </w:p>
    <w:tbl>
      <w:tblPr>
        <w:tblW w:w="8859" w:type="dxa"/>
        <w:jc w:val="left"/>
        <w:tblInd w:w="0" w:type="dxa"/>
        <w:tblLayout w:type="fixed"/>
        <w:tblCellMar>
          <w:top w:w="28" w:type="dxa"/>
          <w:left w:w="28" w:type="dxa"/>
          <w:bottom w:w="28" w:type="dxa"/>
          <w:right w:w="28" w:type="dxa"/>
        </w:tblCellMar>
      </w:tblPr>
      <w:tblGrid>
        <w:gridCol w:w="2087"/>
        <w:gridCol w:w="1834"/>
        <w:gridCol w:w="1838"/>
        <w:gridCol w:w="211"/>
        <w:gridCol w:w="826"/>
        <w:gridCol w:w="109"/>
        <w:gridCol w:w="109"/>
        <w:gridCol w:w="109"/>
        <w:gridCol w:w="109"/>
        <w:gridCol w:w="211"/>
        <w:gridCol w:w="826"/>
        <w:gridCol w:w="109"/>
        <w:gridCol w:w="109"/>
        <w:gridCol w:w="109"/>
        <w:gridCol w:w="109"/>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per BOE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March 31, 2024 as Compared to Three Months Ended March 31, 2023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 xml:space="preserve">Our production taxes and transportation and processing expenses increased $14.7 million, or 26%, to $70.2 million for the three months ended March 31, 2024, as compared to $55.5 million for the three months ended March 31, 2023. The increase was primarily attributable to a $13.9 million increase in production taxes to $54.0 million for the three months ended March 31, 2024, as compared to $40.1 million for the three months ended March 31, 2023, primarily due to the increase in oil and natural gas revenues between the two periods. On a unit-of-production basis, our production taxes and transportation and processing expenses decreased 11% to $5.15 per BOE for the three months ended March 31, 2024, as compared to $5.78 per BOE for the three months ended March 31, 2023. This decrease was primarily attributable to a decrease in the transportation and processing expense per BOE that resulted from the mix of revenue contracts, including from San Mateo and Pronto,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Lease operating.</w:t>
      </w:r>
      <w:r>
        <w:rPr>
          <w:color w:val="000000"/>
        </w:rPr>
        <w:t xml:space="preserve"> </w:t>
      </w:r>
      <w:r>
        <w:rPr>
          <w:rFonts w:ascii="Times New Roman;sans-serif" w:hAnsi="Times New Roman;sans-serif"/>
          <w:b w:val="false"/>
          <w:color w:val="000000"/>
          <w:sz w:val="20"/>
        </w:rPr>
        <w:t xml:space="preserve">Our lease operating expenses increased $31.9 million, or 72%, to $76.3 million for the three months ended March 31, 2024, as compared to $44.4 million for the three months ended March 31, 2023. Our lease operating expenses on a unit-of-production basis increased 21% to $5.60 per BOE for the three months ended March 31, 2024, as compared to $4.63 per BOE for the three months ended March 31, 2023. These increases were primarily attributable to the increased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wells being operated by us, including 127 wells from the Advance Acquisition, and operated by other operators (where we own a working interest) and to operating cost inflation for the three months ended March 31, 2024, as compared to the three months ended March 31,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$8.6 million, or 28%, to $39.6 million for the three months ended March 31, 2024, as compared to $31.0 million for the three months ended March 31, 2023. This increase was primarily attributable to increased throughput volumes from Matador and other San Mateo and Pronto customers, which resulted in (i) increased expenses associated with our expanded pipeline operations of $16.2 million for the three months ended March 31, 2024, as compared to $10.1 million for the three months ended March 31, 2023, and (ii) increased expenses associated with our commercial produced water disposal operations of $14.4 million for the three months ended March 31, 2024, as compared to $12.8 million for the three months ended March 31, 2023.</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 xml:space="preserve">Our depletion, depreciation and amortization expenses increased $86.0 million, or 68%, to $212.3 million for the three months ended March 31, 2024, as compared to $126.3 million for the three months ended March 31, 2023, primarily as a result of the Advance Acquisition and a 42% increase in our total oil equivalent production for the three months ended March 31, 2024, as compared to the three months ended March 31, 2023. On a unit-of-production basis, our depletion, depreciation and amortization expenses increased 18% to $15.58 per BOE for the three months ended March 31, 2024, as compared to $13.16 per BOE for the three months ended March 31, 2023, primarily as a result of the Advance Acquisition and an increase in actual costs and estimated future costs to drill, complete and equip our wells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increased $7.2 million, or 32%, to $29.7 million for the three months ended March 31, 2024, as compared to $22.4 million for the three months ended March 31, 2023. This increase was primarily attributable to an increase in employee stock-based compensation expense primarily associated with our cash-settled stock awards, the values of which are remeasured at each reporting period. The share price of our common stock increased by 17% from $56.86 at December 31, 2023 to $66.77 at March 31, 2024. Our general and administrative expenses decreased by 7% on a unit-of-production basis to $2.18 per BOE for the three months ended March 31, 2024, as compared to $2.34 per BOE for the three months ended March 31, 2023, primarily as a result of a 42% increase in our total oil equivalent production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three months ended March 31, 2024, we incurred total interest expense of $45.4 million. We capitalized $5.9 million of our interest expense on certain qualifying projects for the three months ended March 31, 2024 and expensed the remaining $39.6 million to operations. For the three months ended March 31, 2023, we incurred total interest expense of $19.6 million. We capitalized $3.4 million of our interest expense on certain qualifying projects for the three months ended March 31, 2023 and expensed the remaining $16.2 million to operations. The increase in interest expense for the three months ended March 31, 2024 is a result of borrowings under the Credit Agreement that were used in connection with the Advance Acquisition, borrowings under the San Mateo Credit Facility, the issuance of the 2028 Notes in April 2023 and the significant increase in interest rates between the two periods.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 xml:space="preserve">We recorded a current income tax provision of $17.3 million and a deferred income tax provision of $49.5 million for the three months ended March 31, 2024. We recorded a current income tax provision of $4.9 million and a deferred income tax provision of $51.7 million for the three months ended March 31, 2023. Our effective income tax rate of 26% for each of the three months ended March 31, 2024 and 2023 differed from the U.S. federal statutory rate due primarily to permanent differences between book and taxable income and state taxes, primarily in New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capital has been, and we expect will continue to be during the remainder of 2024 and for the foreseeable future, for the acquisition, exploration and development of oil and natural gas properties and for midstream investments. Excluding any future significant acquisitions, we expect to fund our 2024 capital expenditures through a combination of cash on hand, operating cash flows and performance incentives paid to us by Five Point Energy, LLC or its affiliates. If capital expenditures were to exceed our operating cash flows during the remainder of 2024, we expect to fund any such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the Board declared a quarterly cash dividend of $0.20 per share of common stock, which was paid on March 13, 2024 to shareholders of record as of February 23, 2024. In April 2024, the Board declared a quarterly cash dividend of $0.20 per share of common stock payable on June 7, 2024 to shareholders of record as of May 17,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and our lenders entered into an amendment to the Fourth Amended and Restated Credit Agreement, which amended our Credit Agreement to, among other things: (i) reaffirm the borrowing base at $2.50 billion, (ii) increase the elected borrowing commitments from $1.325 billion to $1.50 billion, (iii) increase the maximum facility amount from $2.00 billion to $3.50 billion, (iv) extend the maturity date from October 31, 2026 to March 22, 2029, (v) appoint PNC Bank, National Association as administrative agent thereunder and (vi) add five new banks to the lending group. This March 2024 reaffirmation of the borrowing base constituted the regularly scheduled May 1 redetermination.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cash or cash equivalents of up to the greater of (a) $150.0 million and (b) 10% of the elected commitment), divided by a rolling four quarter EBITDA calculation, of 3.5 to 1.0 or less. We believe that we were in compliance with the terms of the Credit Agreement at March 31,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2024, we completed the 2024 Equity Offering. After deducting underwriting discounts and offering expenses, we received net proceeds of approximately $344.2 million. The net proceeds from the 2024 Equity Offering were used for general corporate purposes, including the funding of acquisitions and the repayment of borrowings outstanding under our Credit Agreement.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cash totaling $23.2 million and restricted cash totaling $51.1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(i) $699.2 million of outstanding 2026 Notes, (ii) $500.0 million of outstanding 2028 Notes, (iii) $260.0 million in borrowings outstanding under the Credit Agreement and (iv) approximately $41.7 million in outstanding letters of credit issued pursuant to the Credit Agreement.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 2024, we completed the 2032 Notes Offering. We used the net proceeds from the 2032 Notes Offering of approximately $885.0 million, after deducting the initial purchasers’ discounts and estimated offering expenses, to fund the 2026 Notes Tender Offer and 2026 Notes Redemption and for general corporate purposes, including the funding of acquisitions and the repayment of borrowings outstanding under our Credit Agreement.</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April 23, 2024, we had (i) $500.0 million of outstanding 2028 Notes, (ii) $900.0 million of outstanding 2032 Notes, (iii) $25.0 million of borrowings outstanding under the Credit Agreement and (iv) approximately $52.6 million in outstanding letters of credit issued pursuant to the Credit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San Mateo had $526.0 million in borrowings outstanding under the San Mateo Credit Facility and approximately $9.0 million in outstanding letters of credit issued pursuant to the San Mateo Credit Facility. Between March 31, 2024 and April 23, 2024, San Mateo repaid $31.0 million of borrowings under the San Mateo Credit Facility. The outstanding borrowings under the San Mateo Credit Facility mature on December 9, 2026, and lender commitments under the facility were $535.0 million at March 31, 2024.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development of our Delaware Basin assets will be the primary focus of our operations and capital expenditures for the remainder of 2024. We began 2024 operating seven drilling rigs in the Delaware Basin. We added an eighth operated drilling rig in the first quarter of 2024. We have built significant optionality into our drilling program, which should generally allow us to decrease or increase the number of rigs we operate as necessary based on changing commodity prices and other factors. Our estimated capital expenditures for drilling, completing and equipping wells (“D/C/E capital expenditures”) and midstream capital expenditures for 2024 consists of $1.10 to $1.30 billion and $200.0 to $250.0 million, respectively. The anticipated midstream capital expenditures include our proportionate share of San Mateo’s estimated 2024 capital expenditures as well as the estimated 2024 capital expenditures for other wholly-owned midstream projects, including projects completed by Pronto. The midstream capital budget includes 100% of the costs associated with the Marlan Processing Plant expansion noted above, although, at April 23, 2024, we were continuing to evaluate potential partners in Pronto that would share in these capital expenditures and strategic opportunities.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2024 Delaware Basin operated drilling program is expected to focus on the continued development of our various asset areas throughout the Delaware Basin, with a continued emphasis on drilling and completing a high percentage of longer horizontal wells in 2024, including 99% with anticipated completed lateral lengths of one mile or greater.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2024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the remainder of 2024 is expected to come from producing wells and development activities on currently proved properties in the Wolfcamp and Bone Spring plays in the Delaware Basin, the Eagle Ford shale in South Texas and the Haynesville shale in Northwest Louisiana.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2024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cash flows for the three months ended March 31, 2024 and 2023 are presented below:</w:t>
      </w:r>
    </w:p>
    <w:tbl>
      <w:tblPr>
        <w:tblW w:w="9189" w:type="dxa"/>
        <w:jc w:val="left"/>
        <w:tblInd w:w="0" w:type="dxa"/>
        <w:tblLayout w:type="fixed"/>
        <w:tblCellMar>
          <w:top w:w="28" w:type="dxa"/>
          <w:left w:w="28" w:type="dxa"/>
          <w:bottom w:w="28" w:type="dxa"/>
          <w:right w:w="28" w:type="dxa"/>
        </w:tblCellMar>
      </w:tblPr>
      <w:tblGrid>
        <w:gridCol w:w="2358"/>
        <w:gridCol w:w="2080"/>
        <w:gridCol w:w="2087"/>
        <w:gridCol w:w="211"/>
        <w:gridCol w:w="826"/>
        <w:gridCol w:w="109"/>
        <w:gridCol w:w="109"/>
        <w:gridCol w:w="109"/>
        <w:gridCol w:w="109"/>
        <w:gridCol w:w="211"/>
        <w:gridCol w:w="82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20"/>
              </w:rPr>
              <w:t>attributable to Matador Resources Company shareholders</w:t>
            </w:r>
            <w:r>
              <w:rPr>
                <w:rFonts w:ascii="Times New Roman;sans-serif" w:hAnsi="Times New Roman;sans-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$129.1 million to $468.6 million for the three months ended March 31, 2024 from $339.5 million for the three months ended March 31, 2023. Excluding changes in operating assets and liabilities, net cash provided by operating activities increased $113.5 million to $481.4 million for the three months ended March 31, 2024 from $367.9 million for the three months ended March 31, 2023. This increase was primarily attributable to higher oil and natural gas production and higher realized oil prices for the three months ended March 31, 2024, as compared to the three months ended March 31, 2023, partially offset by lower realized natural gas prices. Changes in our operating assets and liabilities between the two periods resulted in a net increase of approximately $15.6 million in net cash provided by operating activities for the three months ended March 31, 2024, as compared to the three months ended March 31, 2023.</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$199.8 million to $543.3 million for the three months ended March 31, 2024 from $343.5 million for the three months ended March 31, 2023. This increase in net cash used in investing activities was primarily due to (i) an increase between the periods of $12.5 million in D/C/E capital expenditures primarily attributable to our operated and non-operated D/C/E activities in the Delaware Basin, (ii) an increase of $90.9 million in expenditures for midstream and other property and equipment and (iii) an increase of $98.4 million in expenditures related to acquisition of oil and natural gas properties.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$82.7 million to $42.8 million for the three months ended March 31, 2024 from net cash used in financing activities of $39.9 million for the three months ended March 31, 2023. During the three months ended March 31, 2024, our primary sources of cash from financing activities included proceeds from the 2024 Equity Offering of $344.7 million, partially offset by net repayments under the Credit Agreement of $240.0 million, dividends paid of $23.9 million, net distributions related to San Mateo of $18.4 million and payment of taxes related to stock-based compensation of $13.5 million. During the three months ended March 31, 2023, our primary uses of cash related to financing activities were for net borrowings under the San Mateo Credit Facility of $10.0 million, dividends of $17.8 million and payment of taxes related to stock-based compensation of $18.9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the interim unaudited condensed consolidated financial statements in this Quarterly Report for a summary of our debt, including the Credit Agreement, the San Mateo Credit Facility, the 2026 Notes and the 2028 Notes. See Note 13 to the interim unaudited condensed consolidated financial statements for a discussion of changes in the Company’s debt between March 31, 2024 and April 23, 2024.</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 Financial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Matador’s outstanding senior notes registered under the Securities Act consisted of the 2026 Notes. The 2026 Notes were jointly and severally guaranteed by the Guarantor Subsidiaries on a full and unconditional basis (except for customary release provisions). At March 31, 2024,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nor Pronto was a guarantor of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tbl>
      <w:tblPr>
        <w:tblW w:w="4241" w:type="dxa"/>
        <w:jc w:val="left"/>
        <w:tblInd w:w="0" w:type="dxa"/>
        <w:tblLayout w:type="fixed"/>
        <w:tblCellMar>
          <w:top w:w="28" w:type="dxa"/>
          <w:left w:w="28" w:type="dxa"/>
          <w:bottom w:w="28" w:type="dxa"/>
          <w:right w:w="28" w:type="dxa"/>
        </w:tblCellMar>
      </w:tblPr>
      <w:tblGrid>
        <w:gridCol w:w="878"/>
        <w:gridCol w:w="773"/>
        <w:gridCol w:w="779"/>
        <w:gridCol w:w="109"/>
        <w:gridCol w:w="109"/>
        <w:gridCol w:w="109"/>
        <w:gridCol w:w="233"/>
        <w:gridCol w:w="1081"/>
        <w:gridCol w:w="170"/>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6,222,274 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1,445,567 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34" w:type="dxa"/>
        <w:jc w:val="left"/>
        <w:tblInd w:w="0" w:type="dxa"/>
        <w:tblLayout w:type="fixed"/>
        <w:tblCellMar>
          <w:top w:w="28" w:type="dxa"/>
          <w:left w:w="28" w:type="dxa"/>
          <w:bottom w:w="28" w:type="dxa"/>
          <w:right w:w="28" w:type="dxa"/>
        </w:tblCellMar>
      </w:tblPr>
      <w:tblGrid>
        <w:gridCol w:w="1073"/>
        <w:gridCol w:w="944"/>
        <w:gridCol w:w="952"/>
        <w:gridCol w:w="109"/>
        <w:gridCol w:w="109"/>
        <w:gridCol w:w="109"/>
        <w:gridCol w:w="345"/>
        <w:gridCol w:w="1352"/>
        <w:gridCol w:w="178"/>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269,096 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172,498 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tbl>
      <w:tblPr>
        <w:tblW w:w="9415" w:type="dxa"/>
        <w:jc w:val="left"/>
        <w:tblInd w:w="0" w:type="dxa"/>
        <w:tblLayout w:type="fixed"/>
        <w:tblCellMar>
          <w:top w:w="28" w:type="dxa"/>
          <w:left w:w="28" w:type="dxa"/>
          <w:bottom w:w="28" w:type="dxa"/>
          <w:right w:w="28" w:type="dxa"/>
        </w:tblCellMar>
      </w:tblPr>
      <w:tblGrid>
        <w:gridCol w:w="2282"/>
        <w:gridCol w:w="2009"/>
        <w:gridCol w:w="2024"/>
        <w:gridCol w:w="211"/>
        <w:gridCol w:w="826"/>
        <w:gridCol w:w="109"/>
        <w:gridCol w:w="109"/>
        <w:gridCol w:w="109"/>
        <w:gridCol w:w="109"/>
        <w:gridCol w:w="211"/>
        <w:gridCol w:w="826"/>
        <w:gridCol w:w="109"/>
        <w:gridCol w:w="109"/>
        <w:gridCol w:w="109"/>
        <w:gridCol w:w="109"/>
        <w:gridCol w:w="154"/>
      </w:tblGrid>
      <w:tr>
        <w:trPr/>
        <w:tc>
          <w:tcPr>
            <w:tcW w:w="228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and non-recurring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70"/>
        <w:gridCol w:w="2259"/>
        <w:gridCol w:w="2275"/>
        <w:gridCol w:w="211"/>
        <w:gridCol w:w="826"/>
        <w:gridCol w:w="109"/>
        <w:gridCol w:w="109"/>
        <w:gridCol w:w="109"/>
        <w:gridCol w:w="109"/>
        <w:gridCol w:w="211"/>
        <w:gridCol w:w="826"/>
        <w:gridCol w:w="109"/>
        <w:gridCol w:w="109"/>
        <w:gridCol w:w="109"/>
        <w:gridCol w:w="109"/>
        <w:gridCol w:w="155"/>
      </w:tblGrid>
      <w:tr>
        <w:trPr/>
        <w:tc>
          <w:tcPr>
            <w:tcW w:w="257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and non-recurring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net income attributable to Matador shareholders increased $30.6 million to $193.7 million, as compared to $163.1 million for the three months ended March 31, 2023. The increase in net income attributable to Matador shareholders primarily resulted from higher realized oil prices and higher oil and natural gas production for the three months ended March 31, 2024, as compared to the three months ended March 31, 2023. In addition, we had increased depletion, depreciation and amortization expenses of $212.3 million for the three months ended March 31, 2024, as compared to $126.3 million for the three months ended March 31, 2023, and an unrealized gain on derivatives of $2.1 million for the three months ended March 31, 2024, as compared to an unrealized loss on derivatives of $7.1 million for the three months ended March 31,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increased $140.1 million to $505.4 million for the three months ended March 31, 2024, as compared to $365.2 million for the three months ended March 31, 2023. This increase was primarily attributable to higher realized oil prices, and higher oil and natural gas production, for the three months ended March 31, 2024, as compared to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off-balance sheet arrangements and transactions that can give rise to material off-balance sheet obligations. As of March 31, 2024,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Commitments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the following material contractual obligations and commitments at March 31, 2024: </w:t>
      </w:r>
    </w:p>
    <w:tbl>
      <w:tblPr>
        <w:tblW w:w="10205" w:type="dxa"/>
        <w:jc w:val="left"/>
        <w:tblInd w:w="0" w:type="dxa"/>
        <w:tblLayout w:type="fixed"/>
        <w:tblCellMar>
          <w:top w:w="28" w:type="dxa"/>
          <w:left w:w="28" w:type="dxa"/>
          <w:bottom w:w="28" w:type="dxa"/>
          <w:right w:w="28" w:type="dxa"/>
        </w:tblCellMar>
      </w:tblPr>
      <w:tblGrid>
        <w:gridCol w:w="1078"/>
        <w:gridCol w:w="800"/>
        <w:gridCol w:w="79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w:t>
              <w:br/>
              <w:t>5 Years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Borrowings, including letters of credit</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Non-operated drilling commitments</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rig contracts</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retirement obligations</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non-affiliates</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San Mateo</w:t>
            </w:r>
            <w:r>
              <w:rPr>
                <w:rFonts w:ascii="Times New Roman;sans-serif" w:hAnsi="Times New Roman;sans-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Midstream contracts</w:t>
            </w:r>
            <w:r>
              <w:rPr>
                <w:rFonts w:ascii="Times New Roman;sans-serif" w:hAnsi="Times New Roman;sans-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1,491,308 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amounts included in the table above represent principal maturities only. At March 31, 2024, we had $260.0 million in borrowings outstanding under the Credit Agreement and approximately $41.7 million in outstanding letters of credit issued pursuant to the Credit Agreement. The Credit Agreement matures March 22, 2029. At March 31, 2024, San Mateo had $526.0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7.18% and 7.68%, respectively, for the Credit Agreement and the San Mateo Credit Facility at March 31, 2024, the interest expense for such facilities is expected to be approximately $18.9 million and $41.0 million, respectively,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$699.2 million of outstanding 2026 Notes as of March 31, 2024 was expected to be approximately $41.1 million each year until maturity. Interest expense on the $500.0 million of outstanding 2028 Notes as of March 31, 2024 is expected to be approximately $34.4 million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(3)At March 31, 2024,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March 31, 2024.</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(7)We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15-year, fixed-fee natural gas processing agreements. See Note 10 to the interim unaudited condensed consolidated financial statements in this Quarterly Report for more information about these contractual commitments.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(8)At March 31, 2024, we had outstanding commitments related to the construction and installation of Pronto’s additional natural gas processing plant with a designed inlet processing capacity of 200 MMcf per day, including a nitrogen rejection unit and additional related facilities, in addition to commitments to purchase seven compressors to be utilized in San Mateo and Pronto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Outlook and Trends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ongoing military conflicts, political instability, particularly in China or the Middle East, the actions of Organization of Petroleum Exporting Countries, Russia and certain other oil-exporting countries (“OPEC+”), weather, pipeline capacity constraints, inventory storage levels, oil and natural gas price differentials and other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Oil prices were higher in the first quarter of 2024, as compared to the first quarter of 2023. For the three months ended March 31, 2024, oil prices averaged $76.91 per Bbl, ranging from a low of $70.38 per Bbl in early January to a high of $83.47 per Bbl in mid-March, based upon the West Texas Intermediate (“WTI”) oil futures contract price for the earliest delivery date. Oil prices averaged $75.99 per Bbl for the three months ended March 31, 2023. We realized a weighted average oil price of $77.58 per Bbl (with no realized gains or losses from oil derivatives) for our oil production for the three months ended March 31, 2024, as compared to $75.74 per Bbl (with no realized gains or losses from oil derivatives) for our oil production for the three months ended March 31, 2023. At April 23, 2024, the WTI oil futures contract for the earliest delivery date had increased from the average price for the first quarter of 2024 of $76.91 per Bbl, settling at $83.36 per Bbl, which was an increase as compared to $77.87 per Bbl at April 21,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prices were lower in the first quarter of 2024, as compared to the first quarter of 2023. For the three months ended March 31, 2024, natural gas prices averaged $2.10 per MMBtu, ranging from a high of $3.31 per MMBtu in mid-January to a low of $1.58 per MMBtu in late-March, based upon the NYMEX Henry Hub natural gas futures contract price for the earliest delivery date. Natural gas prices averaged $2.74 per MMBtu for the three months ended March 31, 2023. We report production volumes in two streams, oil and natural gas (which includes both dry gas and NGLs). NGL prices were also lower for the first quarter of 2024, as compared to the first quarter of 2023, which contributed to lower realized weighted average natural gas prices for the first quarter of 2024. We realized a weighted average natural gas price of $2.96 per Mcf ($2.97 per Mcf including realized gains from natural gas derivatives) for our natural gas production (including revenues attributable to NGLs) for the three months ended March 31, 2024, as compared to $3.93 per Mcf ($4.07 per Mcf including realized gains from natural gas derivatives) for our natural gas production (including revenues attributable to NGLs) for the three months ended March 31, 2023. Certain volumes of our natural gas production are sold at prices established at the beginning of each month by the various markets where we sell our natural gas production, and certain volumes of our natural gas production are sold at daily market prices. At April 23, 2024, the NYMEX Henry Hub natural gas futures contract price for the earliest delivery date had decreased from the average price for the first quarter of 2024 of $2.10 per MMBtu, to $1.81 per MMBtu, which was a decrease as compared to $2.23 per MMBtu at April 21, 2023.</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March 31, 2024,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Midland-Cushing (Oklahoma) oil price differential has been highly volatile in recent years. At April 23, 2024, this oil price differential was positive at approximately +$1.30 per Bbl. At April 23, 2024, we had no derivative contracts in place to mitigate our exposure to this Midland-Cushing (Oklahoma) oil price differential for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volumes of our Delaware Basin natural gas production are exposed to the Waha-Henry Hub basis differential, which has also been highly volatile in recent years. Concerns about natural gas pipeline takeaway capacity out of the Delaware Basin have increased, particularly beginning in the latter half of 2022. As a result, the Waha-Henry Hub basis differential began to widen. The Waha-Henry Hub basis differential averaged ($1.30) per MMBtu for the three months ended March 31, 2024. Between March 31, 2024 and April 23, 2024, this natural gas price differential widened to approximately ($2.00) per MMBtu. As a result of low natural gas prices or wide Waha basis differentials, from time to time we or our non-operated partners may elect to temporarily shut in or restrict a portion of our natural gas production. A significant portion of our Delaware Basin natural gas production, however, is sold at Houston Ship Channel pricing and is not exposed to Waha pricing. During 2022 and 2023, we typically realized a narrower differential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6% of our reported natural gas production for the three months ended March 31, 2024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three months of 2024, we realized a net gain on our natural gas basis differential derivative contracts of approximately $0.3 million, resulting primarily from natural gas basis differentials that were below the fixed prices of certain of our natural gas basis differential swap contracts. At April 23, 2024, we had derivative natural gas basis differential swap contracts in place to mitigate our exposure to the Waha-Henry Hub basis differential for approximately 8.3 Bcf of our anticipated natural gas production for the remainder of 2024 and 11.0 Bcf for 2025.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increases in oil prices during 2022 and 2023,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current income tax provision of $17.3 million for the three months ended March 31, 2024 and a deferred income tax provision of $49.5 million for the three months ended March 31, 2024. Our effective income tax rate of 26% for the three months ended March 31, 2024 differed from the U.S. federal statutory rate due primarily to permanent differences between book and taxable income and state taxes, primarily in New Mexico.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6, 2024, the SEC adopted a new set of rules that require a wide range of climate-related disclosures, including material climate-related risks, information on any climate-related targets or goals that are material to the registrant’s business, results of operations or financial condition, Scope 1 and Scope 2 greenhouse gas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Compliance dates under the final rule are phased in by registrant category. Multiple lawsuits have been filed challenging the SEC’s new climate rules, which have been consolidated and will be heard in the U.S. Court of Appeals for the Eighth Circuit. On April 4, 2024, the SEC issued an order staying the final rules until judicial review is complete.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requirements of the Inflation Reduction Act of 2022, on January 26, 2024, the Environmental Protection Agency (“EPA”) published its proposed rule regarding the waste emissions charge, applicable to excess methane emissions at certain oil and natural gas facilities. Further, on March 8, 2024, the EPA published its final rules imposing new, stricter requirements for methane monitoring, reporting and emissions control at certain oil and natural gas facilities. Finally, on April 10, 2024, the Bureau of Land Management published its final waste prevention rule, which requires operators of oil and gas leases to take reasonable steps to avoid natural gas waste or pay royalties on certain natural gas waste, as well as develop leak detection, repair, and waste minimization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to the sources and effects of our market risk since December 31, 2023,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March 31, 2024, Bank of America was the counterparty for our derivative instruments. We have considered the credit standing of the counterparty in determining the fair value of our derivative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we had natural gas basis differential swap contracts open and in place to mitigate our exposure to natural gas price volatility, with a specific term (calculation period), notional quantity (volume hedged) and fixed price.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March 31, 2024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changes in our internal controls that have materially affected or are reasonably likely to have a material effect on our internal control over financial reporting.</w:t>
      </w:r>
    </w:p>
    <w:p>
      <w:pPr>
        <w:pStyle w:val="TextBody"/>
        <w:bidi w:val="0"/>
        <w:spacing w:before="120" w:after="283"/>
        <w:ind w:left="0" w:right="0" w:firstLine="495"/>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material changes regarding the legal proceedings we have disclosed in “Item 3. Legal Proceedings”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March 31, 2024, the Company re-acquired shares of common stock from certain employees in order to satisfy the employees’ tax liability in connection with the vesting of restricted stock. </w:t>
      </w:r>
    </w:p>
    <w:tbl>
      <w:tblPr>
        <w:tblW w:w="10205" w:type="dxa"/>
        <w:jc w:val="left"/>
        <w:tblInd w:w="0" w:type="dxa"/>
        <w:tblLayout w:type="fixed"/>
        <w:tblCellMar>
          <w:top w:w="28" w:type="dxa"/>
          <w:left w:w="28" w:type="dxa"/>
          <w:bottom w:w="28" w:type="dxa"/>
          <w:right w:w="28" w:type="dxa"/>
        </w:tblCellMar>
      </w:tblPr>
      <w:tblGrid>
        <w:gridCol w:w="530"/>
        <w:gridCol w:w="405"/>
        <w:gridCol w:w="408"/>
        <w:gridCol w:w="109"/>
        <w:gridCol w:w="109"/>
        <w:gridCol w:w="109"/>
        <w:gridCol w:w="522"/>
        <w:gridCol w:w="497"/>
        <w:gridCol w:w="499"/>
        <w:gridCol w:w="109"/>
        <w:gridCol w:w="109"/>
        <w:gridCol w:w="109"/>
        <w:gridCol w:w="291"/>
        <w:gridCol w:w="851"/>
        <w:gridCol w:w="150"/>
        <w:gridCol w:w="109"/>
        <w:gridCol w:w="109"/>
        <w:gridCol w:w="109"/>
        <w:gridCol w:w="787"/>
        <w:gridCol w:w="787"/>
        <w:gridCol w:w="789"/>
        <w:gridCol w:w="109"/>
        <w:gridCol w:w="109"/>
        <w:gridCol w:w="109"/>
        <w:gridCol w:w="694"/>
        <w:gridCol w:w="694"/>
        <w:gridCol w:w="993"/>
      </w:tblGrid>
      <w:tr>
        <w:trPr/>
        <w:tc>
          <w:tcPr>
            <w:tcW w:w="53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Total Number of Shares 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 or Programs</w:t>
            </w:r>
          </w:p>
        </w:tc>
      </w:tr>
      <w:tr>
        <w:trPr/>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to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to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to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34,966 </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(1)The shares were not re-acquired pursuant to any repurchase plan or program. The Company re-acquired shares of common stock from certain employees in order to satisfy the employees’ tax liability in connection with the vesting of restricted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Plans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(as defined in Rule 16a-1(f) under the Exchange Act) of the Company adopted, modified or terminated a “Rule 10b5-1 trading arrangement” or “non-Rule 10b5-1 trading arrangement,” as each term is defined in Item 408(a) of Regulation S-K.</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Disclosure Pursuant to Item 5.02 of Form 8-K – Departure of Directors or Certain Officers; Election of Directors; Appointment of Certain Officers; Compensatory Arrangements of Certain Officers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25, 2024, the Company entered into an employment agreement (the “Employment Agreement”) with Brian J. Willey, who serves as the Company’s Executive Vice President and Chief Financial Officer. The Employment Agreement supersedes and replaces Mr. Willey’s existing employment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term of the Employment Agreement is 18 months, with an automatic extension of one additional month at the end of each month. The Employment Agreement includes payment of an annual base salary of $850,000, or such higher amount as may be established from time to time by the Company. In addition, Mr. Willey is eligible to participate in the Company’s annual cash incentive plan, with any awards under such plan subject to the discretion of the Board.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Employment Agreement contains a non-disclosure of confidential information provision that requires Mr. Willey to maintain, both during and after employment, the confidentiality of information used by Mr. Willey in the performance of his job duties.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Employment Agreement contains a non-competition provision, pursuant to which Mr. Willey has agreed that: (i) for a period of six months following termination by the Company for total disability, (ii) for a period of 18 months following termination (a) by the Company for just cause or (b) by Mr. Willey for any reason or (iii) for a period of 24 months in connection with a change in control, Mr. Willey shall not, without the prior written consent of the Board, the Chairman of the Board or the Chief Executive Officer of the Company (which consent may be withheld in his or its sole discretion), directly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indirectly: (x) invest in (other than investments in publicly-owned companies which constitute not more than 1% of the voting securities of any such company) a competing business with significant assets in the restricted area (each as defined below) or (y) participate in a competing business as a manager, employee, director, officer, consultant, independent contractor or other capacity or otherwise provide, directly or indirectly, services or assistance to a competing business in a position that involves input into or direction of such competing business’s decisions within the restricted area.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the Employment Agreement: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competing business” means any person or entity engaged in (A) oil and natural gas exploration, development, production and acquisition activities; (B) marketing and midstream operations, including natural gas processing, oil and natural gas transportation services, oil, natural gas and salt water gathering services and salt water disposal services, and/or (C) acquisition activities related to (A) and (B);</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significant assets” means (A) oil and natural gas reserves in excess of 10 million barrels of oil equivalent or (B) midstream assets with an aggregate fair market value of $25 million or more;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restricted area” means Eddy and Lea Counties, New Mexico and Loving County, Texas (collectively, the “Named Counties”), plus any county or parish where the Company, together with its subsidiaries, has significant assets as of the date of Mr. Willey’s termination of employment; provided, however, that the restricted area shall cease to include a particular Named County following a sale of all or substantially all of the assets held by the Company, together with its subsidiaries, in such Named County.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Employment Agreement contains a non-solicitation provision, pursuant to which, (i) for a period of six months following termination by the Company for total disability or (ii) for a period of 24 months following termination (a) by the Company for just cause, (b) by Mr. Willey for any reason or (c) in connection with a change in control, subject to certain exceptions, Mr. Willey shall not, without the prior written consent of the Board, the Chairman of the Board or the Chief Executive Officer of the Company (which consent may be withheld in his or its sole discretion), (x) solicit for employment or a contracting relationship, or employ or retain any person who is or has been, within six months prior to such time, employed by or engaged as an individual independent contractor by the Company or its affiliates or (y) induce or attempt to induce any such person to leave his or her employment or independent contractor relationship with the Company or its affiliates.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Employment Agreement, if a termination of employment occurs pursuant to one of the following events: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Mr. Willey dies;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Mr. Willey is totally disabled;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Mr. Willey and the Company mutually agree to terminate the Employment Agreement;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Company dissolves or liquidates (other than as part of a reorganization, merger, consolidation or sale of all or substantially all of the assets of the Company whereby the business of the Company is continued);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term of the Employment Agreement ends,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pay Mr. Willey the average annual amount of all bonuses paid to him with respect to the prior two calendar years, pro-rated based on the number of complete or partial months of Mr. Willey’s employment during the calendar year in which his employment terminates.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Employment Agreement, if Mr. Willey’s employment is terminated by the Company without just cause (and other than in connection with a change of control as described below), the Company will pay him an amount equal to one and one-half his then-current base salary, plus one and one-half of the average annual amount of all bonuses paid to Mr. Willey with respect to the prior two calendar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Employment Agreement, if Mr. Willey’s employment is terminated in contemplation of or following a change of control (i) by the Company without just cause or (ii) by Mr. Willey with good reason, the Company will pay him an amount equal to three times his then-current base salary plus three times the average annual amount of all bonuses paid to Mr. Willey with respect to the prior two calendar years. In addition, if Mr. Willey is terminated or terminates his employment as set forth above in connection with a change in control, all of Mr. Willey’s equity awards vest immediately prior to such termination.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definitions of “total disability,” “just cause,” “change of control” and “good reason,” please see the form of employment agreement, a copy of which is filed as Exhibit 10.2 to this Quarterly Report on Form 10-Q and is incorporated herein by reference. The foregoing description of the Employment Agreement is not complete and is qualified in its entirety by reference to the full text of the form of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30ef3d8ab4d4ca6a96533a35316bc0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25"/>
        <w:gridCol w:w="2872"/>
        <w:gridCol w:w="2901"/>
        <w:gridCol w:w="109"/>
        <w:gridCol w:w="109"/>
        <w:gridCol w:w="1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April 2, 2024, by and among the Company, the Guarantor Subsidiaries and U.S. Bank Trust Company, National Association, as trustee (incorporated by reference to Exhibit 4.1 to the Current Report on Form 8-K filed on April 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Fifth Amendment to Fourth Amended and Restated Credit Agreement, dated as of March 22, 2024, by and among MRC Energy Company, as Borrower, the Lenders party thereto and PNC Bank, National Association, as Administrative Agent for the Lenders (incorporated by reference to Exhibit 10.1 to the Current Report on Form 8-K filed on March 25,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qex102.htm">
              <w:r>
                <w:rPr>
                  <w:rStyle w:val="InternetLink"/>
                  <w:rFonts w:ascii="Times New Roman;sans-serif" w:hAnsi="Times New Roman;sans-serif"/>
                  <w:b w:val="false"/>
                  <w:color w:val="0000FF"/>
                  <w:sz w:val="20"/>
                  <w:u w:val="single"/>
                </w:rPr>
                <w:t>Form of Employment between Matador Resources Company and each of Brian J. Willey, Christopher P. Calvert, W. Thomas Elsener, Bryan A. Erman and Glenn W. Stetson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kex221.htm">
              <w:r>
                <w:rPr>
                  <w:rStyle w:val="InternetLink"/>
                  <w:rFonts w:ascii="Times New Roman;sans-serif" w:hAnsi="Times New Roman;sans-serif"/>
                  <w:b w:val="false"/>
                  <w:color w:val="0000FF"/>
                  <w:sz w:val="20"/>
                  <w:u w:val="single"/>
                </w:rPr>
                <w:t>List of Subsidiary Guarantors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q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q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0331mtdr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Quarterly Report on Form 10-Q for the quarter ended March 31, 2024, formatted in Inline XBRL (Inline eXtensible Business Reporting Language): (i) the Condensed Consolidated Balance Sheets - Unaudited, (ii) the Condensed Consolidated Statements of Income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8"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8"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814" w:type="dxa"/>
        <w:jc w:val="righ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964"/>
        <w:gridCol w:w="964"/>
        <w:gridCol w:w="137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tbl>
      <w:tblPr>
        <w:tblW w:w="6999" w:type="dxa"/>
        <w:jc w:val="right"/>
        <w:tblInd w:w="0" w:type="dxa"/>
        <w:tblLayout w:type="fixed"/>
        <w:tblCellMar>
          <w:top w:w="28" w:type="dxa"/>
          <w:left w:w="28" w:type="dxa"/>
          <w:bottom w:w="28" w:type="dxa"/>
          <w:right w:w="28" w:type="dxa"/>
        </w:tblCellMar>
      </w:tblPr>
      <w:tblGrid>
        <w:gridCol w:w="645"/>
        <w:gridCol w:w="568"/>
        <w:gridCol w:w="571"/>
        <w:gridCol w:w="134"/>
        <w:gridCol w:w="134"/>
        <w:gridCol w:w="136"/>
        <w:gridCol w:w="109"/>
        <w:gridCol w:w="109"/>
        <w:gridCol w:w="109"/>
        <w:gridCol w:w="1308"/>
        <w:gridCol w:w="1308"/>
        <w:gridCol w:w="1868"/>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EMPLOYMENT AGREEMENT</w:t>
      </w:r>
    </w:p>
    <w:p>
      <w:pPr>
        <w:pStyle w:val="TextBody"/>
        <w:bidi w:val="0"/>
        <w:spacing w:before="0" w:after="1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THIS EMPLOYMENT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entered into effective as of the Effective Date (as defined below) by and between Matador Resources Company, a Texas corporation (“</w:t>
      </w:r>
      <w:r>
        <w:rPr>
          <w:rFonts w:ascii="Times New Roman;sans-serif" w:hAnsi="Times New Roman;sans-serif"/>
          <w:b w:val="false"/>
          <w:color w:val="000000"/>
          <w:sz w:val="20"/>
          <w:u w:val="single"/>
        </w:rPr>
        <w:t>Matador</w:t>
      </w:r>
      <w:r>
        <w:rPr>
          <w:color w:val="000000"/>
        </w:rPr>
        <w:t>”</w:t>
      </w:r>
      <w:r>
        <w:rPr>
          <w:rFonts w:ascii="Times New Roman;sans-serif" w:hAnsi="Times New Roman;sans-serif"/>
          <w:b w:val="false"/>
          <w:color w:val="000000"/>
          <w:sz w:val="20"/>
        </w:rPr>
        <w:t>), which is the holding company of MRC Energy Company (“</w:t>
      </w:r>
      <w:r>
        <w:rPr>
          <w:rFonts w:ascii="Times New Roman;sans-serif" w:hAnsi="Times New Roman;sans-serif"/>
          <w:b w:val="false"/>
          <w:color w:val="000000"/>
          <w:sz w:val="20"/>
          <w:u w:val="single"/>
        </w:rPr>
        <w:t>MRC</w:t>
      </w:r>
      <w:r>
        <w:rPr>
          <w:color w:val="000000"/>
        </w:rPr>
        <w:t>”</w:t>
      </w:r>
      <w:r>
        <w:rPr>
          <w:rFonts w:ascii="Times New Roman;sans-serif" w:hAnsi="Times New Roman;sans-serif"/>
          <w:b w:val="false"/>
          <w:color w:val="000000"/>
          <w:sz w:val="20"/>
        </w:rPr>
        <w:t>), acting through its Board of Directors (the “</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and [●] (“</w:t>
      </w:r>
      <w:r>
        <w:rPr>
          <w:rFonts w:ascii="Times New Roman;sans-serif" w:hAnsi="Times New Roman;sans-serif"/>
          <w:b w:val="false"/>
          <w:color w:val="000000"/>
          <w:sz w:val="20"/>
          <w:u w:val="single"/>
        </w:rPr>
        <w:t>Employee</w:t>
      </w:r>
      <w:r>
        <w:rPr>
          <w:color w:val="000000"/>
        </w:rPr>
        <w:t>”</w:t>
      </w:r>
      <w:r>
        <w:rPr>
          <w:rFonts w:ascii="Times New Roman;sans-serif" w:hAnsi="Times New Roman;sans-serif"/>
          <w:b w:val="false"/>
          <w:color w:val="000000"/>
          <w:sz w:val="20"/>
        </w:rPr>
        <w:t>). For purposes of this Agreement, (i) the “</w:t>
      </w:r>
      <w:r>
        <w:rPr>
          <w:rFonts w:ascii="Times New Roman;sans-serif" w:hAnsi="Times New Roman;sans-serif"/>
          <w:b w:val="false"/>
          <w:color w:val="000000"/>
          <w:sz w:val="20"/>
          <w:u w:val="single"/>
        </w:rPr>
        <w:t>Company</w:t>
      </w:r>
      <w:r>
        <w:rPr>
          <w:color w:val="000000"/>
        </w:rPr>
        <w:t xml:space="preserve">” </w:t>
      </w:r>
      <w:r>
        <w:rPr>
          <w:rFonts w:ascii="Times New Roman;sans-serif" w:hAnsi="Times New Roman;sans-serif"/>
          <w:b w:val="false"/>
          <w:color w:val="000000"/>
          <w:sz w:val="20"/>
        </w:rPr>
        <w:t>shall mean Matador and MRC, and (ii) the “</w:t>
      </w:r>
      <w:r>
        <w:rPr>
          <w:rFonts w:ascii="Times New Roman;sans-serif" w:hAnsi="Times New Roman;sans-serif"/>
          <w:b w:val="false"/>
          <w:color w:val="000000"/>
          <w:sz w:val="20"/>
          <w:u w:val="single"/>
        </w:rPr>
        <w:t>Effective Date</w:t>
      </w:r>
      <w:r>
        <w:rPr>
          <w:color w:val="000000"/>
        </w:rPr>
        <w:t xml:space="preserve">” </w:t>
      </w:r>
      <w:r>
        <w:rPr>
          <w:rFonts w:ascii="Times New Roman;sans-serif" w:hAnsi="Times New Roman;sans-serif"/>
          <w:b w:val="false"/>
          <w:color w:val="000000"/>
          <w:sz w:val="20"/>
        </w:rPr>
        <w:t>shall mean [●], or such other date as the Board and Employee may agree.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WHEREAS, the Company and Employee are parties to that certain employment agreement dated [●] (the “</w:t>
      </w:r>
      <w:r>
        <w:rPr>
          <w:rFonts w:ascii="Times New Roman;sans-serif" w:hAnsi="Times New Roman;sans-serif"/>
          <w:b w:val="false"/>
          <w:color w:val="000000"/>
          <w:sz w:val="20"/>
          <w:u w:val="single"/>
        </w:rPr>
        <w:t>Prior Agreement</w:t>
      </w:r>
      <w:r>
        <w:rPr>
          <w:color w:val="000000"/>
        </w:rPr>
        <w:t>”</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Company and Employee desire to enter into this Agreement to supersede and replace the Prior Agreement and to set forth the terms and conditions of Employee’s continued employment with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the parties hereto, in consideration of the mutual covenants and promises hereinafter contained, do hereby agree as follows: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Employment</w:t>
      </w:r>
      <w:r>
        <w:rPr>
          <w:rFonts w:ascii="Times New Roman;sans-serif" w:hAnsi="Times New Roman;sans-serif"/>
          <w:b w:val="false"/>
          <w:color w:val="000000"/>
          <w:sz w:val="20"/>
        </w:rPr>
        <w:t xml:space="preserve">. The Company hereby agrees to employ Employee in the capacity of [●], or in such other position or positions of the same or greater stature as the Board may direct or desire, to the extent reasonably acceptable to Employee, and Employee hereby accepts such employment, on the terms and subject to the conditions set forth 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Duties</w:t>
      </w:r>
      <w:r>
        <w:rPr>
          <w:rFonts w:ascii="Times New Roman;sans-serif" w:hAnsi="Times New Roman;sans-serif"/>
          <w:b w:val="false"/>
          <w:color w:val="000000"/>
          <w:sz w:val="20"/>
        </w:rPr>
        <w:t xml:space="preserve">. Employee’s principal duties and responsibilities shall be to (a) manage, generally, all of the Company’s [●], subject to the supervision of the Chairman of the Board, the Chief Executive Officer or any member of the Executive Committee of the Company, (b) carry out such other duties and responsibilities as may be more fully described in Matador’s Bylaws for his position, and such other duties consistent with his position and (c) carry out such other duties that are reasonably assigned to Employee from time to time by the Board, the Chairman of the Board, the Chief Executive Officer or any member of the Executive Committee of the Company. Employee agrees to perform such services and duties and hold such offices as may be reasonably assigned to him from time to time by the Board, the Chairman of the Board, the Chief Executive Officer or any member of the Executive Committee of the Company, consistent with his position, and to devote his full business time, energies and best efforts to the performance thereof to the exclusion of all other business activities, except (i) reasonable and normal work for his personal affairs and estate and any other activities to which Matador may consent, and (ii) services to charitable, civic and/or professional organizations, to the extent such services do not materially and adversely impact Employee’s service to the Company.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Term</w:t>
      </w:r>
      <w:r>
        <w:rPr>
          <w:rFonts w:ascii="Times New Roman;sans-serif" w:hAnsi="Times New Roman;sans-serif"/>
          <w:b w:val="false"/>
          <w:color w:val="000000"/>
          <w:sz w:val="20"/>
        </w:rPr>
        <w:t>. Employee’s employment under this Agreement and shall commence on the Effective Date and expire at the end of eighteen (18) months from the Effective Date (the “</w:t>
      </w:r>
      <w:r>
        <w:rPr>
          <w:rFonts w:ascii="Times New Roman;sans-serif" w:hAnsi="Times New Roman;sans-serif"/>
          <w:b w:val="false"/>
          <w:color w:val="000000"/>
          <w:sz w:val="20"/>
          <w:u w:val="single"/>
        </w:rPr>
        <w:t>Term</w:t>
      </w:r>
      <w:r>
        <w:rPr>
          <w:color w:val="000000"/>
        </w:rPr>
        <w:t>”</w:t>
      </w:r>
      <w:r>
        <w:rPr>
          <w:rFonts w:ascii="Times New Roman;sans-serif" w:hAnsi="Times New Roman;sans-serif"/>
          <w:b w:val="false"/>
          <w:color w:val="000000"/>
          <w:sz w:val="20"/>
        </w:rPr>
        <w:t xml:space="preserve">), subject to earlier termination as provided herein;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Term shall be extended automatically at the end of each month by one additional month unless by such date Matador or Employee gives written notice to the other that the Term shall not be further extended. Such notice must indicate that it shall have the effect of preventing any further extension of the Term.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Salary and Other Compensation</w:t>
      </w:r>
      <w:r>
        <w:rPr>
          <w:rFonts w:ascii="Times New Roman;sans-serif" w:hAnsi="Times New Roman;sans-serif"/>
          <w:b w:val="false"/>
          <w:color w:val="000000"/>
          <w:sz w:val="20"/>
        </w:rPr>
        <w:t>. As compensation for the services to be rendered by Employee to the Company pursuant to this Agreement, Employee shall be paid the following compensation and other benefits: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Base Salary</w:t>
      </w:r>
      <w:r>
        <w:rPr>
          <w:rFonts w:ascii="Times New Roman;sans-serif" w:hAnsi="Times New Roman;sans-serif"/>
          <w:b w:val="false"/>
          <w:color w:val="000000"/>
          <w:sz w:val="20"/>
        </w:rPr>
        <w:t>. Employee shall receive an annualized salary of $[●] per year, payable in installments in accordance with the Company’s then standard payroll practices, or such higher compensation as may be established by the Company from time to time (“</w:t>
      </w:r>
      <w:r>
        <w:rPr>
          <w:rFonts w:ascii="Times New Roman;sans-serif" w:hAnsi="Times New Roman;sans-serif"/>
          <w:b w:val="false"/>
          <w:color w:val="000000"/>
          <w:sz w:val="20"/>
          <w:u w:val="single"/>
        </w:rPr>
        <w:t>Base Salary</w:t>
      </w:r>
      <w:r>
        <w:rPr>
          <w:color w:val="000000"/>
        </w:rPr>
        <w:t>”</w:t>
      </w:r>
      <w:r>
        <w:rPr>
          <w:rFonts w:ascii="Times New Roman;sans-serif" w:hAnsi="Times New Roman;sans-serif"/>
          <w:b w:val="false"/>
          <w:color w:val="000000"/>
          <w:sz w:val="20"/>
        </w:rPr>
        <w:t>). Should Employee become “</w:t>
      </w:r>
      <w:r>
        <w:rPr>
          <w:rFonts w:ascii="Times New Roman;sans-serif" w:hAnsi="Times New Roman;sans-serif"/>
          <w:b w:val="false"/>
          <w:color w:val="000000"/>
          <w:sz w:val="20"/>
          <w:u w:val="single"/>
        </w:rPr>
        <w:t>Partially Disabled</w:t>
      </w:r>
      <w:r>
        <w:rPr>
          <w:rFonts w:ascii="Times New Roman;sans-serif" w:hAnsi="Times New Roman;sans-serif"/>
          <w:b w:val="false"/>
          <w:color w:val="000000"/>
          <w:sz w:val="20"/>
        </w:rPr>
        <w:t xml:space="preserve">,” which for purposes hereof means the inability because of any physical or mental illness lasting no more than 90 days to perform his assigned duties under this Agreement for no less than 20 hours per week (and including any period of short term total absence due to illness or injury,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recovery from surgery, but in no event lasting more than the 90-day period of Partial Disability), and if Employee, during any period of Partial Disability, receives any periodic payments representing lost compensation under any health and accident policy or under any salary continuation insurance policy, the premiums for which have been paid by the Company, the amount of Base Salary that Employee would be entitled to receive from the Company during the period of Partial Disability shall be decreased by the amounts of such payments. Notwithstanding the foregoing, should Employee become Totally Disabled, as defined in Section 12(b), during a period of Partial Disability, the provisions in Sections 12 and 14 with respect to Total Disability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Annual Incentive Compensation</w:t>
      </w:r>
      <w:r>
        <w:rPr>
          <w:rFonts w:ascii="Times New Roman;sans-serif" w:hAnsi="Times New Roman;sans-serif"/>
          <w:b w:val="false"/>
          <w:color w:val="000000"/>
          <w:sz w:val="20"/>
        </w:rPr>
        <w:t>. Employee shall be eligible to participate in the annual incentive plan for management maintained by Matador at a level to provide Employee with annual incentive compensation commensurate with Employee’s position and responsibilities, as determined by, and based on such performance objectives as established by the Compensation Committee of the Board (the “</w:t>
      </w:r>
      <w:r>
        <w:rPr>
          <w:rFonts w:ascii="Times New Roman;sans-serif" w:hAnsi="Times New Roman;sans-serif"/>
          <w:b w:val="false"/>
          <w:color w:val="000000"/>
          <w:sz w:val="20"/>
          <w:u w:val="single"/>
        </w:rPr>
        <w:t>Compensation Committee</w:t>
      </w:r>
      <w:r>
        <w:rPr>
          <w:color w:val="000000"/>
        </w:rPr>
        <w:t>”</w:t>
      </w:r>
      <w:r>
        <w:rPr>
          <w:rFonts w:ascii="Times New Roman;sans-serif" w:hAnsi="Times New Roman;sans-serif"/>
          <w:b w:val="false"/>
          <w:color w:val="000000"/>
          <w:sz w:val="20"/>
        </w:rPr>
        <w:t>) or the Executive Committee of the Board (the “</w:t>
      </w:r>
      <w:r>
        <w:rPr>
          <w:rFonts w:ascii="Times New Roman;sans-serif" w:hAnsi="Times New Roman;sans-serif"/>
          <w:b w:val="false"/>
          <w:color w:val="000000"/>
          <w:sz w:val="20"/>
          <w:u w:val="single"/>
        </w:rPr>
        <w:t>Executive Committee</w:t>
      </w:r>
      <w:r>
        <w:rPr>
          <w:color w:val="000000"/>
        </w:rPr>
        <w:t>”</w:t>
      </w:r>
      <w:r>
        <w:rPr>
          <w:rFonts w:ascii="Times New Roman;sans-serif" w:hAnsi="Times New Roman;sans-serif"/>
          <w:b w:val="false"/>
          <w:color w:val="000000"/>
          <w:sz w:val="20"/>
        </w:rPr>
        <w:t xml:space="preserve">), and the Board, in their sole discretion.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Long-Term Incentive Compensation.</w:t>
      </w:r>
      <w:r>
        <w:rPr>
          <w:color w:val="000000"/>
        </w:rPr>
        <w:t xml:space="preserve"> </w:t>
      </w:r>
      <w:r>
        <w:rPr>
          <w:rFonts w:ascii="Times New Roman;sans-serif" w:hAnsi="Times New Roman;sans-serif"/>
          <w:b w:val="false"/>
          <w:color w:val="000000"/>
          <w:sz w:val="20"/>
        </w:rPr>
        <w:t>Employee shall be entitled to participate in Matador’s 2019 Long-Term Incentive Plan, as amended from time to time, and such other equity incentive plan(s) as may exist in the future, with awards under any such plan(s) to be determined by the Compensation Committee, the Executive Committee or the Board, in their discretion.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Employee Benefit Plans</w:t>
      </w:r>
      <w:r>
        <w:rPr>
          <w:rFonts w:ascii="Times New Roman;sans-serif" w:hAnsi="Times New Roman;sans-serif"/>
          <w:b w:val="false"/>
          <w:color w:val="000000"/>
          <w:sz w:val="20"/>
        </w:rPr>
        <w:t>. Employee shall be eligible to participate, to the extent he may be eligible pursuant to the terms of any such plan, in any profit sharing, retirement, insurance or other employee benefit plan maintained by the Company for the benefit of officers and senior management of the Company, at the officer/senior management level. The Company reserves the right to modify, suspend or discontinue any and all of the employee benefit plans maintained by the Company at any time in accordance with the terms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Life Insurance</w:t>
      </w:r>
      <w:r>
        <w:rPr>
          <w:rFonts w:ascii="Times New Roman;sans-serif" w:hAnsi="Times New Roman;sans-serif"/>
          <w:b w:val="false"/>
          <w:color w:val="000000"/>
          <w:sz w:val="20"/>
        </w:rPr>
        <w:t xml:space="preserve">. The Company, in its discretion, may apply for and procure in its own name and for its own benefit, life insurance on the life of Employee in any amount or amounts considered advisable by the Company, and Employee shall submit to any medical or other examination and execute and deliver any application or other instrument in writing, reasonably necessary to effectuate such insurance.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The Company shall pay, or reimburse Employee, for the reasonable and necessary business expenses of Employee, to the extent incurred in accordance with all applicable expense reimbursement policies of the Company.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Vacations and Leave</w:t>
      </w:r>
      <w:r>
        <w:rPr>
          <w:rFonts w:ascii="Times New Roman;sans-serif" w:hAnsi="Times New Roman;sans-serif"/>
          <w:b w:val="false"/>
          <w:color w:val="000000"/>
          <w:sz w:val="20"/>
        </w:rPr>
        <w:t>. Employee shall be entitled to four (4) weeks paid vacation per year, to be accrued and used in accordance with the Company’s vacation policy in effect from time to time.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Non-Disclosure of Confidential Information</w:t>
      </w:r>
      <w:r>
        <w:rPr>
          <w:rFonts w:ascii="Times New Roman;sans-serif" w:hAnsi="Times New Roman;sans-serif"/>
          <w:b w:val="false"/>
          <w:color w:val="000000"/>
          <w:sz w:val="20"/>
        </w:rPr>
        <w:t>. The Company shall provide Employee Confidential Information, which Employee may use in the performance of his job duties with the Company. “</w:t>
      </w:r>
      <w:r>
        <w:rPr>
          <w:rFonts w:ascii="Times New Roman;sans-serif" w:hAnsi="Times New Roman;sans-serif"/>
          <w:b w:val="false"/>
          <w:color w:val="000000"/>
          <w:sz w:val="20"/>
          <w:u w:val="single"/>
        </w:rPr>
        <w:t>Confidential Information</w:t>
      </w:r>
      <w:r>
        <w:rPr>
          <w:rFonts w:ascii="Times New Roman;sans-serif" w:hAnsi="Times New Roman;sans-serif"/>
          <w:b w:val="false"/>
          <w:color w:val="000000"/>
          <w:sz w:val="20"/>
        </w:rPr>
        <w:t xml:space="preserve">,” whether electronic, oral or in written form, includes without limitation: all geological and geophysical reports and related data such as maps, charts, logs, seismographs, seismic records and other reports and related data, calculations, summaries, memoranda and opinions relating to the foregoing, production records, electric logs, core data, pressure data, lease files, well files and records, land files, abstracts, title opinions, title or curative matters, contract files, notes, records, drawings, manuals, correspondence, financial and accounting information, customer lists, statistical data and compilations, patents, copyrights, trademarks, trade names, inventions, formulae, methods, processes, agreements, contracts, manuals or any documents relating to the business of the Company and information or data regarding the Company’s systems, operations, business, finances, prospects, properties or prospective properties;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Confidential Information shall not include any information that is or becomes publicly available, or is otherwise generally known in the Company’s industry, other than as a result of any disclosure by Employee that is inconsistent with his duties pursuant to this Agreement. As a material inducement to the Company to enter into this Agreement and to pay to Employee the compensation stated in Section 4,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covenants and agrees that he shall not, at any time during or following the Term, directly or indirectly divulge or disclose for any purpose whatsoever, other than as may be required by law, any Confidential Information that has been obtained by, or disclosed to, him as a result of his employment by the Company, or use such Confidential Information for any reason other than to perform his duties pursuant to this Agreement. Notwithstanding any other provision in this Agreement, Employee will not be held criminally or civilly liable under any federal or state trade secret law for any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If Employee files a lawsuit for retaliation by the Company for reporting a suspected violation of law, Employee may disclose the Company’s trade secrets to Employee’s attorney and use the trade secret information in the court proceeding if Employee files any document containing the trade secret under seal and does not disclose the trade secret, except pursuant to court order.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Non-Competition and Non-Solicitation Agreement</w:t>
      </w:r>
      <w:r>
        <w:rPr>
          <w:rFonts w:ascii="Times New Roman;sans-serif" w:hAnsi="Times New Roman;sans-serif"/>
          <w:b w:val="false"/>
          <w:color w:val="000000"/>
          <w:sz w:val="20"/>
        </w:rPr>
        <w:t>.</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    Employee acknowledges and agrees that the Confidential Information the Company has previously provided and will continue to provide to Employee will enable Employee to injure the Company if Employee should compete with the Company. Therefore, Employee hereby agrees that during Employee’s employment with the Company and (i) if the Company terminates Employee’s employment for Total Disability, then for a period of six (6) months thereafter, (ii) if the Company terminates Employee’s employment for Just Cause or Employee terminates his employment during the Term for any reason, then for a period of eighteen (18) months thereafter, or (iii) Employee is entitled to severance pay pursuant to Section 14(b) or Section 14(c), then for a period of twenty-four (24) months thereafter, Employee shall not, without the prior written consent of the Board, the Chairman of the Board or the Chief Executive Officer (which consent may be withheld in his or its sole discretion), directly or indirectly: (a) invest in (other than investments in publicly-owned companies which constitute not more than 1% of the voting securities of any such company) a Competing Business with Significant Assets in the Restricted Area (each as defined below), or (b) participate, directly or indirectly, in the operations of a Competing Business in the Restricted Area as a manager, employee, director, officer, consultant, independent contractor, or in any other capacity or otherwise provide, directly or indirectly, services or assistance to a Competing Business in a position that involves input into or direction of the Competing Business’s decisions within the Restricted Area. “</w:t>
      </w:r>
      <w:r>
        <w:rPr>
          <w:rFonts w:ascii="Times New Roman;sans-serif" w:hAnsi="Times New Roman;sans-serif"/>
          <w:b w:val="false"/>
          <w:color w:val="000000"/>
          <w:sz w:val="20"/>
          <w:u w:val="single"/>
        </w:rPr>
        <w:t>Competing Business</w:t>
      </w:r>
      <w:r>
        <w:rPr>
          <w:color w:val="000000"/>
        </w:rPr>
        <w:t xml:space="preserve">” </w:t>
      </w:r>
      <w:r>
        <w:rPr>
          <w:rFonts w:ascii="Times New Roman;sans-serif" w:hAnsi="Times New Roman;sans-serif"/>
          <w:b w:val="false"/>
          <w:color w:val="000000"/>
          <w:sz w:val="20"/>
        </w:rPr>
        <w:t>means any person or entity engaged in (x) oil and natural gas exploration, development, production and acquisition activities; (y) marketing and midstream operations, including natural gas processing, oil and natural gas transportation services, oil, natural gas and salt water gathering services and salt water disposal services, and/or (z) acquisition activities related (x) and (y). “</w:t>
      </w:r>
      <w:r>
        <w:rPr>
          <w:rFonts w:ascii="Times New Roman;sans-serif" w:hAnsi="Times New Roman;sans-serif"/>
          <w:b w:val="false"/>
          <w:color w:val="000000"/>
          <w:sz w:val="20"/>
          <w:u w:val="single"/>
        </w:rPr>
        <w:t>Significant Assets</w:t>
      </w:r>
      <w:r>
        <w:rPr>
          <w:color w:val="000000"/>
        </w:rPr>
        <w:t xml:space="preserve">” </w:t>
      </w:r>
      <w:r>
        <w:rPr>
          <w:rFonts w:ascii="Times New Roman;sans-serif" w:hAnsi="Times New Roman;sans-serif"/>
          <w:b w:val="false"/>
          <w:color w:val="000000"/>
          <w:sz w:val="20"/>
        </w:rPr>
        <w:t>means (i) oil and natural gas reserves in excess of 10 million barrels of oil equivalent or (ii) midstream assets with an aggregate fair market value of $25 million or more. “</w:t>
      </w:r>
      <w:r>
        <w:rPr>
          <w:rFonts w:ascii="Times New Roman;sans-serif" w:hAnsi="Times New Roman;sans-serif"/>
          <w:b w:val="false"/>
          <w:color w:val="000000"/>
          <w:sz w:val="20"/>
          <w:u w:val="single"/>
        </w:rPr>
        <w:t>Restricted Area</w:t>
      </w:r>
      <w:r>
        <w:rPr>
          <w:color w:val="000000"/>
        </w:rPr>
        <w:t xml:space="preserve">” </w:t>
      </w:r>
      <w:r>
        <w:rPr>
          <w:rFonts w:ascii="Times New Roman;sans-serif" w:hAnsi="Times New Roman;sans-serif"/>
          <w:b w:val="false"/>
          <w:color w:val="000000"/>
          <w:sz w:val="20"/>
        </w:rPr>
        <w:t>means Eddy and Lea Counties, New Mexico and Loving County, Texas (collectively, the “</w:t>
      </w:r>
      <w:r>
        <w:rPr>
          <w:rFonts w:ascii="Times New Roman;sans-serif" w:hAnsi="Times New Roman;sans-serif"/>
          <w:b w:val="false"/>
          <w:color w:val="000000"/>
          <w:sz w:val="20"/>
          <w:u w:val="single"/>
        </w:rPr>
        <w:t>Named Counties</w:t>
      </w:r>
      <w:r>
        <w:rPr>
          <w:color w:val="000000"/>
        </w:rPr>
        <w:t>”</w:t>
      </w:r>
      <w:r>
        <w:rPr>
          <w:rFonts w:ascii="Times New Roman;sans-serif" w:hAnsi="Times New Roman;sans-serif"/>
          <w:b w:val="false"/>
          <w:color w:val="000000"/>
          <w:sz w:val="20"/>
        </w:rPr>
        <w:t xml:space="preserve">), plus any county or parish where the Company, together with its subsidiaries, has Significant Assets as of the date of Employee’s termination of service pursuant to this Agreement; provided, however, that the Restricted Area shall cease to include a particular Named County following a sale of all or substantially all of the assets held by the Company, together with its subsidiaries, in such Named County. </w:t>
      </w:r>
    </w:p>
    <w:p>
      <w:pPr>
        <w:pStyle w:val="TextBody"/>
        <w:bidi w:val="0"/>
        <w:spacing w:before="0" w:after="0"/>
        <w:ind w:left="0" w:right="0" w:firstLine="1440"/>
        <w:jc w:val="both"/>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During Employee’s employment, and (i) if the Company terminates Employee’s employment for Total Disability, then for a period of six (6) months thereafter, or (ii) if the Company terminates Employee’s employment for Just Cause, Employee terminates his employment during the Term for any reason or Employee is entitled to severance pay pursuant to Section 14(b) or Section 14(c), then for a period of twenty-four (24) months thereafter, Employee agrees on his own behalf and on behalf of his affiliates that, without the prior written consent of the Board, the Chairman of the Board or the Chief Executive Officer (which consent may be withheld in his or its sole discretion), he shall not, directly or indirectly, (i) solicit for employment or a contracting relationship, or employ or retain any person who is or has been, within six months prior to such time, employed by or engaged as an individual independent contractor to the Company or its affiliates or (ii) induce or attempt to induce any such person to leave his or her employment or independent contractor relationship with the Company or its affiliates.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agrees that the foregoing restriction is not intended to apply generally to companies providing services to the Company, such as rig and oilfield services providers, or lenders. </w: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Reasonableness of Restrictions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(a)Employee has carefully read and considered the provisions of Sections 8 and 9, and, having done so, agrees that the restrictions set forth in those Sections are fair and reasonable and are reasonably required for the protection of the interests of the Company and its parent or subsidiary corporations, officers, directors, and shareholders.</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(b)In the event that, notwithstanding the foregoing, any of the provisions of Sections 8 or 9 shall be held to be invalid or unenforceable, the remaining provisions thereof shall nevertheless continue to be valid and enforceable as though the invalid or unenforceable parts had not been included therein. In the event that any provision of Sections 8 or 9 shall be declared by a court of competent jurisdiction to exceed the maximum restrictiveness such court deems reasonable and enforceable, the time period, the areas of restriction and/or related aspects deemed reasonable and enforceable by the court shall become and thereafter be the maximum restriction in such regard, and the restriction shall remain enforceable to the fullest extent deemed reasonable by such court.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(c)Sections 8 and 9 shall survive the termination of this Agreement. If Employee is found by a court of competent jurisdiction or arbitrator to have materially violated any of the restrictions contained in Section 9, the restrictive period will be suspended and will not run in favor of Employee during such period that Employee shall have been found to be in material violation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Remedies for Breach of Employee’s Covenants of Non-Disclosure, Non-Competition and Non-Solicitation</w:t>
      </w:r>
      <w:r>
        <w:rPr>
          <w:rFonts w:ascii="Times New Roman;sans-serif" w:hAnsi="Times New Roman;sans-serif"/>
          <w:b w:val="false"/>
          <w:color w:val="000000"/>
          <w:sz w:val="20"/>
        </w:rPr>
        <w:t xml:space="preserve">. In the event of a breach or threatened breach of any of the covenants in Sections 8 or 9, then the Company shall be entitled to seek a temporary restraining order and injunctive relief restraining Employee from the commission or continued commission of any breach.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Employment of Employee under this Agreement may be terminated:</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(a)By Employee’s death.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(b)If Employee is Totally Disabled. For the purposes of this Agreement, Employee is totally disabled if he is “</w:t>
      </w:r>
      <w:r>
        <w:rPr>
          <w:rFonts w:ascii="Times New Roman;sans-serif" w:hAnsi="Times New Roman;sans-serif"/>
          <w:b w:val="false"/>
          <w:color w:val="000000"/>
          <w:sz w:val="20"/>
          <w:u w:val="single"/>
        </w:rPr>
        <w:t>Totally Disabled</w:t>
      </w:r>
      <w:r>
        <w:rPr>
          <w:color w:val="000000"/>
        </w:rPr>
        <w:t xml:space="preserve">” </w:t>
      </w:r>
      <w:r>
        <w:rPr>
          <w:rFonts w:ascii="Times New Roman;sans-serif" w:hAnsi="Times New Roman;sans-serif"/>
          <w:b w:val="false"/>
          <w:color w:val="000000"/>
          <w:sz w:val="20"/>
        </w:rPr>
        <w:t>as defined in and for the period necessary to qualify for benefits under any disability income insurance policy and any replacement policy or policies covering Employee and Employee has been declared to be Totally Disabled by the insurer.</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(c)By mutual agreement of Employee and the Company.</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(d)By the dissolution and liquidation of Matador (other than as part of a reorganization, merger, consolidation or sale of all or substantially all of the assets of Matador whereby the business of Matador is continued).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(e)By the Company for Just Cause at any time in accordance with Section 13. For purposes of this Agreement, “</w:t>
      </w:r>
      <w:r>
        <w:rPr>
          <w:rFonts w:ascii="Times New Roman;sans-serif" w:hAnsi="Times New Roman;sans-serif"/>
          <w:b w:val="false"/>
          <w:color w:val="000000"/>
          <w:sz w:val="20"/>
          <w:u w:val="single"/>
        </w:rPr>
        <w:t>Just Cause</w:t>
      </w:r>
      <w:r>
        <w:rPr>
          <w:color w:val="000000"/>
        </w:rPr>
        <w:t xml:space="preserve">” </w:t>
      </w:r>
      <w:r>
        <w:rPr>
          <w:rFonts w:ascii="Times New Roman;sans-serif" w:hAnsi="Times New Roman;sans-serif"/>
          <w:b w:val="false"/>
          <w:color w:val="000000"/>
          <w:sz w:val="20"/>
        </w:rPr>
        <w:t xml:space="preserve">shall mean only the following: (i) Employee’s continued and material failure to perform the duties of his employment consistent with Employee’s position, except as a result of being Partially Disabled (during any period of Partial Disability) or Totally Disabled, (ii) Employee’s failure to perform his material obligations under this Agreement, except as a result of being Partially Disabled (during any period of Partial Disability) or Totally Disabled, or a material breach by the Employee of the Company’s written policies concerning discrimination, harassment, conflicts of interest or securities trading, (iii) Employee’s insubordination, lack of cooperation, conduct detrimental to the Company or refusal or failure to follow lawful directives of the Board, the Chairman of the Board and/or Chief Executive Officer, except as a result of being Partially Disabled (during any period of Partial Disability) or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 xml:space="preserve">Totally Disabled, (iv) Employee’s commission of an act of fraud, theft, embezzlement or violation of an applicable regulation or law involving financial impropriety, (v) Employee’s indictment for or conviction of a felony or other crime involving moral turpitude, or (vi) Employee’s breach of fiduciary duty;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Employee shall have thirty (30) days after written notice from the Board (or Compensation Committee or Executive Committee) to remedy any actions alleged under subsections (i) or (ii) in the manner reasonably specified by the Board (or Compensation Committee or Executive Committee), unless the Board (or Compensation Committee or Executive Committee), in its sole and reasonable discretion, determines that such alleged actions cannot be remedied within such thirty (30) day period. For the avoidance of doubt, the parties acknowledge and agree that a termination by the Company for Just Cause shall have priority over the other provisions of this Section 12, and the Company shall have the right, to the extent raised by the Company within twelve (12) months following Employee’s termination, to “claw back” any benefits paid to Employee based on a termination pursuant to any other provision of this Section 12, in the event that the Company subsequently discovers the existence of facts or circumstances that would have been grounds for Employee’s termination for Just Cause;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foregoing shall not modify in any way Employee’s rights to dispute any termination for Just Cause, or to have any such dispute resolved by mediation or arbitration, as provided herein.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(f)At the end of the Term.</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(h)By Employee for any reason. This Agreement and Employee’s employment with the Company may be terminated at any time, at the election of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(i)In connection with a Change in Control, provided (i) Employee is terminated by the Company without Just Cause, or (ii) Employee terminates his employment with Good Reason, in either case within 30 days prior to or twelve (12) months following the Change in Control. As used in this Agreement, “</w:t>
      </w:r>
      <w:r>
        <w:rPr>
          <w:rFonts w:ascii="Times New Roman;sans-serif" w:hAnsi="Times New Roman;sans-serif"/>
          <w:b w:val="false"/>
          <w:color w:val="000000"/>
          <w:sz w:val="20"/>
          <w:u w:val="single"/>
        </w:rPr>
        <w:t>Good Reason</w:t>
      </w:r>
      <w:r>
        <w:rPr>
          <w:color w:val="000000"/>
        </w:rPr>
        <w:t xml:space="preserve">” </w:t>
      </w:r>
      <w:r>
        <w:rPr>
          <w:rFonts w:ascii="Times New Roman;sans-serif" w:hAnsi="Times New Roman;sans-serif"/>
          <w:b w:val="false"/>
          <w:color w:val="000000"/>
          <w:sz w:val="20"/>
        </w:rPr>
        <w:t xml:space="preserve">shall mean, following a Change of Control, (i) the assignment to Employee of duties inconsistent with the title of [●] or his then-current office, or a material diminution in Employee’s then current authority, duties or responsibilities; (ii) a diminution of Employee’s then current Base Salary or other action or inaction that constitutes a material breach of this Agreement by the Company; or (iii) the relocation of Matador’s principal executive offices to a location more than thirty (30) miles from Matador’s current principal executive offices or the transfer of Employee to a place other than Matador’s principal executive offices (excepting required travel on the Company’s business). Within thirty (30) days from the date Employee knows of the actions constituting Good Reason as defined in this Section 12(g), Employee shall give the Company written notice thereof, and provide the Company with a reasonable period of time, in no event exceeding thirty (30) days, after receipt of such notice to remedy the alleged actions constituting Good Reason;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Company shall not be entitled to notice of, and the opportunity to remedy, the recurrence of any alleged actions (or substantially similar actions) constituting Good Reason in the event that Employee has previously provided notice of such prior alleged actions (or substantially similar actions) to the Company and provided the Company an opportunity to cure such prior actions (or substantially similar actions). In the event the Company does not cure the alleged actions, if Employee does not terminate this Agreement and his employment within sixty (60) days following the last day of the Company’s cure period, Employee shall not be entitled to terminate his employment for Good Reason based upon the occurrence of such actions;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any recurrence of such actions (or substantially similar actions) may constitute Good Reason. Any corrective measures undertaken by the Company are solely within its discretion and do not concede or indicate agreement that the actions described in Employee’s written notice constitute Good Reason within the meaning of this Section 12(g). As used in this Section 12(i) and Section 14, the term “</w:t>
      </w:r>
      <w:r>
        <w:rPr>
          <w:rFonts w:ascii="Times New Roman;sans-serif" w:hAnsi="Times New Roman;sans-serif"/>
          <w:b w:val="false"/>
          <w:color w:val="000000"/>
          <w:sz w:val="20"/>
          <w:u w:val="single"/>
        </w:rPr>
        <w:t>Change in Control</w:t>
      </w:r>
      <w:r>
        <w:rPr>
          <w:color w:val="000000"/>
        </w:rPr>
        <w:t xml:space="preserve">” </w:t>
      </w:r>
      <w:r>
        <w:rPr>
          <w:rFonts w:ascii="Times New Roman;sans-serif" w:hAnsi="Times New Roman;sans-serif"/>
          <w:b w:val="false"/>
          <w:color w:val="000000"/>
          <w:sz w:val="20"/>
        </w:rPr>
        <w:t>has the meaning assigned to such term in the Company’s 2019 Long-Term Incentive Plan or any successor plan.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Notice of Termination/Date of Termination</w:t>
      </w:r>
      <w:r>
        <w:rPr>
          <w:rFonts w:ascii="Times New Roman;sans-serif" w:hAnsi="Times New Roman;sans-serif"/>
          <w:b w:val="false"/>
          <w:color w:val="000000"/>
          <w:sz w:val="20"/>
        </w:rPr>
        <w:t xml:space="preserve">. The termination of Employee’s employment by the Company for Just Cause or by Employee for any reason shall be accompanied by written notice of the reason for such termination. Such notice shall indicate a specific termination provision in this Agreement which is relied upon,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describe the basis for such termination, if any, and the Date of Termination. If Employee’s employment is terminated by Employee for any reason, the Date of Termination shall be not less than thirty (30) days following such written notice. As used in this Agreement, “</w:t>
      </w:r>
      <w:r>
        <w:rPr>
          <w:rFonts w:ascii="Times New Roman;sans-serif" w:hAnsi="Times New Roman;sans-serif"/>
          <w:b w:val="false"/>
          <w:color w:val="000000"/>
          <w:sz w:val="20"/>
          <w:u w:val="single"/>
        </w:rPr>
        <w:t>Date of Termination</w:t>
      </w:r>
      <w:r>
        <w:rPr>
          <w:color w:val="000000"/>
        </w:rPr>
        <w:t xml:space="preserve">” </w:t>
      </w:r>
      <w:r>
        <w:rPr>
          <w:rFonts w:ascii="Times New Roman;sans-serif" w:hAnsi="Times New Roman;sans-serif"/>
          <w:b w:val="false"/>
          <w:color w:val="000000"/>
          <w:sz w:val="20"/>
        </w:rPr>
        <w:t>shall mean a “</w:t>
      </w:r>
      <w:r>
        <w:rPr>
          <w:rFonts w:ascii="Times New Roman;sans-serif" w:hAnsi="Times New Roman;sans-serif"/>
          <w:b w:val="false"/>
          <w:color w:val="000000"/>
          <w:sz w:val="20"/>
          <w:u w:val="single"/>
        </w:rPr>
        <w:t>Separation from Service</w:t>
      </w:r>
      <w:r>
        <w:rPr>
          <w:color w:val="000000"/>
        </w:rPr>
        <w:t xml:space="preserve">” </w:t>
      </w:r>
      <w:r>
        <w:rPr>
          <w:rFonts w:ascii="Times New Roman;sans-serif" w:hAnsi="Times New Roman;sans-serif"/>
          <w:b w:val="false"/>
          <w:color w:val="000000"/>
          <w:sz w:val="20"/>
        </w:rPr>
        <w:t xml:space="preserve">as defined in Section 16 hereof.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Payments With Respect to Termination; Vesting of Equity Incentive Awards</w:t>
      </w:r>
      <w:r>
        <w:rPr>
          <w:rFonts w:ascii="Times New Roman;sans-serif" w:hAnsi="Times New Roman;sans-serif"/>
          <w:b w:val="false"/>
          <w:color w:val="000000"/>
          <w:sz w:val="20"/>
        </w:rPr>
        <w:t>. Payments to Employee upon termination shall be limited to the following:</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(a)If Employee’s employment is terminated by the Company upon death pursuant to Section 12(a), Total Disability pursuant to Section 12(b), mutual agreement pursuant to Section 12(c), dissolution and liquidation pursuant to Section 12(d), for Just Cause pursuant to Section 12(e), at the end of the Term pursuant to Section 12(e), or by Employee for any reason pursuant to Section 12(h), Employee shall be entitled to all arrearages of Base Salary, accrued but unused vacation and unreimbursed expenses as of the Date of Termination (the “</w:t>
      </w:r>
      <w:r>
        <w:rPr>
          <w:rFonts w:ascii="Times New Roman;sans-serif" w:hAnsi="Times New Roman;sans-serif"/>
          <w:b w:val="false"/>
          <w:color w:val="000000"/>
          <w:sz w:val="20"/>
          <w:u w:val="single"/>
        </w:rPr>
        <w:t>Accrued Obligations</w:t>
      </w:r>
      <w:r>
        <w:rPr>
          <w:color w:val="000000"/>
        </w:rPr>
        <w:t>”</w:t>
      </w:r>
      <w:r>
        <w:rPr>
          <w:rFonts w:ascii="Times New Roman;sans-serif" w:hAnsi="Times New Roman;sans-serif"/>
          <w:b w:val="false"/>
          <w:color w:val="000000"/>
          <w:sz w:val="20"/>
        </w:rPr>
        <w:t>) payable in accordance with the Company’s customary payroll practices, plus (unless Employee’s employment is terminated by the Company for Just Cause or by Employee for any reason) an amount equal to the average annual amount of all bonuses paid to Employee with respect to the prior two (2) calendar years, pro-rated based on the number of complete or partial months of Employee’s employment during the calendar year in which his employment terminates payable in a lump sum, subject to Section 16(b), on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day following the Date of Termination, but shall not be entitled to further compensation.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(b)If Employee’s employment is terminated by the Company without Just Cause and other than as described in Section 14(c),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to one and one-half (1.5) of his then-current Base Salary as of the Date of Termination, plus an amount equal to one and one-half (1.5) of the average annual amount of all bonuses paid to Employee with respect to the prior two (2) calendar years, in a lump sum, subject to Section 16(b), on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day following the Date of Termination. Employee shall have no obligation to seek other employment, and any income so earned shall not reduce the foregoing amounts.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(c)If in contemplation of or following a Change in Control pursuant to Section 12(i), Employee’s employment is terminated by the Company without Just Cause or is terminated by Employee with Good Reason, the Company shall (i) pay to Employee all Accrued Obligations as required under applicable wage payment laws and in accordance with the Company’s customary payroll practices, and (ii) subject to Employee’s compliance with Sections 8 and 9, pay to Employee severance pay in an amount equal three (3) times the then-current Base Salary as of the Date of Termination, plus three (3) times an amount equal to the average annual amount of all bonuses paid to Employee with respect to the prior two (2) calendar years, in a lump sum, subject to Section 16(b), on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day following the Date of Termination. Immediately prior to such termination of employment, all unvested equity incentive awards held by Employee shall vest (with performance-based awards vesting based on actual performance through the date of such termination), and the forfeiture provisions with respect to any such awards that are subject to forfeiture will terminate. Employee shall have no obligation to seek other employment and any income so earned shall not reduce the foregoing amounts.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(d)Except with respect to any Accrued Obligations, which shall be paid in accordance with Section 14, as a condition to receiving any other payment under Section 14, and to the extent that Employee is then living and not prevented from executing a release of claims due to any disability, Employee shall execute (and not revoke) a release of claims in a form reasonably satisfactory to the Company (which release shall be provided to Employee within five (5) business days following the Date of Termination and must be returned to the Company (and not revoked) within forty-five (45) days following the Date of Termination). If Employee fails or otherwise refuses to execute and not revoke a release of claims within forty-five (45) days following the Date of Termination, and in all events prior to the date on which such other payment is to be first paid to him, Employee shall not be entitled to any such other payment, except as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required by applicable wage payment laws, until Employee executes and does not revoke for forty-five (45) days, a release of claims.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Other Termination Provisions</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Separation from Service</w:t>
      </w:r>
      <w:r>
        <w:rPr>
          <w:rFonts w:ascii="Times New Roman;sans-serif" w:hAnsi="Times New Roman;sans-serif"/>
          <w:b w:val="false"/>
          <w:color w:val="000000"/>
          <w:sz w:val="20"/>
        </w:rPr>
        <w:t>. Notwithstanding anything to the contrary in this Agreement, with respect to any amounts payable to Employee under this Agreement that are treated as “</w:t>
      </w:r>
      <w:r>
        <w:rPr>
          <w:rFonts w:ascii="Times New Roman;sans-serif" w:hAnsi="Times New Roman;sans-serif"/>
          <w:b w:val="false"/>
          <w:color w:val="000000"/>
          <w:sz w:val="20"/>
          <w:u w:val="single"/>
        </w:rPr>
        <w:t>non-qualified deferred compensation</w:t>
      </w:r>
      <w:r>
        <w:rPr>
          <w:color w:val="000000"/>
        </w:rPr>
        <w:t xml:space="preserve">” </w:t>
      </w:r>
      <w:r>
        <w:rPr>
          <w:rFonts w:ascii="Times New Roman;sans-serif" w:hAnsi="Times New Roman;sans-serif"/>
          <w:b w:val="false"/>
          <w:color w:val="000000"/>
          <w:sz w:val="20"/>
        </w:rPr>
        <w:t>subject to Section 409A of the Code in connection with a termination of Employee’s employment, in no event shall a termination of employment occur under this Agreement unless such termination constitutes a Separation from Service. “</w:t>
      </w:r>
      <w:r>
        <w:rPr>
          <w:rFonts w:ascii="Times New Roman;sans-serif" w:hAnsi="Times New Roman;sans-serif"/>
          <w:b w:val="false"/>
          <w:color w:val="000000"/>
          <w:sz w:val="20"/>
          <w:u w:val="single"/>
        </w:rPr>
        <w:t>Separation from Service</w:t>
      </w:r>
      <w:r>
        <w:rPr>
          <w:color w:val="000000"/>
        </w:rPr>
        <w:t xml:space="preserve">” </w:t>
      </w:r>
      <w:r>
        <w:rPr>
          <w:rFonts w:ascii="Times New Roman;sans-serif" w:hAnsi="Times New Roman;sans-serif"/>
          <w:b w:val="false"/>
          <w:color w:val="000000"/>
          <w:sz w:val="20"/>
        </w:rPr>
        <w:t xml:space="preserve">shall mean Employee’s “separation from service” with the Company as such term is defined in Treasury Regulation Section 1.409A-1(h) and any successor provision thereto.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Section 409A Compliance</w:t>
      </w:r>
      <w:r>
        <w:rPr>
          <w:rFonts w:ascii="Times New Roman;sans-serif" w:hAnsi="Times New Roman;sans-serif"/>
          <w:b w:val="false"/>
          <w:color w:val="000000"/>
          <w:sz w:val="20"/>
        </w:rPr>
        <w:t>. Notwithstanding anything contained in this Agreement to the contrary, to the maximum extent permitted by applicable law, amounts payable to Employee pursuant to Section 14 shall be made in reliance upon Treasury Regulation Section 1.409A-1(b)(9) (Separation Pay Plans) or Treasury Regulation Section 1.409A-1(b)(4) (Short-Term Deferrals). However, to the extent any such payments are treated as non-qualified deferred compensation subject to Section 409A of the Code, then if Employee is deemed at the time of his Separation from Service to be a “</w:t>
      </w:r>
      <w:r>
        <w:rPr>
          <w:rFonts w:ascii="Times New Roman;sans-serif" w:hAnsi="Times New Roman;sans-serif"/>
          <w:b w:val="false"/>
          <w:color w:val="000000"/>
          <w:sz w:val="20"/>
          <w:u w:val="single"/>
        </w:rPr>
        <w:t>specified employee</w:t>
      </w:r>
      <w:r>
        <w:rPr>
          <w:color w:val="000000"/>
        </w:rPr>
        <w:t xml:space="preserve">” </w:t>
      </w:r>
      <w:r>
        <w:rPr>
          <w:rFonts w:ascii="Times New Roman;sans-serif" w:hAnsi="Times New Roman;sans-serif"/>
          <w:b w:val="false"/>
          <w:color w:val="000000"/>
          <w:sz w:val="20"/>
        </w:rPr>
        <w:t>for purposes of Section 409A(a)(2)(B)(i) of the Code, then to the extent delayed commencement of any portion of the benefits to which Employee is entitled under this Agreement is required in order to avoid a prohibited distribution under Section 409A(a)(2)(B)(i) of the Code, such portion of Employee’s termination benefits shall not be provided to Employee prior to the earlier of (i) the expiration of the six-month period measured from the date of Employee’s Separation from Service or (ii) the date of Employee’s death. Upon the earlier of such dates, all payments deferred pursuant to this Section 16(b) shall be paid in a lump sum to Employee. The determination of whether Employee is a “</w:t>
      </w:r>
      <w:r>
        <w:rPr>
          <w:rFonts w:ascii="Times New Roman;sans-serif" w:hAnsi="Times New Roman;sans-serif"/>
          <w:b w:val="false"/>
          <w:color w:val="000000"/>
          <w:sz w:val="20"/>
          <w:u w:val="single"/>
        </w:rPr>
        <w:t>specified employee</w:t>
      </w:r>
      <w:r>
        <w:rPr>
          <w:color w:val="000000"/>
        </w:rPr>
        <w:t xml:space="preserve">” </w:t>
      </w:r>
      <w:r>
        <w:rPr>
          <w:rFonts w:ascii="Times New Roman;sans-serif" w:hAnsi="Times New Roman;sans-serif"/>
          <w:b w:val="false"/>
          <w:color w:val="000000"/>
          <w:sz w:val="20"/>
        </w:rPr>
        <w:t xml:space="preserve">for purposes of Section 409A(a)(2)(B)(i) of the Code as of the time of his Separation from Service shall made by the Company in accordance with the terms of Section 409A of the Code and applicable guidance thereunder (including without limitation Treasury Regulation Section 1.409A-1(i) and any successor provision thereto).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Section 280G Treatment</w:t>
      </w:r>
      <w:r>
        <w:rPr>
          <w:rFonts w:ascii="Times New Roman;sans-serif" w:hAnsi="Times New Roman;sans-serif"/>
          <w:b w:val="false"/>
          <w:color w:val="000000"/>
          <w:sz w:val="20"/>
        </w:rPr>
        <w:t xml:space="preserve">. </w:t>
      </w:r>
    </w:p>
    <w:p>
      <w:pPr>
        <w:pStyle w:val="TextBody"/>
        <w:bidi w:val="0"/>
        <w:spacing w:lineRule="auto" w:line="288" w:before="100" w:after="100"/>
        <w:ind w:left="0" w:right="0" w:firstLine="720"/>
        <w:jc w:val="both"/>
        <w:rPr/>
      </w:pPr>
      <w:r>
        <w:rPr>
          <w:rFonts w:ascii="Times New Roman;sans-serif" w:hAnsi="Times New Roman;sans-serif"/>
          <w:b w:val="false"/>
          <w:color w:val="000000"/>
          <w:sz w:val="20"/>
        </w:rPr>
        <w:t>(i)    (A)     In the event it is determined that any payment, distribution or benefits of any type by the Company to or for the benefit of Employee, whether paid or payable or distributed or distributable pursuant to the terms of this Agreement or otherwise (the “</w:t>
      </w:r>
      <w:r>
        <w:rPr>
          <w:rFonts w:ascii="Times New Roman;sans-serif" w:hAnsi="Times New Roman;sans-serif"/>
          <w:b w:val="false"/>
          <w:color w:val="000000"/>
          <w:sz w:val="20"/>
          <w:u w:val="single"/>
        </w:rPr>
        <w:t>Change in Control Payments</w:t>
      </w:r>
      <w:r>
        <w:rPr>
          <w:color w:val="000000"/>
        </w:rPr>
        <w:t>”</w:t>
      </w:r>
      <w:r>
        <w:rPr>
          <w:rFonts w:ascii="Times New Roman;sans-serif" w:hAnsi="Times New Roman;sans-serif"/>
          <w:b w:val="false"/>
          <w:color w:val="000000"/>
          <w:sz w:val="20"/>
        </w:rPr>
        <w:t>), constitute “</w:t>
      </w:r>
      <w:r>
        <w:rPr>
          <w:rFonts w:ascii="Times New Roman;sans-serif" w:hAnsi="Times New Roman;sans-serif"/>
          <w:b w:val="false"/>
          <w:color w:val="000000"/>
          <w:sz w:val="20"/>
          <w:u w:val="single"/>
        </w:rPr>
        <w:t>parachute payments</w:t>
      </w:r>
      <w:r>
        <w:rPr>
          <w:color w:val="000000"/>
        </w:rPr>
        <w:t xml:space="preserve">” </w:t>
      </w:r>
      <w:r>
        <w:rPr>
          <w:rFonts w:ascii="Times New Roman;sans-serif" w:hAnsi="Times New Roman;sans-serif"/>
          <w:b w:val="false"/>
          <w:color w:val="000000"/>
          <w:sz w:val="20"/>
        </w:rPr>
        <w:t>within the meaning of Section 280G(b)(2) of the Code, the Company will provide Employee with a computation of (1) the maximum amount of the Change in Control Payments that could be made, without the imposition of the excise tax imposed by Section 4999 of the Code (said maximum amount being referred to as the “</w:t>
      </w:r>
      <w:r>
        <w:rPr>
          <w:rFonts w:ascii="Times New Roman;sans-serif" w:hAnsi="Times New Roman;sans-serif"/>
          <w:b w:val="false"/>
          <w:color w:val="000000"/>
          <w:sz w:val="20"/>
          <w:u w:val="single"/>
        </w:rPr>
        <w:t>Capped Amount</w:t>
      </w:r>
      <w:r>
        <w:rPr>
          <w:color w:val="000000"/>
        </w:rPr>
        <w:t>”</w:t>
      </w:r>
      <w:r>
        <w:rPr>
          <w:rFonts w:ascii="Times New Roman;sans-serif" w:hAnsi="Times New Roman;sans-serif"/>
          <w:b w:val="false"/>
          <w:color w:val="000000"/>
          <w:sz w:val="20"/>
        </w:rPr>
        <w:t>); (2) the value of the Change in Control Payments that could be made (all said payments, distributions and benefits being referred to as the “</w:t>
      </w:r>
      <w:r>
        <w:rPr>
          <w:rFonts w:ascii="Times New Roman;sans-serif" w:hAnsi="Times New Roman;sans-serif"/>
          <w:b w:val="false"/>
          <w:color w:val="000000"/>
          <w:sz w:val="20"/>
          <w:u w:val="single"/>
        </w:rPr>
        <w:t>Uncapped Amount</w:t>
      </w:r>
      <w:r>
        <w:rPr>
          <w:color w:val="000000"/>
        </w:rPr>
        <w:t>”</w:t>
      </w:r>
      <w:r>
        <w:rPr>
          <w:rFonts w:ascii="Times New Roman;sans-serif" w:hAnsi="Times New Roman;sans-serif"/>
          <w:b w:val="false"/>
          <w:color w:val="000000"/>
          <w:sz w:val="20"/>
        </w:rPr>
        <w:t>); (iii) the dollar amount of the excise tax (if any) including any interest or penalties with respect to such excise tax which Employee would become obligated to pay pursuant to Section 4999 of the Code as a result of receipt of the Uncapped Amount (the “</w:t>
      </w:r>
      <w:r>
        <w:rPr>
          <w:rFonts w:ascii="Times New Roman;sans-serif" w:hAnsi="Times New Roman;sans-serif"/>
          <w:b w:val="false"/>
          <w:color w:val="000000"/>
          <w:sz w:val="20"/>
          <w:u w:val="single"/>
        </w:rPr>
        <w:t>Excise Tax Amount</w:t>
      </w:r>
      <w:r>
        <w:rPr>
          <w:color w:val="000000"/>
        </w:rPr>
        <w:t>”</w:t>
      </w:r>
      <w:r>
        <w:rPr>
          <w:rFonts w:ascii="Times New Roman;sans-serif" w:hAnsi="Times New Roman;sans-serif"/>
          <w:b w:val="false"/>
          <w:color w:val="000000"/>
          <w:sz w:val="20"/>
        </w:rPr>
        <w:t>); and (iv) the net value of the Uncapped Amount after reduction by the Excise Tax Amount and the estimated income taxes payable by Employee on the difference between the Uncapped Amount and the Capped Amount, assuming that Employee is paying the highest marginal tax rate for state, local and federal income taxes (the “</w:t>
      </w:r>
      <w:r>
        <w:rPr>
          <w:rFonts w:ascii="Times New Roman;sans-serif" w:hAnsi="Times New Roman;sans-serif"/>
          <w:b w:val="false"/>
          <w:color w:val="000000"/>
          <w:sz w:val="20"/>
          <w:u w:val="single"/>
        </w:rPr>
        <w:t>Net Uncapped Amount</w:t>
      </w:r>
      <w:r>
        <w:rPr>
          <w:color w:val="000000"/>
        </w:rPr>
        <w:t>”</w:t>
      </w:r>
      <w:r>
        <w:rPr>
          <w:rFonts w:ascii="Times New Roman;sans-serif" w:hAnsi="Times New Roman;sans-serif"/>
          <w:b w:val="false"/>
          <w:color w:val="000000"/>
          <w:sz w:val="20"/>
        </w:rPr>
        <w:t>).</w:t>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If the Capped Amount is greater than the Net Uncapped Amount, Employee shall be entitled to receive or commence to receive payments equal to the Capped Amount; or if the Net Uncapped Amount is greater than the Capped Amount, Employee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entitled to receive or commence to receive payments equal to the Uncapped Amount. If Employee receives the Uncapped Amount, then Employee shall be solely responsible for the payment of all income and excise taxes due from Employee and attributable to such Uncapped Amount, with no right of additional payment from the Company as reimbursement for any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(ii)    All determinations required to be made under Section 16(c)(i)(A) shall be made in writing by the independent accounting firm agreed to by the Company and Employee on the date of the Change in Control (the “</w:t>
      </w:r>
      <w:r>
        <w:rPr>
          <w:rFonts w:ascii="Times New Roman;sans-serif" w:hAnsi="Times New Roman;sans-serif"/>
          <w:b w:val="false"/>
          <w:color w:val="000000"/>
          <w:sz w:val="20"/>
          <w:u w:val="single"/>
        </w:rPr>
        <w:t>Accounting Firm</w:t>
      </w:r>
      <w:r>
        <w:rPr>
          <w:color w:val="000000"/>
        </w:rPr>
        <w:t>”</w:t>
      </w:r>
      <w:r>
        <w:rPr>
          <w:rFonts w:ascii="Times New Roman;sans-serif" w:hAnsi="Times New Roman;sans-serif"/>
          <w:b w:val="false"/>
          <w:color w:val="000000"/>
          <w:sz w:val="20"/>
        </w:rPr>
        <w:t xml:space="preserve">), whose determination shall be conclusive and binding upon Employee and the Company for all purposes. For purposes of making the calculations required by Section 16(c)(i)(A), the Accounting Firm may make reasonable assumptions and approximations concerning applicable taxes and may rely on reasonable, good faith interpretations concerning the application of Sections 280G and 4999 of the Code. The Company and Employee shall furnish to the Accounting Firm such information and documents as it reasonably may request in order to make determinations under Section 16(c)(i)(A). If the Accounting Firm determines that no Excise Tax Amount is payable by Employee, it shall furnish Employee with an opinion that he has substantial authority not to report any excise tax pursuant to Section 4999 of the Code on his federal income tax return. The Company shall bear all costs the Accounting Firm may reasonably incur in connection with any calculations contemplated by Section 16(c)(i)(A).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(iii)    (A)    If the computations and valuations required to be provided by the Company to Employee pursuant to Section 16(c)(i)(A) are on audit challenged by the Internal Revenue Service as having been performed in a manner inconsistent with the requirements of Sections 280G and 4999 of the Code or if Section 409A of the Code is determined to apply to all or any part of the payments to which Employee or his survivors may be entitled under this Agreement and as a result of such audit or determination, (1) the amount of cash and the benefits provided for in Section 16(c)(i) remaining to Employee after completion of such audit or determination is less than (2) the amount of cash and the benefits which were paid or provided to Employee on the basis of the calculations provided for in Section 16(c)(i)(A) (the difference between (1) and (2) being referred to as the “</w:t>
      </w:r>
      <w:r>
        <w:rPr>
          <w:rFonts w:ascii="Times New Roman;sans-serif" w:hAnsi="Times New Roman;sans-serif"/>
          <w:b w:val="false"/>
          <w:color w:val="000000"/>
          <w:sz w:val="20"/>
          <w:u w:val="single"/>
        </w:rPr>
        <w:t>Shortfall Amount</w:t>
      </w:r>
      <w:r>
        <w:rPr>
          <w:color w:val="000000"/>
        </w:rPr>
        <w:t>”</w:t>
      </w:r>
      <w:r>
        <w:rPr>
          <w:rFonts w:ascii="Times New Roman;sans-serif" w:hAnsi="Times New Roman;sans-serif"/>
          <w:b w:val="false"/>
          <w:color w:val="000000"/>
          <w:sz w:val="20"/>
        </w:rPr>
        <w:t>), then Employee shall be entitled to receive an additional payment (an “</w:t>
      </w:r>
      <w:r>
        <w:rPr>
          <w:rFonts w:ascii="Times New Roman;sans-serif" w:hAnsi="Times New Roman;sans-serif"/>
          <w:b w:val="false"/>
          <w:color w:val="000000"/>
          <w:sz w:val="20"/>
          <w:u w:val="single"/>
        </w:rPr>
        <w:t>Indemnification Payment</w:t>
      </w:r>
      <w:r>
        <w:rPr>
          <w:color w:val="000000"/>
        </w:rPr>
        <w:t>”</w:t>
      </w:r>
      <w:r>
        <w:rPr>
          <w:rFonts w:ascii="Times New Roman;sans-serif" w:hAnsi="Times New Roman;sans-serif"/>
          <w:b w:val="false"/>
          <w:color w:val="000000"/>
          <w:sz w:val="20"/>
        </w:rPr>
        <w:t>) in an amount such that, after payment by Employee of all taxes (including additional excise taxes under said Section 4999 of the Code and any interest and penalties imposed with respect to any taxes) imposed upon the Indemnification Payment and all reasonable attorneys’ and accountants’ fees incurred by Employee in connection with such audit or determination, Employee retains an amount of the Indemnification Payment equal to the Shortfall Amount. The Company shall pay the Indemnification Payment to Employee in a lump sum cash payment within thirty (30) days of the completion of such audit or determination.</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0"/>
        </w:rPr>
        <w:t>(B)    If the computations and valuations required to be provided by the Company to Employee pursuant to Section 16(c)(i)(A) are on audit challenged by the Internal Revenue Service as having been performed in a manner inconsistent with the requirements of Sections 280G and 4999 of the Code and as a result of such audit or determination, (1) the amount of cash and the benefits which were paid or provided to Employee on the basis of the calculations provided for in Section 16(c)(i)(A) is greater than (2) the amount of cash and the benefits provided for in Section 16(c)(i) payable to Employee after completion of such audit or determination (the difference between (1) and (2) being referred to as the “</w:t>
      </w:r>
      <w:r>
        <w:rPr>
          <w:rFonts w:ascii="Times New Roman;sans-serif" w:hAnsi="Times New Roman;sans-serif"/>
          <w:b w:val="false"/>
          <w:color w:val="000000"/>
          <w:sz w:val="20"/>
          <w:u w:val="single"/>
        </w:rPr>
        <w:t>Excess Amount</w:t>
      </w:r>
      <w:r>
        <w:rPr>
          <w:color w:val="000000"/>
        </w:rPr>
        <w:t>”</w:t>
      </w:r>
      <w:r>
        <w:rPr>
          <w:rFonts w:ascii="Times New Roman;sans-serif" w:hAnsi="Times New Roman;sans-serif"/>
          <w:b w:val="false"/>
          <w:color w:val="000000"/>
          <w:sz w:val="20"/>
        </w:rPr>
        <w:t>), then Employee shall repay to the Company the Excess Amount in a lump sum cash payment within thirty (30) days of the completion of such audit or determination.</w:t>
      </w:r>
    </w:p>
    <w:p>
      <w:pPr>
        <w:pStyle w:val="TextBody"/>
        <w:bidi w:val="0"/>
        <w:spacing w:before="0" w:after="0"/>
        <w:ind w:left="0" w:right="0" w:firstLine="720"/>
        <w:jc w:val="both"/>
        <w:rPr/>
      </w:pPr>
      <w:r>
        <w:rPr/>
      </w:r>
    </w:p>
    <w:p>
      <w:pPr>
        <w:pStyle w:val="TextBody"/>
        <w:bidi w:val="0"/>
        <w:spacing w:lineRule="auto" w:line="288"/>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Notwithstanding the foregoing provisions of this Section 16(c)(iii), (1) any payment made to or on behalf of Employee which relates to taxes imposed on Employee shall be made not later than the end of the calendar year next following the calendar year in which such taxes are remitted by or on behalf of Employee, and (2) any payment made to or on behalf of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which relates to reimbursement of expenses incurred due to a tax audit or litigation addressing the existence or amount of a tax liability shall be made by the end of the calendar year following the calendar year in which the taxes that are the subject of the audit or litigation are remitted to the taxing authority, or where as a result of such audit or litigation no taxes are remitted, the end of the calendar year following the calendar year in which the audit is completed or there is a final and non-appealable settlement or other resolution of the litigation, whichever is the last event to occur.</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Termination by Employee</w:t>
      </w:r>
      <w:r>
        <w:rPr>
          <w:rFonts w:ascii="Times New Roman;sans-serif" w:hAnsi="Times New Roman;sans-serif"/>
          <w:b w:val="false"/>
          <w:color w:val="000000"/>
          <w:sz w:val="20"/>
        </w:rPr>
        <w:t xml:space="preserve">. If at any time Employee terminates his employment for any reason, Employee shall have no further obligation to the Company other than the provisions of Sections 8, 9, 14(d), 16(c)(iii)(B) and 21.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In-Kind Benefits and Reimbursements</w:t>
      </w:r>
      <w:r>
        <w:rPr>
          <w:rFonts w:ascii="Times New Roman;sans-serif" w:hAnsi="Times New Roman;sans-serif"/>
          <w:b w:val="false"/>
          <w:color w:val="000000"/>
          <w:sz w:val="20"/>
        </w:rPr>
        <w:t>. Notwithstanding anything to the contrary in this Agreement, in-kind benefits and reimbursements provided under this Agreement during any tax year of Employee shall not affect in-kind benefits or reimbursements to be provided in any other tax year of Employee and are not subject to liquidation or exchange for another benefit. Notwithstanding anything to the contrary in this Agreement, reimbursement requests must be timely submitted by Employee and, if timely submitted, reimbursement payments shall be made to Employee as soon as administratively practicable following such submission, but in no event later than the last day of Employee’s taxable year following the taxable year in which the expense was incurred. In no event shall Employee be entitled to any reimbursement payments after the last day of Employee’s taxable year following the taxable year in which the expense was incurred. This paragraph shall only apply to in-kind benefits and reimbursements that would result in taxable compensation income to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Section 409A; Separate Payments</w:t>
      </w:r>
      <w:r>
        <w:rPr>
          <w:rFonts w:ascii="Times New Roman;sans-serif" w:hAnsi="Times New Roman;sans-serif"/>
          <w:b w:val="false"/>
          <w:color w:val="000000"/>
          <w:sz w:val="20"/>
        </w:rPr>
        <w:t>. This Agreement is intended to be written, administered, interpreted and construed in a manner such that no payment or benefits provided under the Agreement become subject to (a) the gross income inclusion set forth within Code Section 409A(a)(1)(A) or (b) the interest and additional tax set forth within Code Section 409A(a)(1)(B) (together, referred to herein as the “</w:t>
      </w:r>
      <w:r>
        <w:rPr>
          <w:rFonts w:ascii="Times New Roman;sans-serif" w:hAnsi="Times New Roman;sans-serif"/>
          <w:b w:val="false"/>
          <w:color w:val="000000"/>
          <w:sz w:val="20"/>
          <w:u w:val="single"/>
        </w:rPr>
        <w:t>Section 409A Penalties</w:t>
      </w:r>
      <w:r>
        <w:rPr>
          <w:color w:val="000000"/>
        </w:rPr>
        <w:t>”</w:t>
      </w:r>
      <w:r>
        <w:rPr>
          <w:rFonts w:ascii="Times New Roman;sans-serif" w:hAnsi="Times New Roman;sans-serif"/>
          <w:b w:val="false"/>
          <w:color w:val="000000"/>
          <w:sz w:val="20"/>
        </w:rPr>
        <w:t>), including, where appropriate, the construction of defined terms to have meanings that would not cause the imposition of Section 409A Penalties. In no event shall the Company be required to provide a tax gross-up payment to Employee or otherwise reimburse Employee with respect to Section 409A Penalties. For purposes of Section 409A of the Code (including, without limitation, for purposes of Treasury Regulation Section 1.409A-2(b)(2)(iii)), each payment that Employee may be eligible to receive under this Agreement shall be treated as a separate and distinct payment.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 Matador shall indemnify Employee to the extent permitted pursuant to the Certificate of Formation of Matador, the Bylaws of Matador and any indemnification agreement between Matador and Employee that may be in effect from time to time during the Term, the terms of which are incorporated herein by reference.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Resignation Upon Termination</w:t>
      </w:r>
      <w:r>
        <w:rPr>
          <w:rFonts w:ascii="Times New Roman;sans-serif" w:hAnsi="Times New Roman;sans-serif"/>
          <w:b w:val="false"/>
          <w:color w:val="000000"/>
          <w:sz w:val="20"/>
        </w:rPr>
        <w:t xml:space="preserve">. In the event of termination of Employee’s employment for any reason, Employee hereby shall be deemed upon such termination to have immediately resigned from all positions held in the Company, including without limitations any position as a director, officer, agent, trustee or consultant of the Company or any affiliate of the Company and shall execute all documents reasonably necessary to further effectuate or document such resignation from such positions.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Cooperation</w:t>
      </w:r>
      <w:r>
        <w:rPr>
          <w:rFonts w:ascii="Times New Roman;sans-serif" w:hAnsi="Times New Roman;sans-serif"/>
          <w:b w:val="false"/>
          <w:color w:val="000000"/>
          <w:sz w:val="20"/>
        </w:rPr>
        <w:t xml:space="preserve">. During and after Employee’s employment with the Company, Employee shall cooperate fully with the Company in the defense or prosecution of all claims or actions now in existence or which may be brought in the future against or on behalf of the Company or its affiliates. Employee’s full cooperation in connection with such claims or actions shall include, but shall not be limited to, being available to meet with counsel to the Company and/or its affiliates to prepare for discovery, trial or alternative dispute resolution proceedings, and to act as a witness on behalf of the Company and its affiliates. During and after Employee’s employment, Employee shall cooperate with the Company and its affiliates in connection with any investigation or review by any federal, state or local regulatory authority. In addition, during and after Employee’s employment with the Company, Employee shall assist the Company in all reasonably requested transition efforts in connection with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separation from the Company or the transfer of duties or responsibilities from Employee, including but not limited to execution and delivery of all documents that the Company reasonably requests to be signed by Employee. The Company shall (a) pay Employee an amount equal to his Base Salary in effect immediately prior to his termination of employment, but in any case not to exceed $1,500 per day, pro rated based on the number of days (and further pro rated for any partial day) that Employee is required to perform the foregoing obligations, and (b) reimburse Employee for any reasonable out-of-pocket expenses incurred by Employee in connection therewith.</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Waiver</w:t>
      </w:r>
      <w:r>
        <w:rPr>
          <w:rFonts w:ascii="Times New Roman;sans-serif" w:hAnsi="Times New Roman;sans-serif"/>
          <w:b w:val="false"/>
          <w:color w:val="000000"/>
          <w:sz w:val="20"/>
        </w:rPr>
        <w:t>. A party’s failure to insist on compliance or enforcement of any provision of this Agreement, shall not affect the validity or enforceability or constitute a waiver of future enforcement of that provision or of any other provision of this Agreement by that party or any other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Governing Law; Venue; Arbitration</w:t>
      </w:r>
      <w:r>
        <w:rPr>
          <w:rFonts w:ascii="Times New Roman;sans-serif" w:hAnsi="Times New Roman;sans-serif"/>
          <w:b w:val="false"/>
          <w:color w:val="000000"/>
          <w:sz w:val="20"/>
        </w:rPr>
        <w:t xml:space="preserve">. This Agreement shall in all respects be subject to, and governed by, the laws of the State of Texas.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Injunctive Relief. The Company and Employee agree and consent to the personal jurisdiction of the state and local courts of Dallas County, Texas and/or the United States District Court for the Northern District of Texas in the event that the Company or Employee seeks injunctive relief with respect to any provision hereof, and that those courts, and only those courts, shall have jurisdiction with respect thereto. The Company and Employee also agree that those courts are convenient forums for the parties and for any potential witnesses and that process issued out of any such court or in accordance with the rules of practice of that court may be served by mail or other forms of substituted service to the Company at the address of its principal executive offices and to Employee at his last known address as reflected in the Company’s records.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    All Other Disputes. In the event of any dispute, claim, question or disagreement relating to this Agreement, other than one for which the Company or Employee seeks injunctive relief, the parties shall use their best efforts to settle the dispute, claim, question or disagreement. To this effect, they shall consult and negotiate with each other in good faith and, recognizing their mutual interests, attempt to reach a just and equitable solution satisfactory to both parties. If such a dispute cannot be settled through negotiation, the parties agree first to try in good faith to settle the dispute by mediation administered by the American Arbitration Association (the “</w:t>
      </w:r>
      <w:r>
        <w:rPr>
          <w:rFonts w:ascii="Times New Roman;sans-serif" w:hAnsi="Times New Roman;sans-serif"/>
          <w:b w:val="false"/>
          <w:color w:val="000000"/>
          <w:sz w:val="20"/>
          <w:u w:val="single"/>
        </w:rPr>
        <w:t>AAA</w:t>
      </w:r>
      <w:r>
        <w:rPr>
          <w:color w:val="000000"/>
        </w:rPr>
        <w:t>”</w:t>
      </w:r>
      <w:r>
        <w:rPr>
          <w:rFonts w:ascii="Times New Roman;sans-serif" w:hAnsi="Times New Roman;sans-serif"/>
          <w:b w:val="false"/>
          <w:color w:val="000000"/>
          <w:sz w:val="20"/>
        </w:rPr>
        <w:t xml:space="preserve">) under its Commercial Mediation Rules before resorting to arbitration or some other dispute resolution procedure. If the parties do not reach such solution through negotiation or mediation within a period of sixty (60) days after a claim is first made by a party, then, upon notice by either party to the other, all disputes, claims, questions or disagreements shall be finally settled by arbitration administered by the AAA in accordance with the provisions of its Commercial Arbitration Rules. The arbitrator shall be selected by agreement of the parties or, if they do not agree on an arbitrator within thirty (30) days after either party has notified the other of his or its desire to have the question settled by arbitration, then the arbitrator shall be selected pursuant to the procedures of the AAA, with such arbitration taking place in Dallas, Texas. The determination reached in such arbitration shall be final and binding on all parties. Enforcement of the determination by such arbitrator may be sought in any court of competent jurisdiction.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Substantially Prevailing Party</w:t>
      </w:r>
      <w:r>
        <w:rPr>
          <w:rFonts w:ascii="Times New Roman;sans-serif" w:hAnsi="Times New Roman;sans-serif"/>
          <w:b w:val="false"/>
          <w:color w:val="000000"/>
          <w:sz w:val="20"/>
        </w:rPr>
        <w:t xml:space="preserve">. The substantially prevailing party in any legal proceeding, including mediation and arbitration, based upon this Agreement shall be entitled to reasonable attorneys’ fees and costs, in addition to any other damages and relief allowed by law, from the substantially non-prevailing party;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maximum amount of fees and costs of all parties for which Employee shall be liable shall be $100,000.00.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25.</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The invalidity or unenforceability of any provision in the Agreement shall not in any way affect the validity or enforceability of any other provision and this Agreement shall be construed in all respects as if such invalid or unenforceable provision had never been in the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26.</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xml:space="preserve">. Any and all notices required or permitted herein shall be deemed delivered if delivered personally or if mailed by registered or certified mail to the Company at its principal place of business and to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Employee at the address hereinafter set forth following Employee’s signature, or at such other address or addresses as either party may hereafter designate in writing to the other.</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27.</w:t>
      </w:r>
      <w:r>
        <w:rPr>
          <w:rFonts w:ascii="Times New Roman;sans-serif" w:hAnsi="Times New Roman;sans-serif"/>
          <w:b w:val="false"/>
          <w:color w:val="000000"/>
          <w:sz w:val="20"/>
          <w:u w:val="single"/>
        </w:rPr>
        <w:t>Assignment</w:t>
      </w:r>
      <w:r>
        <w:rPr>
          <w:rFonts w:ascii="Times New Roman;sans-serif" w:hAnsi="Times New Roman;sans-serif"/>
          <w:b w:val="false"/>
          <w:color w:val="000000"/>
          <w:sz w:val="20"/>
        </w:rPr>
        <w:t>. This Agreement, together with any amendments hereto, shall be binding upon and shall inure to the benefit of the parties hereto and their respective successors, assigns, heirs and personal representatives, except that the rights and benefits of either of the parties under this Agreement may not be assigned without the prior written consent of the other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28.</w:t>
      </w:r>
      <w:r>
        <w:rPr>
          <w:rFonts w:ascii="Times New Roman;sans-serif" w:hAnsi="Times New Roman;sans-serif"/>
          <w:b w:val="false"/>
          <w:color w:val="000000"/>
          <w:sz w:val="20"/>
          <w:u w:val="single"/>
        </w:rPr>
        <w:t>Amendments</w:t>
      </w:r>
      <w:r>
        <w:rPr>
          <w:rFonts w:ascii="Times New Roman;sans-serif" w:hAnsi="Times New Roman;sans-serif"/>
          <w:b w:val="false"/>
          <w:color w:val="000000"/>
          <w:sz w:val="20"/>
        </w:rPr>
        <w:t>. This Agreement may be amended at any time by mutual consent of the parties hereto, with any such amendment to be invalid unless in writing, signed by Matador and Employee.</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29.</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This Agreement, along with the Company’s employee handbook, as it may be amended from time to time, to the extent it does not specifically conflict with any provision of this Agreement, contains the entire agreement and understanding by and between Employee and the Company with respect to the employment of Employee, and no representations, promises, agreements, or understandings, written or oral, relating to the employment of Employee by the Company not contained herein, including without limitation the Prior Agreement, shall be of any force or effect .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30.</w:t>
      </w:r>
      <w:r>
        <w:rPr>
          <w:rFonts w:ascii="Times New Roman;sans-serif" w:hAnsi="Times New Roman;sans-serif"/>
          <w:b w:val="false"/>
          <w:color w:val="000000"/>
          <w:sz w:val="20"/>
          <w:u w:val="single"/>
        </w:rPr>
        <w:t>Burden and Benefit</w:t>
      </w:r>
      <w:r>
        <w:rPr>
          <w:rFonts w:ascii="Times New Roman;sans-serif" w:hAnsi="Times New Roman;sans-serif"/>
          <w:b w:val="false"/>
          <w:color w:val="000000"/>
          <w:sz w:val="20"/>
        </w:rPr>
        <w:t>. This Agreement shall be binding upon, and shall inure to the benefit of, the Company and Employee, and their respective heirs, personal and legal representatives, successors, and assigns.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31.</w:t>
      </w:r>
      <w:r>
        <w:rPr>
          <w:rFonts w:ascii="Times New Roman;sans-serif" w:hAnsi="Times New Roman;sans-serif"/>
          <w:b w:val="false"/>
          <w:color w:val="000000"/>
          <w:sz w:val="20"/>
          <w:u w:val="single"/>
        </w:rPr>
        <w:t>References to Gender and Number Terms</w:t>
      </w:r>
      <w:r>
        <w:rPr>
          <w:rFonts w:ascii="Times New Roman;sans-serif" w:hAnsi="Times New Roman;sans-serif"/>
          <w:b w:val="false"/>
          <w:color w:val="000000"/>
          <w:sz w:val="20"/>
        </w:rPr>
        <w:t>. In construing this Agreement, feminine or number pronouns shall be substituted for those masculine in form and vice versa, and plural terms shall be substituted for singular and singular for plural in any place where the context so requires.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32.</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The various headings in this Agreement are inserted for convenience only and are not part of the Agreement.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and Employee have duly executed this Agreement to be effective as of the Effective Date.</w:t>
      </w:r>
    </w:p>
    <w:p>
      <w:pPr>
        <w:pStyle w:val="TextBody"/>
        <w:bidi w:val="0"/>
        <w:spacing w:before="0" w:after="0"/>
        <w:jc w:val="both"/>
        <w:rPr/>
      </w:pPr>
      <w:r>
        <w:rPr/>
      </w:r>
    </w:p>
    <w:p>
      <w:pPr>
        <w:pStyle w:val="TextBody"/>
        <w:bidi w:val="0"/>
        <w:spacing w:before="0" w:after="0"/>
        <w:ind w:left="0" w:right="0" w:firstLine="720"/>
        <w:jc w:val="both"/>
        <w:rPr/>
      </w:pPr>
      <w:r>
        <w:rPr/>
      </w:r>
    </w:p>
    <w:tbl>
      <w:tblPr>
        <w:tblW w:w="6230" w:type="dxa"/>
        <w:jc w:val="left"/>
        <w:tblInd w:w="0" w:type="dxa"/>
        <w:tblLayout w:type="fixed"/>
        <w:tblCellMar>
          <w:top w:w="28" w:type="dxa"/>
          <w:left w:w="28" w:type="dxa"/>
          <w:bottom w:w="28" w:type="dxa"/>
          <w:right w:w="28" w:type="dxa"/>
        </w:tblCellMar>
      </w:tblPr>
      <w:tblGrid>
        <w:gridCol w:w="124"/>
        <w:gridCol w:w="109"/>
        <w:gridCol w:w="109"/>
        <w:gridCol w:w="528"/>
        <w:gridCol w:w="528"/>
        <w:gridCol w:w="528"/>
        <w:gridCol w:w="1249"/>
        <w:gridCol w:w="1249"/>
        <w:gridCol w:w="1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MATADOR RESOURCES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Address for Notice: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Lincoln Centre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5400 LBJ Freeway, Suite 1500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Dallas, TX 75240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Attention: Board of Directors</w:t>
            </w:r>
          </w:p>
        </w:tc>
      </w:tr>
    </w:tbl>
    <w:p>
      <w:pPr>
        <w:pStyle w:val="TextBody"/>
        <w:bidi w:val="0"/>
        <w:spacing w:before="0" w:after="0"/>
        <w:ind w:left="0" w:right="0" w:firstLine="720"/>
        <w:jc w:val="both"/>
        <w:rPr/>
      </w:pPr>
      <w:r>
        <w:rPr/>
      </w:r>
    </w:p>
    <w:tbl>
      <w:tblPr>
        <w:tblW w:w="2052" w:type="dxa"/>
        <w:jc w:val="left"/>
        <w:tblInd w:w="0" w:type="dxa"/>
        <w:tblLayout w:type="fixed"/>
        <w:tblCellMar>
          <w:top w:w="28" w:type="dxa"/>
          <w:left w:w="28" w:type="dxa"/>
          <w:bottom w:w="28" w:type="dxa"/>
          <w:right w:w="28" w:type="dxa"/>
        </w:tblCellMar>
      </w:tblPr>
      <w:tblGrid>
        <w:gridCol w:w="124"/>
        <w:gridCol w:w="109"/>
        <w:gridCol w:w="109"/>
        <w:gridCol w:w="499"/>
        <w:gridCol w:w="499"/>
        <w:gridCol w:w="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individually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Address for Notice: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Employment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Signature Page to Employment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(FORM) </w:t>
        <w:br/>
        <w:t xml:space="preserve">SEPARATION AGREEMENT AND RELEASE </w:t>
      </w:r>
    </w:p>
    <w:p>
      <w:pPr>
        <w:pStyle w:val="TextBody"/>
        <w:bidi w:val="0"/>
        <w:spacing w:lineRule="auto" w:line="288" w:before="0" w:after="240"/>
        <w:ind w:left="0" w:right="0" w:firstLine="490"/>
        <w:jc w:val="both"/>
        <w:rPr/>
      </w:pPr>
      <w:r>
        <w:rPr>
          <w:rFonts w:ascii="Times New Roman;sans-serif" w:hAnsi="Times New Roman;sans-serif"/>
          <w:b w:val="false"/>
          <w:color w:val="000000"/>
          <w:sz w:val="20"/>
        </w:rPr>
        <w:t>This Separation Agreement and Release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entered into by Matador Resources Company, a Texas corporation (“</w:t>
      </w:r>
      <w:r>
        <w:rPr>
          <w:rFonts w:ascii="Times New Roman;sans-serif" w:hAnsi="Times New Roman;sans-serif"/>
          <w:b w:val="false"/>
          <w:color w:val="000000"/>
          <w:sz w:val="20"/>
          <w:u w:val="single"/>
        </w:rPr>
        <w:t>Matador</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and [</w:t>
      </w:r>
      <w:r>
        <w:rPr>
          <w:rFonts w:ascii="Times New Roman;sans-serif" w:hAnsi="Times New Roman;sans-serif"/>
          <w:b/>
          <w:color w:val="000000"/>
          <w:sz w:val="20"/>
        </w:rPr>
        <w:t>EMPLOYEE</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Employee</w:t>
      </w:r>
      <w:r>
        <w:rPr>
          <w:color w:val="000000"/>
        </w:rPr>
        <w:t>”</w:t>
      </w:r>
      <w:r>
        <w:rPr>
          <w:rFonts w:ascii="Times New Roman;sans-serif" w:hAnsi="Times New Roman;sans-serif"/>
          <w:b w:val="false"/>
          <w:color w:val="000000"/>
          <w:sz w:val="20"/>
        </w:rPr>
        <w:t>) as of (the “</w:t>
      </w:r>
      <w:r>
        <w:rPr>
          <w:rFonts w:ascii="Times New Roman;sans-serif" w:hAnsi="Times New Roman;sans-serif"/>
          <w:b w:val="false"/>
          <w:color w:val="000000"/>
          <w:sz w:val="20"/>
          <w:u w:val="single"/>
        </w:rPr>
        <w:t>Agreement Date</w:t>
      </w:r>
      <w:r>
        <w:rPr>
          <w:color w:val="000000"/>
        </w:rPr>
        <w:t>”</w:t>
      </w:r>
      <w:r>
        <w:rPr>
          <w:rFonts w:ascii="Times New Roman;sans-serif" w:hAnsi="Times New Roman;sans-serif"/>
          <w:b w:val="false"/>
          <w:color w:val="000000"/>
          <w:sz w:val="20"/>
        </w:rPr>
        <w:t>). Matador and Employee are referred to as the “</w:t>
      </w:r>
      <w:r>
        <w:rPr>
          <w:rFonts w:ascii="Times New Roman;sans-serif" w:hAnsi="Times New Roman;sans-serif"/>
          <w:b w:val="false"/>
          <w:color w:val="000000"/>
          <w:sz w:val="20"/>
          <w:u w:val="single"/>
        </w:rPr>
        <w:t>Parties</w:t>
      </w:r>
      <w:r>
        <w:rPr>
          <w:rFonts w:ascii="Times New Roman;sans-serif" w:hAnsi="Times New Roman;sans-serif"/>
          <w:b w:val="false"/>
          <w:color w:val="000000"/>
          <w:sz w:val="20"/>
        </w:rPr>
        <w:t xml:space="preserve">.” This Agreement cancels and supersedes all prior agreements relating to Employee’s employment with Matador except as provided in this Agreement. </w:t>
      </w:r>
    </w:p>
    <w:p>
      <w:pPr>
        <w:pStyle w:val="TextBody"/>
        <w:bidi w:val="0"/>
        <w:spacing w:lineRule="auto" w:line="288" w:before="0" w:after="240"/>
        <w:ind w:left="0" w:right="0" w:firstLine="490"/>
        <w:jc w:val="both"/>
        <w:rPr/>
      </w:pPr>
      <w:r>
        <w:rPr>
          <w:rFonts w:ascii="Times New Roman;sans-serif" w:hAnsi="Times New Roman;sans-serif"/>
          <w:b w:val="false"/>
          <w:color w:val="000000"/>
          <w:sz w:val="20"/>
        </w:rPr>
        <w:t>WHEREAS, Matador and Employee entered into an Employment Agreement as of [</w:t>
      </w:r>
      <w:r>
        <w:rPr>
          <w:rFonts w:ascii="Times New Roman;sans-serif" w:hAnsi="Times New Roman;sans-serif"/>
          <w:b/>
          <w:color w:val="000000"/>
          <w:sz w:val="20"/>
        </w:rPr>
        <w:t>DATE</w:t>
      </w:r>
      <w:r>
        <w:rPr>
          <w:rFonts w:ascii="Times New Roman;sans-serif" w:hAnsi="Times New Roman;sans-serif"/>
          <w:b w:val="false"/>
          <w:color w:val="000000"/>
          <w:sz w:val="20"/>
        </w:rPr>
        <w:t>] (the “</w:t>
      </w:r>
      <w:r>
        <w:rPr>
          <w:rFonts w:ascii="Times New Roman;sans-serif" w:hAnsi="Times New Roman;sans-serif"/>
          <w:b w:val="false"/>
          <w:color w:val="000000"/>
          <w:sz w:val="20"/>
          <w:u w:val="single"/>
        </w:rPr>
        <w:t>Employment Agreement</w:t>
      </w:r>
      <w:r>
        <w:rPr>
          <w:color w:val="000000"/>
        </w:rPr>
        <w:t>”</w:t>
      </w:r>
      <w:r>
        <w:rPr>
          <w:rFonts w:ascii="Times New Roman;sans-serif" w:hAnsi="Times New Roman;sans-serif"/>
          <w:b w:val="false"/>
          <w:color w:val="000000"/>
          <w:sz w:val="20"/>
        </w:rPr>
        <w:t xml:space="preserve">). This Agreement is entered into by and between Employee and Matador pursuant to the Employment Agreement; </w:t>
      </w:r>
    </w:p>
    <w:p>
      <w:pPr>
        <w:pStyle w:val="TextBody"/>
        <w:bidi w:val="0"/>
        <w:spacing w:lineRule="auto" w:line="288" w:before="0" w:after="24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because of Employee’s employment as an employee of Matador, Employee has obtained intimate and unique knowledge of all aspects of Matador’s business operations, current and future plans, financial plans and other confidential and proprietary information; </w:t>
      </w:r>
    </w:p>
    <w:p>
      <w:pPr>
        <w:pStyle w:val="TextBody"/>
        <w:bidi w:val="0"/>
        <w:spacing w:lineRule="auto" w:line="288" w:before="0" w:after="240"/>
        <w:ind w:left="0" w:right="0" w:firstLine="490"/>
        <w:jc w:val="both"/>
        <w:rPr/>
      </w:pPr>
      <w:r>
        <w:rPr>
          <w:rFonts w:ascii="Times New Roman;sans-serif" w:hAnsi="Times New Roman;sans-serif"/>
          <w:b w:val="false"/>
          <w:color w:val="000000"/>
          <w:sz w:val="20"/>
        </w:rPr>
        <w:t>WHEREAS, Employee’s employment with Matador and all other positions, if any, held by Employee in Matador or any of its subsidiaries or affiliates, including officer positions, terminated effective as of [</w:t>
      </w:r>
      <w:r>
        <w:rPr>
          <w:rFonts w:ascii="Times New Roman;sans-serif" w:hAnsi="Times New Roman;sans-serif"/>
          <w:b/>
          <w:color w:val="000000"/>
          <w:sz w:val="20"/>
        </w:rPr>
        <w:t>DATE</w:t>
      </w:r>
      <w:r>
        <w:rPr>
          <w:rFonts w:ascii="Times New Roman;sans-serif" w:hAnsi="Times New Roman;sans-serif"/>
          <w:b w:val="false"/>
          <w:color w:val="000000"/>
          <w:sz w:val="20"/>
        </w:rPr>
        <w:t>] (the “</w:t>
      </w:r>
      <w:r>
        <w:rPr>
          <w:rFonts w:ascii="Times New Roman;sans-serif" w:hAnsi="Times New Roman;sans-serif"/>
          <w:b w:val="false"/>
          <w:color w:val="000000"/>
          <w:sz w:val="20"/>
          <w:u w:val="single"/>
        </w:rPr>
        <w:t>Separation Date</w:t>
      </w:r>
      <w:r>
        <w:rPr>
          <w:color w:val="000000"/>
        </w:rPr>
        <w:t>”</w:t>
      </w:r>
      <w:r>
        <w:rPr>
          <w:rFonts w:ascii="Times New Roman;sans-serif" w:hAnsi="Times New Roman;sans-serif"/>
          <w:b w:val="false"/>
          <w:color w:val="000000"/>
          <w:sz w:val="20"/>
        </w:rPr>
        <w:t xml:space="preserve">); and </w:t>
      </w:r>
    </w:p>
    <w:p>
      <w:pPr>
        <w:pStyle w:val="TextBody"/>
        <w:bidi w:val="0"/>
        <w:spacing w:lineRule="auto" w:line="288" w:before="0" w:after="24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except as otherwise provided herein, the Parties desire to finally, fully and completely resolve all disputes that now or may exist between them, including, but not limited to those concerning the Employment Agreement (except for the post-termination obligations contained in the Employment Agreement), Employee’s job performance and activities while employed by Matador and Employee’s hiring, employment and separation from Matador, and all disputes over benefits and compensation connected with such employment; </w:t>
      </w:r>
    </w:p>
    <w:p>
      <w:pPr>
        <w:pStyle w:val="TextBody"/>
        <w:bidi w:val="0"/>
        <w:spacing w:lineRule="auto" w:line="288" w:before="0" w:after="24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mutual covenants and agreements hereinafter set forth, and for other good and valuable consideration, the receipt and sufficiency of which are hereby acknowledged, the Parties hereto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End of Employee’s Employment</w:t>
      </w:r>
      <w:r>
        <w:rPr>
          <w:rFonts w:ascii="Times New Roman;sans-serif" w:hAnsi="Times New Roman;sans-serif"/>
          <w:b w:val="false"/>
          <w:color w:val="000000"/>
          <w:sz w:val="20"/>
        </w:rPr>
        <w:t xml:space="preserve">. Employee’s employment with Matador terminated on the Separation Date.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Certain Payments and Benefits</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Accrued Obligations</w:t>
      </w:r>
      <w:r>
        <w:rPr>
          <w:rFonts w:ascii="Times New Roman;sans-serif" w:hAnsi="Times New Roman;sans-serif"/>
          <w:b w:val="false"/>
          <w:color w:val="000000"/>
          <w:sz w:val="20"/>
        </w:rPr>
        <w:t>. In accordance with Matador’s customary payroll practices, Matador shall pay Employee for all unpaid salary, unreimbursed business expenses, and any accrued but unused vacation through the Separation Date (“</w:t>
      </w:r>
      <w:r>
        <w:rPr>
          <w:rFonts w:ascii="Times New Roman;sans-serif" w:hAnsi="Times New Roman;sans-serif"/>
          <w:b w:val="false"/>
          <w:color w:val="000000"/>
          <w:sz w:val="20"/>
          <w:u w:val="single"/>
        </w:rPr>
        <w:t>Accrued Obligations</w:t>
      </w:r>
      <w:r>
        <w:rPr>
          <w:color w:val="000000"/>
        </w:rPr>
        <w:t>”</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Separation Payments</w:t>
      </w:r>
      <w:r>
        <w:rPr>
          <w:rFonts w:ascii="Times New Roman;sans-serif" w:hAnsi="Times New Roman;sans-serif"/>
          <w:b w:val="false"/>
          <w:color w:val="000000"/>
          <w:sz w:val="20"/>
        </w:rPr>
        <w:t>. Subject to Employee’s consent to and fulfillment of Employee’s obligations in this Agreement and, if applicable pursuant to Section 14(b) or (c) of the Employment Agreement, Employee’s post-termination obligations in Sections 8 and 9 of the Employment Agreement, and provided that Employee does not revoke this Agreement pursuant to Section 12 hereof, Matador shall pay Employee the amount of $[</w:t>
      </w:r>
      <w:r>
        <w:rPr>
          <w:rFonts w:ascii="Times New Roman;sans-serif" w:hAnsi="Times New Roman;sans-serif"/>
          <w:b/>
          <w:color w:val="000000"/>
          <w:sz w:val="20"/>
        </w:rPr>
        <w:t>AMOUNT</w:t>
      </w:r>
      <w:r>
        <w:rPr>
          <w:rFonts w:ascii="Times New Roman;sans-serif" w:hAnsi="Times New Roman;sans-serif"/>
          <w:b w:val="false"/>
          <w:color w:val="000000"/>
          <w:sz w:val="20"/>
        </w:rPr>
        <w:t>], minus normal payroll withholdings and taxes (“</w:t>
      </w:r>
      <w:r>
        <w:rPr>
          <w:rFonts w:ascii="Times New Roman;sans-serif" w:hAnsi="Times New Roman;sans-serif"/>
          <w:b w:val="false"/>
          <w:color w:val="000000"/>
          <w:sz w:val="20"/>
          <w:u w:val="single"/>
        </w:rPr>
        <w:t>Separation Payment</w:t>
      </w:r>
      <w:r>
        <w:rPr>
          <w:color w:val="000000"/>
        </w:rPr>
        <w:t>”</w:t>
      </w:r>
      <w:r>
        <w:rPr>
          <w:rFonts w:ascii="Times New Roman;sans-serif" w:hAnsi="Times New Roman;sans-serif"/>
          <w:b w:val="false"/>
          <w:color w:val="000000"/>
          <w:sz w:val="20"/>
        </w:rPr>
        <w:t xml:space="preserve">), payable as provided in the Employment Agreement. The Separation Payment will not be treated as compensation under Matador’s 401(k) Plan or any other retirement plan. </w:t>
      </w:r>
    </w:p>
    <w:p>
      <w:pPr>
        <w:pStyle w:val="TextBody"/>
        <w:bidi w:val="0"/>
        <w:spacing w:lineRule="auto" w:line="288" w:before="0" w:after="24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Waiver of Additional Compensation or Benefits</w:t>
      </w:r>
      <w:r>
        <w:rPr>
          <w:rFonts w:ascii="Times New Roman;sans-serif" w:hAnsi="Times New Roman;sans-serif"/>
          <w:b w:val="false"/>
          <w:color w:val="000000"/>
          <w:sz w:val="20"/>
        </w:rPr>
        <w:t xml:space="preserve">. Other than the compensation and payments provided for in this Agreement and the post-termination benefits provided for in the Employment Agreement, Employee shall not be entitled to any additional compensation, benefits, payments or grants under any agreement, benefit plan, severance plan or bonus or incentive program established by Matador or any of Matador’s affiliates, other than any vested retirement plan benefits, any vested equity grants or COBRA continuation coverage benefits. </w:t>
      </w:r>
      <w:r>
        <w:rPr>
          <w:rFonts w:ascii="Times New Roman;sans-serif" w:hAnsi="Times New Roman;sans-serif"/>
          <w:b/>
          <w:color w:val="000000"/>
          <w:sz w:val="20"/>
        </w:rPr>
        <w:t xml:space="preserve">[TO BE MODIFIED, IF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0"/>
        </w:rPr>
        <w:t>APPLICABLE, FOR OTHER BENEFITS.]</w:t>
      </w:r>
      <w:r>
        <w:rPr>
          <w:color w:val="000000"/>
        </w:rPr>
        <w:t xml:space="preserve"> </w:t>
      </w:r>
      <w:r>
        <w:rPr>
          <w:rFonts w:ascii="Times New Roman;sans-serif" w:hAnsi="Times New Roman;sans-serif"/>
          <w:b w:val="false"/>
          <w:color w:val="000000"/>
          <w:sz w:val="20"/>
        </w:rPr>
        <w:t xml:space="preserve">Employee agrees that the release in Section 3 covers any claims Employee might have regarding Employee’s compensation, bonuses, stock options or grants and any other benefits Employee may or may not have received during Employee’s employment with Matador.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General Release and Waiver</w:t>
      </w:r>
      <w:r>
        <w:rPr>
          <w:rFonts w:ascii="Times New Roman;sans-serif" w:hAnsi="Times New Roman;sans-serif"/>
          <w:b w:val="false"/>
          <w:color w:val="000000"/>
          <w:sz w:val="20"/>
        </w:rPr>
        <w:t>. In consideration of the payments and other consideration provided for in this Agreement, that being good and valuable consideration, the receipt, adequacy and sufficiency of which are acknowledged by Employee, Employee, on Employee’s own behalf and on behalf of Employee’s agents, administrators, representatives, executors, successors, heirs, devisees and assigns (collectively, the “</w:t>
      </w:r>
      <w:r>
        <w:rPr>
          <w:rFonts w:ascii="Times New Roman;sans-serif" w:hAnsi="Times New Roman;sans-serif"/>
          <w:b w:val="false"/>
          <w:color w:val="000000"/>
          <w:sz w:val="20"/>
          <w:u w:val="single"/>
        </w:rPr>
        <w:t>Releasing Parties</w:t>
      </w:r>
      <w:r>
        <w:rPr>
          <w:color w:val="000000"/>
        </w:rPr>
        <w:t>”</w:t>
      </w:r>
      <w:r>
        <w:rPr>
          <w:rFonts w:ascii="Times New Roman;sans-serif" w:hAnsi="Times New Roman;sans-serif"/>
          <w:b w:val="false"/>
          <w:color w:val="000000"/>
          <w:sz w:val="20"/>
        </w:rPr>
        <w:t>) hereby fully releases, remises, acquits and forever discharges Matador and all of its affiliates, and each of their respective past, present and future officers, directors, shareholders, equity holders, members, partners, agents, employees, consultants, independent contractors, attorneys, advisers, successors and assigns (collectively, the “</w:t>
      </w:r>
      <w:r>
        <w:rPr>
          <w:rFonts w:ascii="Times New Roman;sans-serif" w:hAnsi="Times New Roman;sans-serif"/>
          <w:b w:val="false"/>
          <w:color w:val="000000"/>
          <w:sz w:val="20"/>
          <w:u w:val="single"/>
        </w:rPr>
        <w:t>Released Parties</w:t>
      </w:r>
      <w:r>
        <w:rPr>
          <w:color w:val="000000"/>
        </w:rPr>
        <w:t>”</w:t>
      </w:r>
      <w:r>
        <w:rPr>
          <w:rFonts w:ascii="Times New Roman;sans-serif" w:hAnsi="Times New Roman;sans-serif"/>
          <w:b w:val="false"/>
          <w:color w:val="000000"/>
          <w:sz w:val="20"/>
        </w:rPr>
        <w:t>), jointly and severally, from any and all claims, rights, demands, debts, obligations, losses, causes of action, suits, controversies, setoffs, affirmative defenses, counterclaims, third party actions, damages, penalties, costs, expenses, attorneys’ fees, liabilities and indemnities of any kind or nature whatsoever (collectively, the “</w:t>
      </w:r>
      <w:r>
        <w:rPr>
          <w:rFonts w:ascii="Times New Roman;sans-serif" w:hAnsi="Times New Roman;sans-serif"/>
          <w:b w:val="false"/>
          <w:color w:val="000000"/>
          <w:sz w:val="20"/>
          <w:u w:val="single"/>
        </w:rPr>
        <w:t>Claims</w:t>
      </w:r>
      <w:r>
        <w:rPr>
          <w:color w:val="000000"/>
        </w:rPr>
        <w:t>”</w:t>
      </w:r>
      <w:r>
        <w:rPr>
          <w:rFonts w:ascii="Times New Roman;sans-serif" w:hAnsi="Times New Roman;sans-serif"/>
          <w:b w:val="false"/>
          <w:color w:val="000000"/>
          <w:sz w:val="20"/>
        </w:rPr>
        <w:t>), whether known or unknown, suspected or unsuspected, accrued or unaccrued, whether at law, equity, administrative, statutory or otherwise, and whether for injunctive relief, back pay, fringe benefits, reinstatement, reemployment, or compensatory, punitive or any other kind of damages, which any of the Releasing Parties ever have had in the past or presently have against the Released Parties, and each of them, arising from or relating to Employee’s employment with Matador or its affiliates or the termination of that employment or any circumstances related thereto, or (except as otherwise provided below) any other matter, cause or thing whatsoever, including without limitation all claims arising under or relating to employment, employment contracts, employee benefits or purported employment discrimination or violations of civil rights of whatever kind or nature, including without limitation all claims arising under the Age Discrimination in Employment Act (“</w:t>
      </w:r>
      <w:r>
        <w:rPr>
          <w:rFonts w:ascii="Times New Roman;sans-serif" w:hAnsi="Times New Roman;sans-serif"/>
          <w:b w:val="false"/>
          <w:color w:val="000000"/>
          <w:sz w:val="20"/>
          <w:u w:val="single"/>
        </w:rPr>
        <w:t>ADEA</w:t>
      </w:r>
      <w:r>
        <w:rPr>
          <w:color w:val="000000"/>
        </w:rPr>
        <w:t>”</w:t>
      </w:r>
      <w:r>
        <w:rPr>
          <w:rFonts w:ascii="Times New Roman;sans-serif" w:hAnsi="Times New Roman;sans-serif"/>
          <w:b w:val="false"/>
          <w:color w:val="000000"/>
          <w:sz w:val="20"/>
        </w:rPr>
        <w:t>), the Americans with Disabilities Act, as amended, the Family and Medical Leave Act of 1993, the Equal Pay Act of 1963, the Rehabilitation Act of 1973, Title VII of the United States Civil Rights Act of 1964, 42 U.S.C. § 1981, the Fair Labor Standards Act, the Employee Retirement Income Security Act, the Civil Rights Act of 1991, the Civil Rights Acts of 1866 and/or 1871, the Sarbanes-Oxley Act, the Genetic Information Nondiscrimination Act, the Lily Ledbetter Act, the Texas Commission on Human Rights Act, the Texas Payday Law, the Texas Labor Code or any other applicable federal, state or local employment statute, law or ordinance, including, without limitation, any disability claims under any such laws, claims for wrongful discharge, claims arising under state law, contract claims including breach of express or implied contract, alleged tortious conduct, claims relating to alleged fraud, breach of fiduciary duty or reliance, breach of implied covenant of good faith and fair dealing, and any other claims arising under state or federal law, as well as any expenses, costs or attorneys’ fees. Employee further agrees that Employee will not file or permit to be filed on Employee’s behalf any such claim. Notwithstanding the preceding sentence or any other provision of this Agreement, this release is not intended to interfere with Employee’s right to file a charge with the Equal Employment Opportunity Commission (the “</w:t>
      </w:r>
      <w:r>
        <w:rPr>
          <w:rFonts w:ascii="Times New Roman;sans-serif" w:hAnsi="Times New Roman;sans-serif"/>
          <w:b w:val="false"/>
          <w:color w:val="000000"/>
          <w:sz w:val="20"/>
          <w:u w:val="single"/>
        </w:rPr>
        <w:t>EEOC</w:t>
      </w:r>
      <w:r>
        <w:rPr>
          <w:color w:val="000000"/>
        </w:rPr>
        <w:t>”</w:t>
      </w:r>
      <w:r>
        <w:rPr>
          <w:rFonts w:ascii="Times New Roman;sans-serif" w:hAnsi="Times New Roman;sans-serif"/>
          <w:b w:val="false"/>
          <w:color w:val="000000"/>
          <w:sz w:val="20"/>
        </w:rPr>
        <w:t xml:space="preserve">), or other comparable agency, in connection with any claim Employee believes Employee may have against Matador or its affiliates. However, by executing this Agreement, Employee hereby waives the right to recover in any proceeding Employee may bring before the EEOC or any state human rights commission or in any proceeding brought by the EEOC or any state human rights commission on Employee’s behalf. This release shall not apply to any of Matador’s obligations under this Agreement or post-termination obligations under the Employment Agreement, any vested retirement plan benefits, any vested equity grants or COBRA continuation coverage benefits. </w:t>
      </w:r>
      <w:r>
        <w:rPr>
          <w:rFonts w:ascii="Times New Roman;sans-serif" w:hAnsi="Times New Roman;sans-serif"/>
          <w:b/>
          <w:color w:val="000000"/>
          <w:sz w:val="20"/>
        </w:rPr>
        <w:t>[TO BE MODIFIED, IF APPLICABLE, FOR OTHER SURVIVING ARRANGEMENTS.]</w:t>
      </w:r>
      <w:r>
        <w:rPr>
          <w:color w:val="000000"/>
        </w:rPr>
        <w:t xml:space="preserve"> </w:t>
      </w:r>
      <w:r>
        <w:rPr>
          <w:rFonts w:ascii="Times New Roman;sans-serif" w:hAnsi="Times New Roman;sans-serif"/>
          <w:b w:val="false"/>
          <w:color w:val="000000"/>
          <w:sz w:val="20"/>
        </w:rPr>
        <w:t xml:space="preserve">Employee acknowledges that certain of the payments and benefits provided for in Section 2 of this Agreement constitute good and valuable consideration for the release contained in this Section 3.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Return of Matador Property</w:t>
      </w:r>
      <w:r>
        <w:rPr>
          <w:rFonts w:ascii="Times New Roman;sans-serif" w:hAnsi="Times New Roman;sans-serif"/>
          <w:b w:val="false"/>
          <w:color w:val="000000"/>
          <w:sz w:val="20"/>
        </w:rPr>
        <w:t xml:space="preserve">. Within 7 days of the Agreement Date, Employee shall, to the extent not previously returned or delivered: (a) return all equipment, records, files, programs or other materials and property in Employee’s possession which belongs to Matador or any of its affiliates, including, without limitation, all computers, printers, laptops, personal data assistants, cell phones, credit cards, keys and access cards; and (b) deliver all original and copies of Confidential Information (as defined in the Employment Agreement) in Employee’s possession and notes, materials, records, plans, technical data or other documents, files or programs (whether stored in paper form, computer form, digital form, electronically or otherwise) in Employee’s possession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contain Confidential Information. By signing this Agreement, Employee represents and warrants that Employee has not retained and has or will timely return and deliver all the items described or referenced in subsections (a) or (b) above; and, that should Employee later discover additional items described or referenced in subsections (a) or (b) above, Employee will promptly notify Matador and return/deliver such items to Matador.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Non-Disparagement</w:t>
      </w:r>
      <w:r>
        <w:rPr>
          <w:rFonts w:ascii="Times New Roman;sans-serif" w:hAnsi="Times New Roman;sans-serif"/>
          <w:b w:val="false"/>
          <w:color w:val="000000"/>
          <w:sz w:val="20"/>
        </w:rPr>
        <w:t xml:space="preserve">. Employee agrees that Employee will not, directly or indirectly, disclose, communicate, or publish any disparaging information concerning Matador or the Released Parties, or cause others to disclose, communicate, or publish any disparaging information concerning the same. Matador, on its own behalf and on behalf of its officers and directors, agrees that they will not, directly or indirectly, disclose, communicate or publish any disparaging information concerning Employee, or cause others to disclose, communicate, or publish any disparaging information concerning Employee. Notwithstanding the foregoing, the provisions of this Section shall not apply with respect to any charge filed by Employee with the EEOC or other comparable agency or in connection with any proceeding with respect to any claim not released by this Agreement. </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Not An Admission of Wrongdoing</w:t>
      </w:r>
      <w:r>
        <w:rPr>
          <w:rFonts w:ascii="Times New Roman;sans-serif" w:hAnsi="Times New Roman;sans-serif"/>
          <w:b w:val="false"/>
          <w:color w:val="000000"/>
          <w:sz w:val="20"/>
        </w:rPr>
        <w:t xml:space="preserve">. This Agreement shall not in any way be construed as an admission by either Party of any acts of wrongdoing, violation of any statute, law or legal or contractual right.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Voluntary Execution of the Agreement</w:t>
      </w:r>
      <w:r>
        <w:rPr>
          <w:rFonts w:ascii="Times New Roman;sans-serif" w:hAnsi="Times New Roman;sans-serif"/>
          <w:b w:val="false"/>
          <w:color w:val="000000"/>
          <w:sz w:val="20"/>
        </w:rPr>
        <w:t xml:space="preserve">. Employee and Matador represent and agree that they have had an opportunity to review all aspects of this Agreement, and that they fully understand all the provisions of the Agreement and are voluntarily entering into this Agreement. Employee further represents that Employee has not transferred or assigned to any person or entity any claim involving Matador or any portion thereof or interest therein.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Ongoing Obligations</w:t>
      </w:r>
      <w:r>
        <w:rPr>
          <w:rFonts w:ascii="Times New Roman;sans-serif" w:hAnsi="Times New Roman;sans-serif"/>
          <w:b w:val="false"/>
          <w:color w:val="000000"/>
          <w:sz w:val="20"/>
        </w:rPr>
        <w:t xml:space="preserve">. Employee reaffirms and understands Employee’s ongoing obligations in the Employment Agreement, including Sections 8, 9, 10, 11 and 21.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Binding Effect</w:t>
      </w:r>
      <w:r>
        <w:rPr>
          <w:rFonts w:ascii="Times New Roman;sans-serif" w:hAnsi="Times New Roman;sans-serif"/>
          <w:b w:val="false"/>
          <w:color w:val="000000"/>
          <w:sz w:val="20"/>
        </w:rPr>
        <w:t xml:space="preserve">. This Agreement shall be binding upon Matador and upon Employee and Employee’s heirs, administrators, representatives, executors, successors and assigns and Matador’s representatives, successors and assigns. In the event of Employee’s death, this Agreement shall operate in favor of Employee’s estate and all payments, obligations and consideration will continue to be performed in favor of Employee’s estate.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xml:space="preserve">. Should any provision of this Agreement be declared or determined to be illegal or invalid by any government agency or court of competent jurisdiction, the validity of the remaining parts, terms or provisions of this Agreement shall not be affected and such provisions shall remain in full force and effect.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Except for the post-termination obligations in the Employment Agreement, any vested retirement plan benefits, any equity grant agreements and COBRA continuation coverage benefits </w:t>
      </w:r>
      <w:r>
        <w:rPr>
          <w:rFonts w:ascii="Times New Roman;sans-serif" w:hAnsi="Times New Roman;sans-serif"/>
          <w:b/>
          <w:color w:val="000000"/>
          <w:sz w:val="20"/>
        </w:rPr>
        <w:t>[TO BE MODIFIED, IF APPLICABLE, FOR OTHER SURVIVING ARRANGEMENTS.]</w:t>
      </w:r>
      <w:r>
        <w:rPr>
          <w:rFonts w:ascii="Times New Roman;sans-serif" w:hAnsi="Times New Roman;sans-serif"/>
          <w:b w:val="false"/>
          <w:color w:val="000000"/>
          <w:sz w:val="20"/>
        </w:rPr>
        <w:t xml:space="preserve">, this Agreement sets forth the entire agreement between the Parties, and fully supersedes any and all prior agreements, understandings, or representations between the Parties pertaining to Employee’s employment with Matador, the subject matter of this Agreement or any other term or condition of the employment relationship between Matador and Employee. Employee represents and acknowledges that in executing this Agreement, Employee does not rely, and has not relied, upon any representation(s) by Matador or its agents except as expressly contained in this Agreement or the Employment Agreement. Employee and Matador agree that they have each used their own judgment in entering into this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Knowing and Voluntary Waiver</w:t>
      </w:r>
      <w:r>
        <w:rPr>
          <w:rFonts w:ascii="Times New Roman;sans-serif" w:hAnsi="Times New Roman;sans-serif"/>
          <w:b w:val="false"/>
          <w:color w:val="000000"/>
          <w:sz w:val="20"/>
        </w:rPr>
        <w:t xml:space="preserve">. Employee, by Employee’s free and voluntary act of signing below, (i) acknowledges that Employee has been given a period of twenty-one (21) days to consider whether to agree to the terms contained herein, (ii) acknowledges that Employee has been advised to consult with an attorney prior to executing this Agreement, (iii) acknowledges that Employee understands that this Agreement specifically releases and waives all rights and claims Employee may have under the ADEA, prior to the date on which Employee signs this Agreement, and (iv) agrees to all of the terms of this Agreement and intends to be legally bound thereby. The Parties acknowledge and agree that each Party has reviewed and negotiated the terms and provisions of this Agreement and has contributed to its preparation (with advice of counsel). Accordingly, the rule of construction to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 that ambiguities are resolved against the drafting party shall not be employed in the interpretation of this Agreement. Rather, the terms of this Agreement shall be construed fairly as to both Parties and not in favor of or against either Party, regardless of which Party generally was responsible for the preparation of this Agreement. </w:t>
      </w:r>
    </w:p>
    <w:p>
      <w:pPr>
        <w:pStyle w:val="TextBody"/>
        <w:bidi w:val="0"/>
        <w:spacing w:lineRule="auto" w:line="288" w:before="180" w:after="283"/>
        <w:ind w:left="0" w:right="0" w:firstLine="490"/>
        <w:jc w:val="both"/>
        <w:rPr/>
      </w:pPr>
      <w:r>
        <w:rPr>
          <w:rFonts w:ascii="Times New Roman;sans-serif" w:hAnsi="Times New Roman;sans-serif"/>
          <w:b w:val="false"/>
          <w:color w:val="000000"/>
          <w:sz w:val="20"/>
        </w:rPr>
        <w:t>This Agreement will become effective, enforceable and irrevocable on the eighth day after the date on which it is executed by Employee (the “</w:t>
      </w:r>
      <w:r>
        <w:rPr>
          <w:rFonts w:ascii="Times New Roman;sans-serif" w:hAnsi="Times New Roman;sans-serif"/>
          <w:b w:val="false"/>
          <w:color w:val="000000"/>
          <w:sz w:val="20"/>
          <w:u w:val="single"/>
        </w:rPr>
        <w:t>Effective Date</w:t>
      </w:r>
      <w:r>
        <w:rPr>
          <w:color w:val="000000"/>
        </w:rPr>
        <w:t>”</w:t>
      </w:r>
      <w:r>
        <w:rPr>
          <w:rFonts w:ascii="Times New Roman;sans-serif" w:hAnsi="Times New Roman;sans-serif"/>
          <w:b w:val="false"/>
          <w:color w:val="000000"/>
          <w:sz w:val="20"/>
        </w:rPr>
        <w:t>). During the seven-day period prior to the Effective Date, Employee may revoke Employee’s agreement to accept the terms hereof by giving notice to Matador of Employee’s intention to revoke. If Employee exercises Employee’s right to revoke hereunder, Employee shall not be entitled, except as required by applicable wage payment laws, including but not limited to the Accrued Obligations, to any payment hereunder until Employee executes and does not revoke a comparable release of claims, and to the extent such payments or benefits have already been made, Employee agrees that Employee will immediately reimburse Matador for the amounts of such payments and benefits to which he is not entitled.</w:t>
      </w:r>
    </w:p>
    <w:p>
      <w:pPr>
        <w:pStyle w:val="TextBody"/>
        <w:bidi w:val="0"/>
        <w:spacing w:before="180" w:after="283"/>
        <w:ind w:left="0" w:right="0" w:firstLine="49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xml:space="preserve">. All notices and other communications hereunder will be in writing. Any notice or other communication hereunder shall be deemed duly given if it is delivered personally or sent by registered or certified mail, return receipt requested, postage prepaid, and addressed to the intended recipient as set forth: </w:t>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to Employee: </w:t>
      </w:r>
    </w:p>
    <w:p>
      <w:pPr>
        <w:pStyle w:val="TextBody"/>
        <w:bidi w:val="0"/>
        <w:spacing w:lineRule="auto" w:line="288" w:before="90" w:after="283"/>
        <w:jc w:val="left"/>
        <w:rPr/>
      </w:pPr>
      <w:r>
        <w:rPr>
          <w:rFonts w:ascii="Times New Roman;sans-serif" w:hAnsi="Times New Roman;sans-serif"/>
          <w:b w:val="false"/>
          <w:color w:val="000000"/>
          <w:sz w:val="20"/>
        </w:rPr>
        <w:t>[</w:t>
      </w:r>
      <w:r>
        <w:rPr>
          <w:rFonts w:ascii="Times New Roman;sans-serif" w:hAnsi="Times New Roman;sans-serif"/>
          <w:b/>
          <w:color w:val="000000"/>
          <w:sz w:val="20"/>
        </w:rPr>
        <w:t>EMPLOYEE</w:t>
      </w:r>
      <w:r>
        <w:rPr>
          <w:rFonts w:ascii="Times New Roman;sans-serif" w:hAnsi="Times New Roman;sans-serif"/>
          <w:b w:val="false"/>
          <w:color w:val="000000"/>
          <w:sz w:val="20"/>
        </w:rPr>
        <w:t xml:space="preserve">] </w:t>
      </w:r>
    </w:p>
    <w:p>
      <w:pPr>
        <w:pStyle w:val="TextBody"/>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color w:val="000000"/>
          <w:sz w:val="20"/>
        </w:rPr>
        <w:t>EMPLOYEE ADDRESS</w:t>
      </w:r>
      <w:r>
        <w:rPr>
          <w:rFonts w:ascii="Times New Roman;sans-serif" w:hAnsi="Times New Roman;sans-serif"/>
          <w:b w:val="false"/>
          <w:color w:val="000000"/>
          <w:sz w:val="20"/>
        </w:rPr>
        <w:t xml:space="preserve">] </w:t>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to Matador: </w:t>
      </w:r>
    </w:p>
    <w:p>
      <w:pPr>
        <w:pStyle w:val="TextBody"/>
        <w:bidi w:val="0"/>
        <w:spacing w:lineRule="auto" w:line="288"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Lincoln Centre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5400 LBJ Freeway, Suite 1500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Dallas, TX 75240 </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Board of Directors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Party may change the address to which notices and other communications are to be delivered by giving the other Party notice.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Governing Law; Venue; Arbitration</w:t>
      </w:r>
      <w:r>
        <w:rPr>
          <w:rFonts w:ascii="Times New Roman;sans-serif" w:hAnsi="Times New Roman;sans-serif"/>
          <w:b w:val="false"/>
          <w:color w:val="000000"/>
          <w:sz w:val="20"/>
        </w:rPr>
        <w:t xml:space="preserve">. This section of the Agreement shall be governed by Section 23 of the Employment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xml:space="preserve">. This Agreement may be executed in counterparts, each of which when executed and delivered (which deliveries may be by facsimile or other electronic method of delivery) shall be deemed an original and all of which together shall constitute one and the same instrument.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No Assignment of Claims</w:t>
      </w:r>
      <w:r>
        <w:rPr>
          <w:rFonts w:ascii="Times New Roman;sans-serif" w:hAnsi="Times New Roman;sans-serif"/>
          <w:b w:val="false"/>
          <w:color w:val="000000"/>
          <w:sz w:val="20"/>
        </w:rPr>
        <w:t xml:space="preserve">. Employee represents and agrees that Employee has not transferred or assigned, to any person or entity, any claim involving Matador, or any portion thereof or interest therein.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No Waiver</w:t>
      </w:r>
      <w:r>
        <w:rPr>
          <w:rFonts w:ascii="Times New Roman;sans-serif" w:hAnsi="Times New Roman;sans-serif"/>
          <w:b w:val="false"/>
          <w:color w:val="000000"/>
          <w:sz w:val="20"/>
        </w:rPr>
        <w:t xml:space="preserve">. This Agreement may not be waived, modified, amended, supplemented, canceled or discharged, except by written agreement of the Parties. Failure to exercise and/or delay in exercising any right, power or privilege in this Agreement shall not operate as a waiver. No waiver of any breach of any provision shall be deemed to be a waiver of any preceding or succeeding breach of the same or any other provision, nor shall any waiver be implied from any course of dealing between or among the Parties.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 ACKNOWLEDGE THAT I HAVE CAREFULLY READ THE FOREGOING AGREEMENT, THAT I UNDERSTAND ALL OF ITS TERMS AND THAT I AM RELEASING CLAIMS AND THAT I AM ENTERING INTO IT VOLUNTARILY. </w:t>
      </w:r>
    </w:p>
    <w:p>
      <w:pPr>
        <w:pStyle w:val="TextBody"/>
        <w:bidi w:val="0"/>
        <w:spacing w:before="0" w:after="0"/>
        <w:jc w:val="left"/>
        <w:rPr/>
      </w:pPr>
      <w:r>
        <w:rPr/>
      </w:r>
    </w:p>
    <w:tbl>
      <w:tblPr>
        <w:tblW w:w="2428"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154"/>
        <w:gridCol w:w="154"/>
        <w:gridCol w:w="218"/>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AGREED TO BY:</w:t>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w:t>
            </w:r>
            <w:r>
              <w:rPr>
                <w:rFonts w:ascii="Times New Roman;sans-serif" w:hAnsi="Times New Roman;sans-serif"/>
                <w:b/>
                <w:color w:val="000000"/>
                <w:sz w:val="20"/>
              </w:rPr>
              <w:t>EMPLOYEE</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 OF TEXAS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COUNTY OF ________________</w:t>
      </w:r>
    </w:p>
    <w:p>
      <w:pPr>
        <w:pStyle w:val="TextBody"/>
        <w:bidi w:val="0"/>
        <w:spacing w:lineRule="auto" w:line="288" w:before="18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me, a Notary Public, on this day personally appeared __________, known to me to be the person whose name is subscribed to the foregoing instrument, and acknowledges to me that he has executed this Agreement on behalf of himself and his heirs, for the purposes and consideration therein expressed. </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Given under my hand and seal of office this _____ day of ___________________, 20___.</w:t>
      </w:r>
    </w:p>
    <w:tbl>
      <w:tblPr>
        <w:tblW w:w="6973" w:type="dxa"/>
        <w:jc w:val="left"/>
        <w:tblInd w:w="0" w:type="dxa"/>
        <w:tblLayout w:type="fixed"/>
        <w:tblCellMar>
          <w:top w:w="28" w:type="dxa"/>
          <w:left w:w="28" w:type="dxa"/>
          <w:bottom w:w="28" w:type="dxa"/>
          <w:right w:w="28" w:type="dxa"/>
        </w:tblCellMar>
      </w:tblPr>
      <w:tblGrid>
        <w:gridCol w:w="604"/>
        <w:gridCol w:w="531"/>
        <w:gridCol w:w="531"/>
        <w:gridCol w:w="572"/>
        <w:gridCol w:w="572"/>
        <w:gridCol w:w="581"/>
        <w:gridCol w:w="558"/>
        <w:gridCol w:w="558"/>
        <w:gridCol w:w="558"/>
        <w:gridCol w:w="558"/>
        <w:gridCol w:w="558"/>
        <w:gridCol w:w="792"/>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Notary Public in and for the State of Texas</w:t>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(PERSONALIZED SEAL)</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t>
            </w:r>
            <w:r>
              <w:rPr>
                <w:rFonts w:ascii="Times New Roman;sans-serif" w:hAnsi="Times New Roman;sans-serif"/>
                <w:b/>
                <w:color w:val="000000"/>
                <w:sz w:val="20"/>
              </w:rPr>
              <w:t>OFFICER NAME</w:t>
            </w:r>
            <w:r>
              <w:rPr>
                <w:rFonts w:ascii="Times New Roman;sans-serif" w:hAnsi="Times New Roman;sans-serif"/>
                <w:b w:val="false"/>
                <w:color w:val="000000"/>
                <w:sz w:val="20"/>
              </w:rPr>
              <w:t>]</w:t>
            </w:r>
          </w:p>
        </w:tc>
        <w:tc>
          <w:tcPr>
            <w:tcW w:w="1674"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OF TEXAS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COUNTY OF ________________</w:t>
      </w:r>
    </w:p>
    <w:p>
      <w:pPr>
        <w:pStyle w:val="TextBody"/>
        <w:bidi w:val="0"/>
        <w:spacing w:lineRule="auto" w:line="288" w:before="18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me, a Notary Public, on this day personally appeared ________________, known to me to be the person and officer whose name is subscribed to the foregoing instrument and acknowledged to me that the same was the act of _____________________, and that he has executed the same on behalf of said corporation for the purposes and consideration therein expressed, and in the capacity therein stated. </w:t>
      </w:r>
    </w:p>
    <w:p>
      <w:pPr>
        <w:pStyle w:val="TextBody"/>
        <w:bidi w:val="0"/>
        <w:spacing w:lineRule="auto" w:line="288" w:before="18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Given under my hand and seal of office this _____ day of ___________________, 20___.</w:t>
      </w:r>
    </w:p>
    <w:tbl>
      <w:tblPr>
        <w:tblW w:w="5771" w:type="dxa"/>
        <w:jc w:val="left"/>
        <w:tblInd w:w="0" w:type="dxa"/>
        <w:tblLayout w:type="fixed"/>
        <w:tblCellMar>
          <w:top w:w="28" w:type="dxa"/>
          <w:left w:w="28" w:type="dxa"/>
          <w:bottom w:w="28" w:type="dxa"/>
          <w:right w:w="28" w:type="dxa"/>
        </w:tblCellMar>
      </w:tblPr>
      <w:tblGrid>
        <w:gridCol w:w="793"/>
        <w:gridCol w:w="697"/>
        <w:gridCol w:w="699"/>
        <w:gridCol w:w="558"/>
        <w:gridCol w:w="558"/>
        <w:gridCol w:w="558"/>
        <w:gridCol w:w="558"/>
        <w:gridCol w:w="558"/>
        <w:gridCol w:w="792"/>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Notary Public in and for the State of Texas</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(PERSONALIZED SEAL)</w:t>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6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333" w:before="100" w:after="100"/>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bidi w:val="0"/>
        <w:spacing w:lineRule="auto" w:line="333"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following subsidiaries of Matador Resources Company (the “Company”) were guarantors of the Company’s 5.875% Senior Notes due 2026.</w:t>
      </w:r>
    </w:p>
    <w:tbl>
      <w:tblPr>
        <w:tblW w:w="5727" w:type="dxa"/>
        <w:jc w:val="left"/>
        <w:tblInd w:w="0" w:type="dxa"/>
        <w:tblLayout w:type="fixed"/>
        <w:tblCellMar>
          <w:top w:w="28" w:type="dxa"/>
          <w:left w:w="28" w:type="dxa"/>
          <w:bottom w:w="28" w:type="dxa"/>
          <w:right w:w="28" w:type="dxa"/>
        </w:tblCellMar>
      </w:tblPr>
      <w:tblGrid>
        <w:gridCol w:w="1568"/>
        <w:gridCol w:w="1370"/>
        <w:gridCol w:w="1396"/>
        <w:gridCol w:w="109"/>
        <w:gridCol w:w="109"/>
        <w:gridCol w:w="109"/>
        <w:gridCol w:w="312"/>
        <w:gridCol w:w="312"/>
        <w:gridCol w:w="442"/>
      </w:tblGrid>
      <w:tr>
        <w:trPr/>
        <w:tc>
          <w:tcPr>
            <w:tcW w:w="156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w:t>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Delaware,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Southeast,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Production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Delaware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 Texas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Southeast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Hat Mesa,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LKE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Rockies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 Permian,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886" w:type="dxa"/>
        <w:jc w:val="left"/>
        <w:tblInd w:w="0" w:type="dxa"/>
        <w:tblLayout w:type="fixed"/>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742" w:type="dxa"/>
        <w:jc w:val="left"/>
        <w:tblInd w:w="0" w:type="dxa"/>
        <w:tblLayout w:type="fixed"/>
        <w:tblCellMar>
          <w:top w:w="28" w:type="dxa"/>
          <w:left w:w="28" w:type="dxa"/>
          <w:bottom w:w="28" w:type="dxa"/>
          <w:right w:w="28" w:type="dxa"/>
        </w:tblCellMar>
      </w:tblPr>
      <w:tblGrid>
        <w:gridCol w:w="473"/>
        <w:gridCol w:w="415"/>
        <w:gridCol w:w="417"/>
        <w:gridCol w:w="898"/>
        <w:gridCol w:w="898"/>
        <w:gridCol w:w="898"/>
        <w:gridCol w:w="510"/>
        <w:gridCol w:w="510"/>
        <w:gridCol w:w="72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2024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86" w:type="dxa"/>
        <w:jc w:val="left"/>
        <w:tblInd w:w="0" w:type="dxa"/>
        <w:tblLayout w:type="fixed"/>
        <w:tblCellMar>
          <w:top w:w="28" w:type="dxa"/>
          <w:left w:w="28" w:type="dxa"/>
          <w:bottom w:w="28" w:type="dxa"/>
          <w:right w:w="28" w:type="dxa"/>
        </w:tblCellMar>
      </w:tblPr>
      <w:tblGrid>
        <w:gridCol w:w="473"/>
        <w:gridCol w:w="415"/>
        <w:gridCol w:w="417"/>
        <w:gridCol w:w="1068"/>
        <w:gridCol w:w="1068"/>
        <w:gridCol w:w="1073"/>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March 31, 2024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743" w:type="dxa"/>
        <w:jc w:val="left"/>
        <w:tblInd w:w="0" w:type="dxa"/>
        <w:tblLayout w:type="fixed"/>
        <w:tblCellMar>
          <w:top w:w="28" w:type="dxa"/>
          <w:left w:w="28" w:type="dxa"/>
          <w:bottom w:w="28" w:type="dxa"/>
          <w:right w:w="28" w:type="dxa"/>
        </w:tblCellMar>
      </w:tblPr>
      <w:tblGrid>
        <w:gridCol w:w="473"/>
        <w:gridCol w:w="415"/>
        <w:gridCol w:w="417"/>
        <w:gridCol w:w="1193"/>
        <w:gridCol w:w="1193"/>
        <w:gridCol w:w="1198"/>
        <w:gridCol w:w="250"/>
        <w:gridCol w:w="250"/>
        <w:gridCol w:w="3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0006/000119312523013640/d428449dex21.htm" TargetMode="External"/><Relationship Id="rId3" Type="http://schemas.openxmlformats.org/officeDocument/2006/relationships/hyperlink" Target="http://www.sec.gov/Archives/edgar/data/1520006/000152000617000188/a20170630mtdr10q-exhibit32.htm" TargetMode="External"/><Relationship Id="rId4" Type="http://schemas.openxmlformats.org/officeDocument/2006/relationships/hyperlink" Target="http://www.sec.gov/Archives/edgar/data/1520006/000152000617000188/a20170630mtdr10q-exhibit33.htm" TargetMode="External"/><Relationship Id="rId5" Type="http://schemas.openxmlformats.org/officeDocument/2006/relationships/hyperlink" Target="http://www.sec.gov/Archives/edgar/data/1520006/000152000617000188/a20170630mtdr10q-exhibit34.htm" TargetMode="External"/><Relationship Id="rId6" Type="http://schemas.openxmlformats.org/officeDocument/2006/relationships/hyperlink" Target="http://www.sec.gov/Archives/edgar/data/1520006/000152000618000051/a20171231mtdr8k-amendedbyl.htm" TargetMode="External"/><Relationship Id="rId7" Type="http://schemas.openxmlformats.org/officeDocument/2006/relationships/hyperlink" Target="http://www.sec.gov/Archives/edgar/data/1520006/000119312524084849/d797085dex41.htm" TargetMode="External"/><Relationship Id="rId8" Type="http://schemas.openxmlformats.org/officeDocument/2006/relationships/hyperlink" Target="http://www.sec.gov/Archives/edgar/data/1520006/000119312524075954/d811227d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35306</Words>
  <Characters>195762</Characters>
  <CharactersWithSpaces>229893</CharactersWithSpaces>
  <Paragraphs>2508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