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420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260" w:hanging="465"/>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0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26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3"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6520" w:type="dxa"/>
            <w:vAlign w:val="bottom"/>
          </w:tcPr>
          <w:p>
            <w:pPr>
              <w:jc w:val="center"/>
              <w:ind w:right="3439"/>
              <w:spacing w:after="0"/>
              <w:rPr>
                <w:sz w:val="20"/>
                <w:szCs w:val="20"/>
                <w:color w:val="auto"/>
              </w:rPr>
            </w:pPr>
            <w:r>
              <w:rPr>
                <w:rFonts w:ascii="Arial" w:cs="Arial" w:eastAsia="Arial" w:hAnsi="Arial"/>
                <w:sz w:val="18"/>
                <w:szCs w:val="18"/>
                <w:b w:val="1"/>
                <w:bCs w:val="1"/>
                <w:color w:val="auto"/>
                <w:w w:val="86"/>
              </w:rPr>
              <w:t>Texas</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6520" w:type="dxa"/>
            <w:vAlign w:val="bottom"/>
          </w:tcPr>
          <w:p>
            <w:pPr>
              <w:jc w:val="center"/>
              <w:ind w:right="3439"/>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43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right"/>
              <w:ind w:right="4119"/>
              <w:spacing w:after="0"/>
              <w:rPr>
                <w:sz w:val="20"/>
                <w:szCs w:val="20"/>
                <w:color w:val="auto"/>
              </w:rPr>
            </w:pPr>
            <w:r>
              <w:rPr>
                <w:rFonts w:ascii="Arial" w:cs="Arial" w:eastAsia="Arial" w:hAnsi="Arial"/>
                <w:sz w:val="18"/>
                <w:szCs w:val="18"/>
                <w:b w:val="1"/>
                <w:bCs w:val="1"/>
                <w:color w:val="auto"/>
                <w:w w:val="90"/>
              </w:rPr>
              <w:t>5400 LBJ Freeway, Suite 1500</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70"/>
        </w:trPr>
        <w:tc>
          <w:tcPr>
            <w:tcW w:w="6520" w:type="dxa"/>
            <w:vAlign w:val="bottom"/>
          </w:tcPr>
          <w:p>
            <w:pPr>
              <w:jc w:val="right"/>
              <w:ind w:right="4479"/>
              <w:spacing w:after="0"/>
              <w:rPr>
                <w:sz w:val="20"/>
                <w:szCs w:val="20"/>
                <w:color w:val="auto"/>
              </w:rPr>
            </w:pPr>
            <w:r>
              <w:rPr>
                <w:rFonts w:ascii="Arial" w:cs="Arial" w:eastAsia="Arial" w:hAnsi="Arial"/>
                <w:sz w:val="18"/>
                <w:szCs w:val="18"/>
                <w:b w:val="1"/>
                <w:bCs w:val="1"/>
                <w:color w:val="auto"/>
              </w:rPr>
              <w:t>Dallas, Texas</w:t>
            </w:r>
          </w:p>
        </w:tc>
        <w:tc>
          <w:tcPr>
            <w:tcW w:w="1240" w:type="dxa"/>
            <w:vAlign w:val="bottom"/>
          </w:tcPr>
          <w:p>
            <w:pPr>
              <w:spacing w:after="0"/>
              <w:rPr>
                <w:sz w:val="23"/>
                <w:szCs w:val="23"/>
                <w:color w:val="auto"/>
              </w:rPr>
            </w:pPr>
          </w:p>
        </w:tc>
      </w:tr>
      <w:tr>
        <w:trPr>
          <w:trHeight w:val="218"/>
        </w:trPr>
        <w:tc>
          <w:tcPr>
            <w:tcW w:w="65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6520" w:type="dxa"/>
            <w:vAlign w:val="bottom"/>
          </w:tcPr>
          <w:p>
            <w:pPr>
              <w:jc w:val="right"/>
              <w:ind w:right="1759"/>
              <w:spacing w:after="0"/>
              <w:rPr>
                <w:sz w:val="20"/>
                <w:szCs w:val="20"/>
                <w:color w:val="auto"/>
              </w:rPr>
            </w:pPr>
            <w:r>
              <w:rPr>
                <w:rFonts w:ascii="Arial" w:cs="Arial" w:eastAsia="Arial" w:hAnsi="Arial"/>
                <w:sz w:val="18"/>
                <w:szCs w:val="18"/>
                <w:b w:val="1"/>
                <w:bCs w:val="1"/>
                <w:color w:val="auto"/>
              </w:rPr>
              <w:t>(972) 371-5200</w:t>
            </w:r>
          </w:p>
        </w:tc>
        <w:tc>
          <w:tcPr>
            <w:tcW w:w="1240" w:type="dxa"/>
            <w:vAlign w:val="bottom"/>
          </w:tcPr>
          <w:p>
            <w:pPr>
              <w:spacing w:after="0"/>
              <w:rPr>
                <w:sz w:val="24"/>
                <w:szCs w:val="24"/>
                <w:color w:val="auto"/>
              </w:rPr>
            </w:pPr>
          </w:p>
        </w:tc>
      </w:tr>
      <w:tr>
        <w:trPr>
          <w:trHeight w:val="186"/>
        </w:trPr>
        <w:tc>
          <w:tcPr>
            <w:tcW w:w="6520" w:type="dxa"/>
            <w:vAlign w:val="bottom"/>
          </w:tcPr>
          <w:p>
            <w:pPr>
              <w:jc w:val="center"/>
              <w:ind w:left="16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40" w:type="dxa"/>
            <w:vAlign w:val="bottom"/>
          </w:tcPr>
          <w:p>
            <w:pPr>
              <w:spacing w:after="0"/>
              <w:rPr>
                <w:sz w:val="16"/>
                <w:szCs w:val="16"/>
                <w:color w:val="auto"/>
              </w:rPr>
            </w:pPr>
          </w:p>
        </w:tc>
      </w:tr>
      <w:tr>
        <w:trPr>
          <w:trHeight w:val="209"/>
        </w:trPr>
        <w:tc>
          <w:tcPr>
            <w:tcW w:w="6520" w:type="dxa"/>
            <w:vAlign w:val="bottom"/>
          </w:tcPr>
          <w:p>
            <w:pPr>
              <w:jc w:val="right"/>
              <w:ind w:right="39"/>
              <w:spacing w:after="0"/>
              <w:rPr>
                <w:sz w:val="20"/>
                <w:szCs w:val="20"/>
                <w:color w:val="auto"/>
              </w:rPr>
            </w:pPr>
            <w:r>
              <w:rPr>
                <w:rFonts w:ascii="Arial" w:cs="Arial" w:eastAsia="Arial" w:hAnsi="Arial"/>
                <w:sz w:val="16"/>
                <w:szCs w:val="16"/>
                <w:color w:val="auto"/>
              </w:rPr>
              <w:t>_________________________________________________________</w:t>
            </w:r>
          </w:p>
        </w:tc>
        <w:tc>
          <w:tcPr>
            <w:tcW w:w="1240" w:type="dxa"/>
            <w:vAlign w:val="bottom"/>
          </w:tcPr>
          <w:p>
            <w:pPr>
              <w:spacing w:after="0"/>
              <w:rPr>
                <w:sz w:val="18"/>
                <w:szCs w:val="18"/>
                <w:color w:val="auto"/>
              </w:rPr>
            </w:pPr>
          </w:p>
        </w:tc>
      </w:tr>
    </w:tbl>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0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MTDR</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9" w:lineRule="exact"/>
        <w:rPr>
          <w:sz w:val="24"/>
          <w:szCs w:val="24"/>
          <w:color w:val="auto"/>
        </w:rPr>
      </w:pPr>
    </w:p>
    <w:p>
      <w:pPr>
        <w:ind w:right="2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6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July 31, 2019, there were 116,646,526 shares of the registrant’s common stock, par value $0.01 per share, outstanding.</w:t>
      </w:r>
    </w:p>
    <w:p>
      <w:pPr>
        <w:sectPr>
          <w:pgSz w:w="11900" w:h="16838" w:orient="portrait"/>
          <w:cols w:equalWidth="0" w:num="1">
            <w:col w:w="11260"/>
          </w:cols>
          <w:pgMar w:left="240" w:top="274"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FOR THE QUARTER ENDED JUNE 30, 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0"/>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 Unaudited</w:t>
              </w:r>
            </w:hyperlink>
          </w:p>
        </w:tc>
        <w:tc>
          <w:tcPr>
            <w:tcW w:w="712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2019 and December 31, 2018</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10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2019 and 2018</w:t>
              </w:r>
            </w:hyperlink>
          </w:p>
        </w:tc>
        <w:tc>
          <w:tcPr>
            <w:tcW w:w="1780" w:type="dxa"/>
            <w:vAlign w:val="bottom"/>
            <w:gridSpan w:val="2"/>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Shareholders’ Equity for the Three and Six Months Ended June 30, 2019 and 2018</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2019 and 2018</w:t>
              </w:r>
            </w:hyperlink>
          </w:p>
        </w:tc>
        <w:tc>
          <w:tcPr>
            <w:tcW w:w="200" w:type="dxa"/>
            <w:vAlign w:val="bottom"/>
          </w:tcPr>
          <w:p>
            <w:pPr>
              <w:spacing w:after="0"/>
              <w:rPr>
                <w:sz w:val="24"/>
                <w:szCs w:val="24"/>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4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380" w:type="dxa"/>
            <w:vAlign w:val="bottom"/>
            <w:gridSpan w:val="4"/>
          </w:tcPr>
          <w:p>
            <w:pPr>
              <w:spacing w:after="0"/>
              <w:rPr>
                <w:sz w:val="21"/>
                <w:szCs w:val="21"/>
                <w:color w:val="auto"/>
              </w:rPr>
            </w:pPr>
          </w:p>
        </w:tc>
        <w:tc>
          <w:tcPr>
            <w:tcW w:w="2500" w:type="dxa"/>
            <w:vAlign w:val="bottom"/>
            <w:gridSpan w:val="3"/>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4"/>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 — OTHER INFORMATION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832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6. Exhibits</w:t>
              </w:r>
            </w:hyperlink>
          </w:p>
        </w:tc>
        <w:tc>
          <w:tcPr>
            <w:tcW w:w="3740" w:type="dxa"/>
            <w:vAlign w:val="bottom"/>
            <w:gridSpan w:val="8"/>
          </w:tcPr>
          <w:p>
            <w:pPr>
              <w:spacing w:after="0"/>
              <w:rPr>
                <w:sz w:val="21"/>
                <w:szCs w:val="21"/>
                <w:color w:val="auto"/>
              </w:rPr>
            </w:pPr>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59,950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64,545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24,812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19,439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Oil and natural gas revenues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66,921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68,161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Joint interest billings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61,872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61,831</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18,386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49,929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Lease and well equipment inventory</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20,281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17,564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273,384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305,685</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at cost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Oil and natural gas properties, full-cost method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Evaluated</w:t>
            </w: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4,094,417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3,780,236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Unproved and unevaluated</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1,234,176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1,199,511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properties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492,420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428,025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property and equipment</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25,170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22,041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accumulated depletion, depreciation and amortization</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(2,462,840)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(2,306,949)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Net property and equipment</w:t>
            </w:r>
          </w:p>
        </w:tc>
        <w:tc>
          <w:tcPr>
            <w:tcW w:w="2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3,383,343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3,122,864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20,457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85,373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6,512</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other assets</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94,724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assets</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3,751,451</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100"/>
        </w:trPr>
        <w:tc>
          <w:tcPr>
            <w:tcW w:w="85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LIABILITIES AND SHAREHOLDERS’ EQUITY</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19,821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66,970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191,608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170,855</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Royalties payable</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66,130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64,776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Amounts due to affiliates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 from joint interest owners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10,968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Amounts due to joint ventures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42,703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336,775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330,022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Borrowings under Credit Agreement</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205,000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San Mateo Credit Facility</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220,000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Senior unsecured notes payable</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1,038,625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1,037,837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13,221</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2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44,728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long-term liabilities</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1,574,073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1,345,839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Commitments and contingencies (Note 10)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380"/>
              <w:spacing w:after="0" w:line="157" w:lineRule="exact"/>
              <w:rPr>
                <w:sz w:val="20"/>
                <w:szCs w:val="20"/>
                <w:color w:val="auto"/>
              </w:rPr>
            </w:pPr>
            <w:r>
              <w:rPr>
                <w:rFonts w:ascii="Arial" w:cs="Arial" w:eastAsia="Arial" w:hAnsi="Arial"/>
                <w:sz w:val="14"/>
                <w:szCs w:val="14"/>
                <w:color w:val="auto"/>
                <w:w w:val="98"/>
              </w:rPr>
              <w:t>Common stock - $0.01 par value, 160,000,000 shares authorized; 116,866,013 and 116,374,503 shares issued; and 116,647,704 and</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540"/>
              <w:spacing w:after="0"/>
              <w:rPr>
                <w:sz w:val="20"/>
                <w:szCs w:val="20"/>
                <w:color w:val="auto"/>
              </w:rPr>
            </w:pPr>
            <w:r>
              <w:rPr>
                <w:rFonts w:ascii="Arial" w:cs="Arial" w:eastAsia="Arial" w:hAnsi="Arial"/>
                <w:sz w:val="14"/>
                <w:szCs w:val="14"/>
                <w:color w:val="auto"/>
              </w:rPr>
              <w:t>116,353,590 shares outstanding, respectively</w:t>
            </w:r>
          </w:p>
        </w:tc>
        <w:tc>
          <w:tcPr>
            <w:tcW w:w="2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1,955,504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1,924,408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(216,472)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(236,277)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at cost, 218,309 and 20,913 shares, respectively</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74"/>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ind w:left="1140"/>
              <w:spacing w:after="0"/>
              <w:rPr>
                <w:sz w:val="20"/>
                <w:szCs w:val="20"/>
                <w:color w:val="auto"/>
              </w:rPr>
            </w:pPr>
            <w:r>
              <w:rPr>
                <w:rFonts w:ascii="Arial" w:cs="Arial" w:eastAsia="Arial" w:hAnsi="Arial"/>
                <w:sz w:val="14"/>
                <w:szCs w:val="14"/>
                <w:color w:val="auto"/>
              </w:rPr>
              <w:t>Total Matador Resources Company shareholders’ equity</w:t>
            </w:r>
          </w:p>
        </w:tc>
        <w:tc>
          <w:tcPr>
            <w:tcW w:w="3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1,736,477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1,688,880</w:t>
            </w: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104,126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90,777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3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1,840,603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1,779,657</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3,751,451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85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211,060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209,019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404,329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390,973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Sales of purchased natural gas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 (loss)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Unrealized gain (loss) on derivatives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211,367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402,547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Lease operating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47,154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Purchased natural gas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122,207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37,295</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164,915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137,374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331,264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255,192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147,355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(16,495)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(16,794)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130,561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income tax provision</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130,561</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(10,861)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119,700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116,571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112,706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116,469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110,809</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113,056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111,280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$ 1,164</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$1,924,408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(236,277)</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1,688,880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90,777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1,779,657</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Issuance of common stock pursuant to directors’ and advisors’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Contribution related to formation of San Mateo I, net of tax of</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million (see Note 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Contribution of property related to formation of San Mateo II</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(see Note 7)</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12,331</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(8,330)</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period net (loss) income</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4"/>
              </w:rPr>
              <w:t>116,594</w:t>
            </w:r>
          </w:p>
        </w:tc>
        <w:tc>
          <w:tcPr>
            <w:tcW w:w="100" w:type="dxa"/>
            <w:vAlign w:val="bottom"/>
          </w:tcPr>
          <w:p>
            <w:pPr>
              <w:spacing w:after="0"/>
              <w:rPr>
                <w:sz w:val="14"/>
                <w:szCs w:val="14"/>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1,946,466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(253,224)</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(3,585)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1,690,823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100,706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1,791,529</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4"/>
              </w:rPr>
              <w:t>Issuance of common stock pursuant to directors’ and advisors’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Current period net income</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36,752</w:t>
            </w:r>
          </w:p>
        </w:tc>
        <w:tc>
          <w:tcPr>
            <w:tcW w:w="12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116,866</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$ 1,169</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$1,955,504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(216,472)</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(3,724)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1,736,477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104,126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1,840,603</w:t>
            </w:r>
          </w:p>
        </w:tc>
        <w:tc>
          <w:tcPr>
            <w:tcW w:w="0" w:type="dxa"/>
            <w:vAlign w:val="bottom"/>
          </w:tcPr>
          <w:p>
            <w:pPr>
              <w:spacing w:after="0"/>
              <w:rPr>
                <w:sz w:val="1"/>
                <w:szCs w:val="1"/>
                <w:color w:val="auto"/>
              </w:rPr>
            </w:pPr>
          </w:p>
        </w:tc>
      </w:tr>
      <w:tr>
        <w:trPr>
          <w:trHeight w:val="60"/>
        </w:trPr>
        <w:tc>
          <w:tcPr>
            <w:tcW w:w="370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 related to formation of San Mateo I (see Note 7)</w:t>
      </w:r>
    </w:p>
    <w:p>
      <w:pPr>
        <w:spacing w:after="0" w:line="121"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109,347</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1,684,188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(450,590)</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(2,446)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1,232,246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130,520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1,362,766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24,500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(5,635)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65,637</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116,461</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$1,916,821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(390,784)</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(2,670)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1,524,532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155,216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1,679,748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-4407535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-4012565</wp:posOffset>
            </wp:positionV>
            <wp:extent cx="72466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-3566795</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-3172460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-2778125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-2383155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-1988820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-1645920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-1200150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-805180</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3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5" w:right="239" w:bottom="1016"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Unrealized loss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Inventory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amend credit facilities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San Mateo I</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under financing lease obligations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20" w:type="dxa"/>
            <w:vAlign w:val="bottom"/>
          </w:tcPr>
          <w:p>
            <w:pPr>
              <w:jc w:val="right"/>
              <w:ind w:right="26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6"/>
              <w:spacing w:after="0"/>
              <w:rPr>
                <w:sz w:val="20"/>
                <w:szCs w:val="20"/>
                <w:color w:val="auto"/>
              </w:rPr>
            </w:pPr>
            <w:r>
              <w:rPr>
                <w:rFonts w:ascii="Arial" w:cs="Arial" w:eastAsia="Arial" w:hAnsi="Arial"/>
                <w:sz w:val="18"/>
                <w:szCs w:val="18"/>
                <w:b w:val="1"/>
                <w:bCs w:val="1"/>
                <w:color w:val="auto"/>
              </w:rPr>
              <w:t>2018</w:t>
            </w:r>
          </w:p>
        </w:tc>
      </w:tr>
      <w:tr>
        <w:trPr>
          <w:trHeight w:val="27"/>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2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35,587</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130,561</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39,562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(11,845)</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156,999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122,207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739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9,076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8,945</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11,845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411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4"/>
                <w:szCs w:val="14"/>
                <w:color w:val="auto"/>
              </w:rPr>
              <w:t>—</w:t>
            </w:r>
          </w:p>
        </w:tc>
      </w:tr>
    </w:tbl>
    <w:p>
      <w:pPr>
        <w:spacing w:after="0" w:line="358" w:lineRule="exact"/>
        <w:rPr>
          <w:sz w:val="20"/>
          <w:szCs w:val="20"/>
          <w:color w:val="auto"/>
        </w:rPr>
      </w:pPr>
    </w:p>
    <w:p>
      <w:pPr>
        <w:ind w:left="1680" w:hanging="1013"/>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(9,321)</w:t>
      </w:r>
    </w:p>
    <w:p>
      <w:pPr>
        <w:spacing w:after="0" w:line="109"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(3,456)</w:t>
      </w:r>
      <w:r>
        <w:rPr>
          <w:rFonts w:ascii="Arial" w:cs="Arial" w:eastAsia="Arial" w:hAnsi="Arial"/>
          <w:sz w:val="13"/>
          <w:szCs w:val="13"/>
          <w:color w:val="auto"/>
        </w:rPr>
        <w:t>(8,611)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(2,167)</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(48,746)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(883)</w:t>
            </w:r>
          </w:p>
        </w:tc>
      </w:tr>
      <w:tr>
        <w:trPr>
          <w:trHeight w:val="270"/>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8,393</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16,025</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44"/>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194,497</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254,208</w:t>
            </w:r>
          </w:p>
        </w:tc>
      </w:tr>
      <w:tr>
        <w:trPr>
          <w:trHeight w:val="540"/>
        </w:trPr>
        <w:tc>
          <w:tcPr>
            <w:tcW w:w="1040" w:type="dxa"/>
            <w:vAlign w:val="bottom"/>
          </w:tcPr>
          <w:p>
            <w:pPr>
              <w:jc w:val="right"/>
              <w:spacing w:after="0"/>
              <w:rPr>
                <w:sz w:val="20"/>
                <w:szCs w:val="20"/>
                <w:color w:val="auto"/>
              </w:rPr>
            </w:pPr>
            <w:r>
              <w:rPr>
                <w:rFonts w:ascii="Arial" w:cs="Arial" w:eastAsia="Arial" w:hAnsi="Arial"/>
                <w:sz w:val="14"/>
                <w:szCs w:val="14"/>
                <w:color w:val="auto"/>
              </w:rPr>
              <w:t>(349,915)</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(421,595)</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(64,106)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(78,302)</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(1,258)</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21,533</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7,593</w:t>
            </w:r>
          </w:p>
        </w:tc>
      </w:tr>
      <w:tr>
        <w:trPr>
          <w:trHeight w:val="244"/>
        </w:trPr>
        <w:tc>
          <w:tcPr>
            <w:tcW w:w="1040" w:type="dxa"/>
            <w:vAlign w:val="bottom"/>
          </w:tcPr>
          <w:p>
            <w:pPr>
              <w:jc w:val="right"/>
              <w:spacing w:after="0"/>
              <w:rPr>
                <w:sz w:val="20"/>
                <w:szCs w:val="20"/>
                <w:color w:val="auto"/>
              </w:rPr>
            </w:pPr>
            <w:r>
              <w:rPr>
                <w:rFonts w:ascii="Arial" w:cs="Arial" w:eastAsia="Arial" w:hAnsi="Arial"/>
                <w:sz w:val="14"/>
                <w:szCs w:val="14"/>
                <w:color w:val="auto"/>
              </w:rPr>
              <w:t>(394,694)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(493,562)</w:t>
            </w:r>
          </w:p>
        </w:tc>
      </w:tr>
    </w:tbl>
    <w:p>
      <w:pPr>
        <w:spacing w:after="0" w:line="358"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(45,000)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165,000</w:t>
      </w:r>
      <w:r>
        <w:rPr>
          <w:rFonts w:ascii="Arial" w:cs="Arial" w:eastAsia="Arial" w:hAnsi="Arial"/>
          <w:sz w:val="13"/>
          <w:szCs w:val="13"/>
          <w:color w:val="auto"/>
        </w:rPr>
        <w:t>45,000</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20,000—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226,612</w:t>
            </w:r>
          </w:p>
        </w:tc>
      </w:tr>
      <w:tr>
        <w:trPr>
          <w:trHeight w:val="270"/>
        </w:trPr>
        <w:tc>
          <w:tcPr>
            <w:tcW w:w="2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464</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14,700</w:t>
            </w:r>
          </w:p>
        </w:tc>
      </w:tr>
      <w:tr>
        <w:trPr>
          <w:trHeight w:val="270"/>
        </w:trPr>
        <w:tc>
          <w:tcPr>
            <w:tcW w:w="2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19,831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53,900</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(10,535)</w:t>
            </w:r>
          </w:p>
        </w:tc>
      </w:tr>
      <w:tr>
        <w:trPr>
          <w:trHeight w:val="270"/>
        </w:trPr>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(4,683)</w:t>
            </w:r>
          </w:p>
        </w:tc>
      </w:tr>
      <w:tr>
        <w:trPr>
          <w:trHeight w:val="276"/>
        </w:trPr>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200,975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280,385</w:t>
            </w:r>
          </w:p>
        </w:tc>
      </w:tr>
      <w:tr>
        <w:trPr>
          <w:trHeight w:val="244"/>
        </w:trPr>
        <w:tc>
          <w:tcPr>
            <w:tcW w:w="2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41,031</w:t>
            </w:r>
          </w:p>
        </w:tc>
      </w:tr>
      <w:tr>
        <w:trPr>
          <w:trHeight w:val="276"/>
        </w:trPr>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83,984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102,482</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84,762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143,513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540" w:space="720"/>
            <w:col w:w="2160"/>
          </w:cols>
          <w:pgMar w:left="240" w:top="125" w:right="239" w:bottom="1016" w:gutter="0" w:footer="0" w:header="0"/>
          <w:type w:val="continuous"/>
        </w:sectPr>
      </w:pPr>
    </w:p>
    <w:p>
      <w:pPr>
        <w:ind w:left="40"/>
        <w:spacing w:after="0"/>
        <w:rPr>
          <w:sz w:val="20"/>
          <w:szCs w:val="20"/>
          <w:color w:val="auto"/>
        </w:rPr>
      </w:pPr>
      <w:r>
        <w:rPr>
          <w:rFonts w:ascii="Arial" w:cs="Arial" w:eastAsia="Arial" w:hAnsi="Arial"/>
          <w:sz w:val="14"/>
          <w:szCs w:val="14"/>
          <w:color w:val="auto"/>
        </w:rPr>
        <w:t>Supplemental disclosures of cash flow information (Note 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1016"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016"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2018 filed with the SEC on March 1, 2019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2019. Amounts as of December 31, 2018 are derived from the Company’s audited consolidated financial statements included in the Annual Report. Certain reclassifications have been made to the December 31, 2018 financial statement amounts in order to conform them to the June 30, 2019 presentations.</w:t>
      </w:r>
    </w:p>
    <w:p>
      <w:pPr>
        <w:spacing w:after="0" w:line="8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During the first quarter of 2019, the Company adopted Accounting Standards Update (“ASU”) 2016-02,</w:t>
      </w:r>
      <w:r>
        <w:rPr>
          <w:rFonts w:ascii="Arial" w:cs="Arial" w:eastAsia="Arial" w:hAnsi="Arial"/>
          <w:sz w:val="17"/>
          <w:szCs w:val="17"/>
          <w:i w:val="1"/>
          <w:iCs w:val="1"/>
          <w:color w:val="auto"/>
        </w:rPr>
        <w:t xml:space="preserve"> Leases (Topic 842)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amendments provided for in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 the recognition of lease assets and lease liabilities by lessees for those leases classified as operating leases under previous U.S. GAAP using a modified retrospective approach. The modified retrospective approach includes a number of optional practical expedients that the Company chose to apply. These practical expedients relate to (i) the identification and classification of leases that commenced before the effective date, (ii) the treatment of initial direct costs for leases that commenced before the effective date, (iii) the ability to use hindsight in evaluating lessee options to extend or terminate a lease or to purchase the underlying asset and (iv) the ability to initially apply the new lease standard at the adoption date. During the first quarter of 2019, the Company also adopted ASU 2018-01,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land easement practical expedient, and, as a result, the Company began evaluating land easements that are entered into or modified after December 31, 2018. See Note 3 for additional disclosures related to leases.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adoption of these ASUs resulted in the Company recording in the condensed consolidated balance sheet beginning January 1, 2019 certain of the Company’s compressor leases, drilling rig leases and office leases, which were previously considered operating leases and not reported on the Company’s condensed consolidated balance sheets. As such, upon adoption, the Company recorded (i) long-term right of use assets of $62.3 million, which are included in “Other assets” and “Other property and equipment,” and (ii) net right of use liabilities of $62.3 million, which are included in “Other current liabilities” and “Other long-term liabilities.” There was no cumulative-effect adjustment to the opening balance of accumulated deficit as a result of the adoption of these ASUs.</w:t>
      </w:r>
    </w:p>
    <w:p>
      <w:pPr>
        <w:spacing w:after="0" w:line="8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During the first quarter of 2019, the Company also adopted ASU 2018-07,</w:t>
      </w:r>
      <w:r>
        <w:rPr>
          <w:rFonts w:ascii="Arial" w:cs="Arial" w:eastAsia="Arial" w:hAnsi="Arial"/>
          <w:sz w:val="16"/>
          <w:szCs w:val="16"/>
          <w:i w:val="1"/>
          <w:iCs w:val="1"/>
          <w:color w:val="auto"/>
        </w:rPr>
        <w:t xml:space="preserve"> Compensation - Stock Compensation (Topic 718): Improvements to Nonemployee Share-Based Payment Accounting</w:t>
      </w:r>
      <w:r>
        <w:rPr>
          <w:rFonts w:ascii="Arial" w:cs="Arial" w:eastAsia="Arial" w:hAnsi="Arial"/>
          <w:sz w:val="16"/>
          <w:szCs w:val="16"/>
          <w:color w:val="auto"/>
        </w:rPr>
        <w:t>, which extends the scope of Topic 718 to include share-based payment transactions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acquisition of goods and services from nonemployees. Previously, the Company accounted for stock-based awards to special advisors and contractors under ASC 505-50 as liability instruments, and the fair value of the awards was recalculated each reporting period. Upon adoption, all such awards are now measured at fair value on the grant date and the resulting expense is recognized on a straight-line basis over the awards’ vesting periods. The transitional guidance requires entities to remeasure all unvested awards that are being accounted for under ASC 505-50 as liability instruments as of the beginning of the year in which this ASU is adopted. Adoption of this ASU did not have a material impact on the Company’s condensed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and six months ended June 30, 2019 and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397,448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Realized gain (loss) on derivatives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r>
      <w:tr>
        <w:trPr>
          <w:trHeight w:val="257"/>
        </w:trPr>
        <w:tc>
          <w:tcPr>
            <w:tcW w:w="51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241,704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211,367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415,593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402,547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343,288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61,041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76,543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234,382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397,448</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jc w:val="both"/>
        <w:ind w:right="80" w:firstLine="432"/>
        <w:spacing w:after="0" w:line="276"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six months ended June 30, 2019 and 2018, the cost center ceiling was higher than the capitalized costs of oil and natural gas properties, and, as a result, no impairment charge was necessary.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capitalized approximately $8.4 million and $6.8 million of its general and administrative costs and approximately $2.6 million and $2.6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of its interest expense for the three months ended June 30, 2019 and 2018, respectively. The Company capitalized approximately $16.8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 million of its general and administrative costs and approximately $4.2 million and $4.5 million of its interest expense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and 2018, respectively.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7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six months ended June 30, 2019 and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8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1900" w:type="dxa"/>
            <w:vAlign w:val="bottom"/>
            <w:gridSpan w:val="3"/>
          </w:tcPr>
          <w:p>
            <w:pPr>
              <w:ind w:left="114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ind w:left="1120"/>
              <w:spacing w:after="0"/>
              <w:rPr>
                <w:sz w:val="20"/>
                <w:szCs w:val="20"/>
                <w:color w:val="auto"/>
              </w:rPr>
            </w:pPr>
            <w:r>
              <w:rPr>
                <w:rFonts w:ascii="Arial" w:cs="Arial" w:eastAsia="Arial" w:hAnsi="Arial"/>
                <w:sz w:val="18"/>
                <w:szCs w:val="18"/>
                <w:b w:val="1"/>
                <w:bCs w:val="1"/>
                <w:color w:val="auto"/>
                <w:w w:val="97"/>
              </w:rPr>
              <w:t>June 30,</w:t>
            </w:r>
          </w:p>
        </w:tc>
        <w:tc>
          <w:tcPr>
            <w:tcW w:w="9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116,571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112,706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110,809</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57"/>
        </w:trPr>
        <w:tc>
          <w:tcPr>
            <w:tcW w:w="562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116,903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113,056</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111,280</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 total of 2.8 million options to purchase shares of Matador’s common stock were excluded from the diluted weighted average common shares outstanding for both the three and six months ended June 30, 2019 because their effects were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36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interim unaudited condensed consolidated balance sheet.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 used for the three months ended June 30, 2019 was 3.73%. For these purposes, the lease term includes options to extend the lease when it is reasonably certain that the Company will exercise such option. Leases with terms of 12 months or less at inception are not recorded on the interim unaudited condensed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interim unaudited condensed consolidated balance sheets.</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following table presents supplemental interim unaudited condensed consolidated statement of operations information related to lease expenses, on a gross basis, for the three and six months ended June 30, 2019 (in thousands). Lease payments represent gross payments to vendors, which, for certain of our operating assets, are partially offset by amounts received from other working interest owners in our operated wells.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Six Months Ended</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operating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Plant and other midstream services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64"/>
        </w:trPr>
        <w:tc>
          <w:tcPr>
            <w:tcW w:w="7660" w:type="dxa"/>
            <w:vAlign w:val="bottom"/>
          </w:tcPr>
          <w:p>
            <w:pPr>
              <w:ind w:left="500"/>
              <w:spacing w:after="0" w:line="264" w:lineRule="exact"/>
              <w:rPr>
                <w:sz w:val="20"/>
                <w:szCs w:val="20"/>
                <w:color w:val="auto"/>
              </w:rPr>
            </w:pPr>
            <w:r>
              <w:rPr>
                <w:rFonts w:ascii="Arial" w:cs="Arial" w:eastAsia="Arial" w:hAnsi="Arial"/>
                <w:sz w:val="18"/>
                <w:szCs w:val="18"/>
                <w:color w:val="auto"/>
              </w:rPr>
              <w:t>Total operating leases</w:t>
            </w:r>
            <w:r>
              <w:rPr>
                <w:rFonts w:ascii="Arial" w:cs="Arial" w:eastAsia="Arial" w:hAnsi="Arial"/>
                <w:sz w:val="25"/>
                <w:szCs w:val="25"/>
                <w:color w:val="auto"/>
                <w:vertAlign w:val="superscript"/>
              </w:rPr>
              <w:t>(1)</w:t>
            </w: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Lease operating</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and other midstream services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shd w:val="clear" w:color="auto" w:fill="CCEEFF"/>
          </w:tcPr>
          <w:p>
            <w:pPr>
              <w:ind w:left="500"/>
              <w:spacing w:after="0" w:line="264" w:lineRule="exact"/>
              <w:rPr>
                <w:sz w:val="20"/>
                <w:szCs w:val="20"/>
                <w:color w:val="auto"/>
              </w:rPr>
            </w:pPr>
            <w:r>
              <w:rPr>
                <w:rFonts w:ascii="Arial" w:cs="Arial" w:eastAsia="Arial" w:hAnsi="Arial"/>
                <w:sz w:val="18"/>
                <w:szCs w:val="18"/>
                <w:color w:val="auto"/>
              </w:rPr>
              <w:t>Total short-term leases</w:t>
            </w:r>
            <w:r>
              <w:rPr>
                <w:rFonts w:ascii="Arial" w:cs="Arial" w:eastAsia="Arial" w:hAnsi="Arial"/>
                <w:sz w:val="25"/>
                <w:szCs w:val="25"/>
                <w:color w:val="auto"/>
                <w:vertAlign w:val="superscript"/>
              </w:rPr>
              <w:t>(2)(3)</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7660" w:type="dxa"/>
            <w:vAlign w:val="bottom"/>
          </w:tcPr>
          <w:p>
            <w:pPr>
              <w:ind w:left="820"/>
              <w:spacing w:after="0"/>
              <w:rPr>
                <w:sz w:val="20"/>
                <w:szCs w:val="20"/>
                <w:color w:val="auto"/>
              </w:rPr>
            </w:pPr>
            <w:r>
              <w:rPr>
                <w:rFonts w:ascii="Arial" w:cs="Arial" w:eastAsia="Arial" w:hAnsi="Arial"/>
                <w:sz w:val="18"/>
                <w:szCs w:val="18"/>
                <w:color w:val="auto"/>
              </w:rPr>
              <w:t>Total lease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8,452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0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Does not include gross payments related to drilling rig leases of $8.2 million and $13.5 million for the three and six months ended June 30, 2019, respectively, that were capitalized and recorded in “Oil and natural gas properties, full-cost method” in the interim unaudited condensed consolidated balance sheet at June 30, 2019.</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These costs are related to leases that are not recorded as right of use assets or lease liabilities in the interim unaudited condensed consolidated balance sheet as they are short-term leases.</w:t>
      </w:r>
    </w:p>
    <w:p>
      <w:pPr>
        <w:spacing w:after="0" w:line="120" w:lineRule="exact"/>
        <w:rPr>
          <w:rFonts w:ascii="Arial" w:cs="Arial" w:eastAsia="Arial" w:hAnsi="Arial"/>
          <w:sz w:val="13"/>
          <w:szCs w:val="13"/>
          <w:color w:val="auto"/>
        </w:rPr>
      </w:pPr>
    </w:p>
    <w:p>
      <w:pPr>
        <w:ind w:left="340" w:right="380" w:hanging="332"/>
        <w:spacing w:after="0" w:line="31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Does not include gross payments related to short-term drilling rig leases and other equipment rentals of $10.7 million and $37.2 million for the three and six months ended June 30, 2019, respectively, that were capitalized and recorded in “Oil and natural gas properties, full-cost method” in the interim unaudited condensed consolidated balance sheet at June 30, 2019.</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 — Continued</w:t>
      </w:r>
    </w:p>
    <w:p>
      <w:pPr>
        <w:spacing w:after="0" w:line="200" w:lineRule="exact"/>
        <w:rPr>
          <w:sz w:val="20"/>
          <w:szCs w:val="20"/>
          <w:color w:val="auto"/>
        </w:rPr>
      </w:pPr>
    </w:p>
    <w:p>
      <w:pPr>
        <w:spacing w:after="0" w:line="38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supplemental interim unaudited condensed consolidated balance sheet information related to leases as of June 30, 2019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9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304"/>
        </w:trPr>
        <w:tc>
          <w:tcPr>
            <w:tcW w:w="9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78,845</w:t>
            </w:r>
          </w:p>
        </w:tc>
      </w:tr>
      <w:tr>
        <w:trPr>
          <w:trHeight w:val="237"/>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(40,870)</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(43,012)</w:t>
            </w:r>
          </w:p>
        </w:tc>
      </w:tr>
      <w:tr>
        <w:trPr>
          <w:trHeight w:val="27"/>
        </w:trPr>
        <w:tc>
          <w:tcPr>
            <w:tcW w:w="9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(83,882)</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9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Other property and equipment, at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2,846</w:t>
            </w:r>
          </w:p>
        </w:tc>
      </w:tr>
      <w:tr>
        <w:trPr>
          <w:trHeight w:val="27"/>
        </w:trPr>
        <w:tc>
          <w:tcPr>
            <w:tcW w:w="9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97"/>
        </w:trPr>
        <w:tc>
          <w:tcPr>
            <w:tcW w:w="96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1,981</w:t>
            </w:r>
          </w:p>
        </w:tc>
      </w:tr>
      <w:tr>
        <w:trPr>
          <w:trHeight w:val="237"/>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7"/>
        </w:trPr>
        <w:tc>
          <w:tcPr>
            <w:tcW w:w="9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financing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presents supplemental interim unaudited condensed consolidated cash flow information related to lease payments for the six months ended June 30, 2019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9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9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related to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Operating cash payments for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6,790</w:t>
            </w:r>
          </w:p>
        </w:tc>
      </w:tr>
      <w:tr>
        <w:trPr>
          <w:trHeight w:val="27"/>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cash payments for 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13,509</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Financing cash payments for financing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Right of use assets obtained in exchange for lease obligations entered into during the period</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28,884</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471</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maturities of lease liabilities at June 30, 2019 (in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Weighted-Average Remaining Lease Term</w:t>
            </w:r>
          </w:p>
        </w:tc>
        <w:tc>
          <w:tcPr>
            <w:tcW w:w="5140" w:type="dxa"/>
            <w:vAlign w:val="bottom"/>
          </w:tcPr>
          <w:p>
            <w:pPr>
              <w:spacing w:after="0"/>
              <w:rPr>
                <w:sz w:val="20"/>
                <w:szCs w:val="20"/>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4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6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702"/>
        </w:trPr>
        <w:tc>
          <w:tcPr>
            <w:tcW w:w="4460" w:type="dxa"/>
            <w:vAlign w:val="bottom"/>
          </w:tcPr>
          <w:p>
            <w:pPr>
              <w:spacing w:after="0"/>
              <w:rPr>
                <w:sz w:val="24"/>
                <w:szCs w:val="24"/>
                <w:color w:val="auto"/>
              </w:rPr>
            </w:pPr>
          </w:p>
        </w:tc>
        <w:tc>
          <w:tcPr>
            <w:tcW w:w="5140" w:type="dxa"/>
            <w:vAlign w:val="bottom"/>
          </w:tcPr>
          <w:p>
            <w:pPr>
              <w:jc w:val="right"/>
              <w:ind w:right="3710"/>
              <w:spacing w:after="0"/>
              <w:rPr>
                <w:sz w:val="20"/>
                <w:szCs w:val="20"/>
                <w:color w:val="auto"/>
              </w:rPr>
            </w:pPr>
            <w:r>
              <w:rPr>
                <w:rFonts w:ascii="Arial" w:cs="Arial" w:eastAsia="Arial" w:hAnsi="Arial"/>
                <w:sz w:val="18"/>
                <w:szCs w:val="18"/>
                <w:color w:val="auto"/>
              </w:rPr>
              <w:t>12</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 — Continued</w:t>
      </w:r>
    </w:p>
    <w:p>
      <w:pPr>
        <w:spacing w:after="0" w:line="36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a schedule of future minimum lease payments required under all lease agreements as of June 30, 2019 and December 31, 2018, respectively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4"/>
          </w:tcPr>
          <w:p>
            <w:pPr>
              <w:jc w:val="right"/>
              <w:ind w:right="159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Financing Leases</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32,051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current obligations</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Financing Leases</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current obligations</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RETIREMENT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the Company’s asset retirement obligations for the six months ended June 30,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31,086</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Divestitures during period</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37"/>
        </w:trPr>
        <w:tc>
          <w:tcPr>
            <w:tcW w:w="10400" w:type="dxa"/>
            <w:vAlign w:val="bottom"/>
          </w:tcPr>
          <w:p>
            <w:pPr>
              <w:ind w:left="4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32,242</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37"/>
        </w:trPr>
        <w:tc>
          <w:tcPr>
            <w:tcW w:w="10400" w:type="dxa"/>
            <w:vAlign w:val="bottom"/>
          </w:tcPr>
          <w:p>
            <w:pPr>
              <w:ind w:left="4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34290</wp:posOffset>
            </wp:positionV>
            <wp:extent cx="6515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June 30, 2019 and July 31, 2019, the Company had $1.05 billion of outstanding senior notes due 2026 (the “Notes”), $205.0 million in borrowings outstanding under its revolving credit facility (the “Credit Agreement”) and approximately $13.6 million in outstanding letters of credit issued pursuant to the Credit Agreement.</w:t>
      </w:r>
    </w:p>
    <w:p>
      <w:pPr>
        <w:spacing w:after="0" w:line="1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At June 30, 2019 and July 31, 2019, San Mateo I had $240.0 million in borrowings outstanding under its revolving credit facility (the “San Mateo Credit Facility”) and approximately $16.2 million in outstanding letters of credit issued pursuant to the San Mateo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2019, the lenders completed their review of the Company’s proved oil and natural gas reserves at December 31, 2018, and, as a result, the borrowing base was increased to $900.0 million. The Company elected to keep the borrowing commitment at $500.0 million, and the maximum facility amount remained $1.5 billion. This April 2019 redetermination constituted the regularly scheduled May 1 redetermination. Borrowings under the Credit Agreement are limited to the lowest of the borrowing base, the maximum facility amount and the elected commitment. The Credit Agreement matures on October 31, 2023.</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June 30, 2019.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On December 19, 2018, San Mateo I entered into the $250.0 million San Mateo Credit Facility, which matures December 19, 2023. The San Mateo Credit Facility includes an accordion feature, which could increase the lender commitments to up to $400.0 million. The San Mateo Credit Facility is non-recourse with respect to Matador and its wholly-owned subsidiaries, as well as San Mateo II, but is guaranteed by San Mateo I’s subsidiaries and secured by substantially all of San Mateo I’s assets, including real property. On June 12, 2019, pursuant to the accordion feature, the lender commitments under the San Mateo Credit Facility were increased to $325.0 million.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San Mateo I was in compliance with the terms of the San Mateo Credit Facility at June 30,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In August and October 2018, the Company issued $750.0 million and $300.0 million, respectively, of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Company’s effective tax rate for the three and six months ended June 30, 2019 was 26% and 37%, respectively. The Company’s total income tax provision for the three and six months ended June 30, 2019 differed from amounts computed by applying the U.S. federal statutory tax rates to pre-tax income due primarily to the impact of permanent differences between book and tax income at June 30, 2019.</w:t>
      </w:r>
    </w:p>
    <w:p>
      <w:pPr>
        <w:spacing w:after="0" w:line="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Due to a variety of factors, including the Company’s significant net income in 2017 and 2018, the Company’s federal valuation allowance and a portion of the Company’s state valuation allowance were reversed at December 31, 2018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79"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Company’s deferred tax assets exceeded its deferred tax liabilities at June 30, 2018 due to the deferred tax assets generated by full-cost ceiling impairment charges in prior periods. The Company established a valuation allowance against most of the deferred tax assets beginning in the third quarter of 2015 and retained a full valuation allowance at June 30, 2018 due to uncertainties regarding the future realization of its deferred tax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February 2019, the Company granted awards to certain of its employees of 428,006 service-based restricted stock units to be settled in cash, which are liability instruments, and 428,006 performance-based stock units, which are equity instruments. The performance-based stock units vest in an amount between zero and 200% of the target units granted based on the Company’s relative total shareholder return over the three-year period ending December 31, 2021, as compared to a designated peer group. The service-based restricted stock units vest ratably over three years, and the performance-based stock units are eligible to vest after completion of the three-year performance period. The fair value of these awards was approximately $16.8 million on the grant date. In April 2019, the Company granted awards to certain of its employees of 259,038 service-based restricted stock units to be settled in cash, which are liability instruments, and 205,361 shares of service-based restricted stock, which are equity instruments. Both the liability instruments and the equity instruments vest ratably over three years. The fair value of these awards was approximately $9.2 million on the grant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II</w:t>
      </w:r>
    </w:p>
    <w:p>
      <w:pPr>
        <w:spacing w:after="0" w:line="131" w:lineRule="exact"/>
        <w:rPr>
          <w:sz w:val="20"/>
          <w:szCs w:val="20"/>
          <w:color w:val="auto"/>
        </w:rPr>
      </w:pPr>
    </w:p>
    <w:p>
      <w:pPr>
        <w:ind w:right="160" w:firstLine="405"/>
        <w:spacing w:after="0" w:line="267" w:lineRule="auto"/>
        <w:rPr>
          <w:sz w:val="20"/>
          <w:szCs w:val="20"/>
          <w:color w:val="auto"/>
        </w:rPr>
      </w:pPr>
      <w:r>
        <w:rPr>
          <w:rFonts w:ascii="Arial" w:cs="Arial" w:eastAsia="Arial" w:hAnsi="Arial"/>
          <w:sz w:val="18"/>
          <w:szCs w:val="18"/>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The Company also has the ability to earn up to $150 million in deferred performance incentives over the next five years related to the formation of San Mateo II</w:t>
      </w:r>
      <w:r>
        <w:rPr>
          <w:rFonts w:ascii="Arial" w:cs="Arial" w:eastAsia="Arial" w:hAnsi="Arial"/>
          <w:sz w:val="19"/>
          <w:szCs w:val="19"/>
          <w:color w:val="auto"/>
        </w:rPr>
        <w:t>,</w:t>
      </w:r>
      <w:r>
        <w:rPr>
          <w:rFonts w:ascii="Arial" w:cs="Arial" w:eastAsia="Arial" w:hAnsi="Arial"/>
          <w:sz w:val="18"/>
          <w:szCs w:val="18"/>
          <w:color w:val="auto"/>
        </w:rPr>
        <w:t xml:space="preserve"> plus additional performance incentives for securing volumes from third-party customers. During the first quarter of 2019, the Company contributed $1.0 million of property to San Mateo II. During the three and six months ended June 30, 2019, the Company contributed $1.5 million and $1.5 million of cash and Five Point contributed $7.5 million and $11.5 million of cash to San Mateo II, respectively.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connection with the formation of San Mateo I in 2017, the Company has the ability to earn a total of $73.5 million in performance incentives to be paid by Five Point over a five-year period. The Company earned, and Five Point paid to the Company, $14.7 million in performance incentives during each of the six months ended June 30, 2019 and 2018, and the Company may earn up to an additional $44.1 million in performance incentives over the next three years. These performance incentives are recorded as an increase to additional paid-in capital when received. These performance incentives for the six months ended June 30, 2019 and 2018 are also denoted as “Contributions related to formation of San Mateo I” under “Financing activities” in the Company’s interim unaudited condensed consolidated statements of cash flows and changes in shareholders’ equity.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w:t>
      </w:r>
    </w:p>
    <w:p>
      <w:pPr>
        <w:spacing w:after="0" w:line="1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June 30, 2019,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2019 and 2020.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June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Notional Quantity (Bbl or</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Floor ($/Bbl or</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Ceiling ($/Bbl 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Calculation Period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07/01/2019 - 12/31/2019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Oil</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01/01/2020 - 12/31/2020</w:t>
            </w:r>
          </w:p>
        </w:tc>
        <w:tc>
          <w:tcPr>
            <w:tcW w:w="1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2,640,000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4,555</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07/01/2019 - 12/31/2019</w:t>
            </w: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37"/>
        </w:trPr>
        <w:tc>
          <w:tcPr>
            <w:tcW w:w="4820" w:type="dxa"/>
            <w:vAlign w:val="bottom"/>
            <w:gridSpan w:val="4"/>
          </w:tcPr>
          <w:p>
            <w:pPr>
              <w:ind w:left="380"/>
              <w:spacing w:after="0"/>
              <w:rPr>
                <w:sz w:val="20"/>
                <w:szCs w:val="20"/>
                <w:color w:val="auto"/>
              </w:rPr>
            </w:pPr>
            <w:r>
              <w:rPr>
                <w:rFonts w:ascii="Arial" w:cs="Arial" w:eastAsia="Arial" w:hAnsi="Arial"/>
                <w:sz w:val="18"/>
                <w:szCs w:val="18"/>
                <w:color w:val="auto"/>
              </w:rPr>
              <w:t>Total open costless collar contracts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and natural gas at June 30, 2019.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Notional</w:t>
            </w: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Price, Short Call</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Price, Long Call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Quantity (Bbl or</w:t>
            </w:r>
          </w:p>
        </w:tc>
        <w:tc>
          <w:tcPr>
            <w:tcW w:w="1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4"/>
              </w:rPr>
              <w:t>Floor ($/Bbl or</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5"/>
              </w:rPr>
              <w:t>($/Bbl or</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($/Bbl 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Asset (Liability)</w:t>
            </w:r>
          </w:p>
        </w:tc>
        <w:tc>
          <w:tcPr>
            <w:tcW w:w="0" w:type="dxa"/>
            <w:vAlign w:val="bottom"/>
          </w:tcPr>
          <w:p>
            <w:pPr>
              <w:spacing w:after="0"/>
              <w:rPr>
                <w:sz w:val="1"/>
                <w:szCs w:val="1"/>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Calculation Period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07/01/2019 - 12/31/2019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Natural Gas</w:t>
            </w: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90"/>
              </w:rPr>
              <w:t>07/01/2019 - 12/31/2019</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2,400,000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w w:val="96"/>
              </w:rPr>
              <w:t>Total open three-way costless collar contracts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14"/>
            <w:vMerge w:val="restart"/>
          </w:tcPr>
          <w:p>
            <w:pPr>
              <w:ind w:left="420"/>
              <w:spacing w:after="0"/>
              <w:rPr>
                <w:sz w:val="20"/>
                <w:szCs w:val="20"/>
                <w:color w:val="auto"/>
              </w:rPr>
            </w:pPr>
            <w:r>
              <w:rPr>
                <w:rFonts w:ascii="Arial" w:cs="Arial" w:eastAsia="Arial" w:hAnsi="Arial"/>
                <w:sz w:val="18"/>
                <w:szCs w:val="18"/>
                <w:color w:val="auto"/>
                <w:w w:val="95"/>
              </w:rPr>
              <w:t>The following is a summary of the Company’s open basis swap contracts for oil at June 30, 2019.</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20" w:type="dxa"/>
            <w:vAlign w:val="bottom"/>
            <w:gridSpan w:val="14"/>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Fixed Price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Calculation Period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b w:val="1"/>
                <w:bCs w:val="1"/>
                <w:color w:val="auto"/>
              </w:rPr>
              <w:t>Notional Quantity (Bbl)</w:t>
            </w:r>
          </w:p>
        </w:tc>
        <w:tc>
          <w:tcPr>
            <w:tcW w:w="14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9"/>
              </w:rPr>
              <w:t>($/Bbl)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900" w:type="dxa"/>
            <w:vAlign w:val="bottom"/>
            <w:tcBorders>
              <w:bottom w:val="single" w:sz="8" w:color="CCEEFF"/>
            </w:tcBorders>
            <w:gridSpan w:val="5"/>
            <w:shd w:val="clear" w:color="auto" w:fill="CCEEFF"/>
          </w:tcPr>
          <w:p>
            <w:pPr>
              <w:ind w:left="2100"/>
              <w:spacing w:after="0"/>
              <w:rPr>
                <w:sz w:val="20"/>
                <w:szCs w:val="20"/>
                <w:color w:val="auto"/>
              </w:rPr>
            </w:pPr>
            <w:r>
              <w:rPr>
                <w:rFonts w:ascii="Arial" w:cs="Arial" w:eastAsia="Arial" w:hAnsi="Arial"/>
                <w:sz w:val="18"/>
                <w:szCs w:val="18"/>
                <w:color w:val="auto"/>
                <w:w w:val="95"/>
              </w:rPr>
              <w:t>08/1/2019 - 12/31/2019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1,377,000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Oil Basis Swaps</w:t>
            </w:r>
          </w:p>
        </w:tc>
        <w:tc>
          <w:tcPr>
            <w:tcW w:w="3900" w:type="dxa"/>
            <w:vAlign w:val="bottom"/>
            <w:gridSpan w:val="5"/>
          </w:tcPr>
          <w:p>
            <w:pPr>
              <w:ind w:left="2100"/>
              <w:spacing w:after="0"/>
              <w:rPr>
                <w:sz w:val="20"/>
                <w:szCs w:val="20"/>
                <w:color w:val="auto"/>
              </w:rPr>
            </w:pPr>
            <w:r>
              <w:rPr>
                <w:rFonts w:ascii="Arial" w:cs="Arial" w:eastAsia="Arial" w:hAnsi="Arial"/>
                <w:sz w:val="18"/>
                <w:szCs w:val="18"/>
                <w:color w:val="auto"/>
                <w:w w:val="90"/>
              </w:rPr>
              <w:t>01/01/2020 - 12/31/2020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4,494,000</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open swap contracts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2019, the Company had an aggregate asset value for open derivative financial instruments of $10.3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 — Continued</w:t>
      </w:r>
    </w:p>
    <w:p>
      <w:pPr>
        <w:spacing w:after="0" w:line="36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7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June 30, 2019 and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balance sheets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balance sheets</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8,271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97"/>
        </w:trPr>
        <w:tc>
          <w:tcPr>
            <w:tcW w:w="6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10,284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10,284</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49,929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Type of Instrument</w:t>
            </w:r>
          </w:p>
        </w:tc>
        <w:tc>
          <w:tcPr>
            <w:tcW w:w="120" w:type="dxa"/>
            <w:vAlign w:val="bottom"/>
            <w:tcBorders>
              <w:bottom w:val="single" w:sz="8" w:color="CCEEFF"/>
            </w:tcBorders>
          </w:tcPr>
          <w:p>
            <w:pPr>
              <w:spacing w:after="0"/>
              <w:rPr>
                <w:sz w:val="22"/>
                <w:szCs w:val="22"/>
                <w:color w:val="auto"/>
              </w:rPr>
            </w:pPr>
          </w:p>
        </w:tc>
        <w:tc>
          <w:tcPr>
            <w:tcW w:w="4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Oil</w:t>
            </w:r>
          </w:p>
        </w:tc>
        <w:tc>
          <w:tcPr>
            <w:tcW w:w="5040" w:type="dxa"/>
            <w:vAlign w:val="bottom"/>
            <w:gridSpan w:val="2"/>
          </w:tcPr>
          <w:p>
            <w:pPr>
              <w:ind w:left="40"/>
              <w:spacing w:after="0"/>
              <w:rPr>
                <w:sz w:val="20"/>
                <w:szCs w:val="20"/>
                <w:color w:val="auto"/>
              </w:rPr>
            </w:pPr>
            <w:r>
              <w:rPr>
                <w:rFonts w:ascii="Arial" w:cs="Arial" w:eastAsia="Arial" w:hAnsi="Arial"/>
                <w:sz w:val="18"/>
                <w:szCs w:val="18"/>
                <w:color w:val="auto"/>
              </w:rPr>
              <w:t>Revenues: Realized gain (loss) on derivatives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Realized (loss)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7460" w:type="dxa"/>
            <w:vAlign w:val="bottom"/>
            <w:gridSpan w:val="4"/>
          </w:tcPr>
          <w:p>
            <w:pPr>
              <w:ind w:left="600"/>
              <w:spacing w:after="0"/>
              <w:rPr>
                <w:sz w:val="20"/>
                <w:szCs w:val="20"/>
                <w:color w:val="auto"/>
              </w:rPr>
            </w:pPr>
            <w:r>
              <w:rPr>
                <w:rFonts w:ascii="Arial" w:cs="Arial" w:eastAsia="Arial" w:hAnsi="Arial"/>
                <w:sz w:val="18"/>
                <w:szCs w:val="18"/>
                <w:color w:val="auto"/>
              </w:rPr>
              <w:t>Realized gain (loss) on derivatives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Unrealized gain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12,956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Natural Gas</w:t>
            </w:r>
          </w:p>
        </w:tc>
        <w:tc>
          <w:tcPr>
            <w:tcW w:w="5040" w:type="dxa"/>
            <w:vAlign w:val="bottom"/>
            <w:gridSpan w:val="2"/>
          </w:tcPr>
          <w:p>
            <w:pPr>
              <w:ind w:left="40"/>
              <w:spacing w:after="0"/>
              <w:rPr>
                <w:sz w:val="20"/>
                <w:szCs w:val="20"/>
                <w:color w:val="auto"/>
              </w:rPr>
            </w:pPr>
            <w:r>
              <w:rPr>
                <w:rFonts w:ascii="Arial" w:cs="Arial" w:eastAsia="Arial" w:hAnsi="Arial"/>
                <w:sz w:val="18"/>
                <w:szCs w:val="18"/>
                <w:color w:val="auto"/>
              </w:rPr>
              <w:t>Revenues: Unrealized gain (loss) on derivatives</w:t>
            </w:r>
          </w:p>
        </w:tc>
        <w:tc>
          <w:tcPr>
            <w:tcW w:w="22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Unrealized gain (loss) on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11,845</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(35,127)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vMerge w:val="restart"/>
          </w:tcPr>
          <w:p>
            <w:pPr>
              <w:ind w:left="3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36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June 30, 2019 and December 31,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June 30, 2019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9,484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December 31,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49,562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49,562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49,846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At June 30, 2019 and December 31, 2018,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At June 30,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At June 30, 2019 and December 31, 2018, the fair value of the Notes was $1.07 billion and $0.97 billion, respectively, based on quoted market prices, which represent Level 1 inputs in the fair value hierarchy.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From time to time, the Company enters into agreements with third parties whereby the Company commits to deliver anticipated natural gas and oil production and salt water from certain portions of its acreage for gathering, transportation, processing, fractionation, sales and, in the case of salt water, disposal. The Company paid approximately $6.1 million and $5.1 million for deliveries under these agreements during the three months ended June 30, 2019 and 2018, respectively, and $12.9 million and $9.1 million for deliveries under these agreements during the six months ended June 30, 2019 and 2018,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2019, the total deficiencies required to be paid by the Company under these agreements would be approximately $163.4 million, in addition to the commitments described below.</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In late 2017, the Company entered into a fixed-fee natural gas liquids (“NGL”) sales agreement whereby the Company committed to deliver its NGL production at the tailgate of the Black River cryogenic natural gas processing plant in Eddy County, New Mexico (the “Black River Processing Plant”) to a certain counterparty. The Company is committed to deliver a minimum amount of NGLs to the counterparty upon construction and completion of a pipeline extension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7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April 2018, the Company also entered into a 16-year, fixed-fee natural gas transportation agreement that begins on October 1, 2019, whereby the Company committed to deliver a portion of the residue gas production at the tailgate of the Black River Processing Plant to transport through the counterparty’s pipeline. The Company will owe the fees to transport the committed volume whether or not the committed volume is transported through the counterparty’s pipeline. The minimum contractual obligation at June 30, 2019 was approximately $56.8 million.</w:t>
      </w:r>
    </w:p>
    <w:p>
      <w:pPr>
        <w:spacing w:after="0" w:line="6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May 2018, the Company also entered into a 10-year, fixed-fee natural gas sales agreement whereby the Company committed to deliver residue gas through the counterparty’s pipeline to the Texas Gulf Coast beginning on the in-service date of such pipeline, which is expected to be operational in the fourth quarter of 2019. If the Company does not meet the volume commitment specified in the natural gas sales agreement, it may be required to pay a deficiency fee per MMBtu of natural gas deficiency. The minimum contractual obligation at June 30, 2019 was approximately $202.3 million.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minimum contractual obligation under the Operational Agreements at June 30, 2019 was approximately $183.8 million.</w:t>
      </w:r>
    </w:p>
    <w:p>
      <w:pPr>
        <w:spacing w:after="0" w:line="8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minimum contractual obligation under the San Mateo II Operational Agreements at inception was approximately $363.8 million and begins in 2020.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 — Continued</w:t>
      </w:r>
    </w:p>
    <w:p>
      <w:pPr>
        <w:spacing w:after="0" w:line="36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June 2019, a subsidiary of San Mateo II entered into an agreement with third parties for the engineering, procurement, construction and installation of an expansion of the Black River Processing Plant, including required compression. The expansion is expected to be placed in service in 2020. San Mateo II’s total commitments under this agreement are $80.1 million. San Mateo II paid approximately $8.3 million under this agreement during the three months ended June 30, 2019. As of June 30, 2019, the remaining obligations under this agreement were $71.8 million, which are expected to be paid within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June 30, 2019 and December 31,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midstream property costs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22,448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14,189</w:t>
            </w:r>
          </w:p>
        </w:tc>
      </w:tr>
      <w:tr>
        <w:trPr>
          <w:trHeight w:val="237"/>
        </w:trPr>
        <w:tc>
          <w:tcPr>
            <w:tcW w:w="8340" w:type="dxa"/>
            <w:vAlign w:val="bottom"/>
          </w:tcPr>
          <w:p>
            <w:pPr>
              <w:ind w:left="68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191,608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170,855</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supplemental disclosures of cash flow information for the six months ended June 30, 2019 and 2018 (in thousands).</w:t>
      </w:r>
    </w:p>
    <w:p>
      <w:pPr>
        <w:spacing w:after="0" w:line="179"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4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liabilities for oil and natural gas properties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Decrease in liabilities for accrued cost to issue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oil and natural gas properties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Transfer of inventory to midstream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(2,390)</w:t>
            </w:r>
          </w:p>
        </w:tc>
      </w:tr>
      <w:tr>
        <w:trPr>
          <w:trHeight w:val="486"/>
        </w:trPr>
        <w:tc>
          <w:tcPr>
            <w:tcW w:w="8340" w:type="dxa"/>
            <w:vAlign w:val="bottom"/>
          </w:tcPr>
          <w:p>
            <w:pPr>
              <w:ind w:left="56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DISCLOSURES — Continued</w:t>
      </w:r>
    </w:p>
    <w:p>
      <w:pPr>
        <w:spacing w:after="0" w:line="200" w:lineRule="exact"/>
        <w:rPr>
          <w:sz w:val="20"/>
          <w:szCs w:val="20"/>
          <w:color w:val="auto"/>
        </w:rPr>
      </w:pPr>
    </w:p>
    <w:p>
      <w:pPr>
        <w:spacing w:after="0" w:line="380"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89"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4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24,812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21,063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143,513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2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 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and Wolf asset areas in the Delaware Basin are conducted through San Mateo.</w:t>
      </w:r>
    </w:p>
    <w:p>
      <w:pPr>
        <w:spacing w:after="0" w:line="5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209,563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211,060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141,514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164,915</w:t>
            </w: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75,371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76,789</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3,155,577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3,751,451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166,532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41,707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209,639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$75.7 million and $3.8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$8.3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1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$8.2 million attributable to land and seismic acquisition expenditures related to the exploration and production segment and $24.2 million in capital expenditures attributable to non-controlling interest in subsidiaries related to the midstream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207,229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209,019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126,025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137,374</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80,145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73,993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2,058,447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354,068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143,332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2,555,847</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199,345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232,977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$64.5 million and $2.3 million for the exploration and production and midstream segments, respectively. Also includes corporate depletion, depreciation and amortization expenses of $25,000.</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$16.1 million in capital expenditures attributable to non-controlling interest in subsidiaries related to the midstream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401,226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404,329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283,493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34,734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331,264</w:t>
            </w:r>
          </w:p>
        </w:tc>
        <w:tc>
          <w:tcPr>
            <w:tcW w:w="0" w:type="dxa"/>
            <w:vAlign w:val="bottom"/>
          </w:tcPr>
          <w:p>
            <w:pPr>
              <w:spacing w:after="0"/>
              <w:rPr>
                <w:sz w:val="1"/>
                <w:szCs w:val="1"/>
                <w:color w:val="auto"/>
              </w:rPr>
            </w:pPr>
          </w:p>
        </w:tc>
      </w:tr>
      <w:tr>
        <w:trPr>
          <w:trHeight w:val="304"/>
        </w:trPr>
        <w:tc>
          <w:tcPr>
            <w:tcW w:w="400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82,606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36,457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84,329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3,155,577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3,751,451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364,143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71,139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437,488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8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$148.3 million and $7.5 million for the exploration and production and midstream segments, respectively. Also includes corporate depletion, depreciation and amortization expenses of $1.2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$15.8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$31.3 million attributable to land and seismic acquisition expenditures related to the exploration and production segment and $37.9 million in capital expenditures attributable to non-controlling interest in subsidiaries related to the midstream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387,489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390,973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232,180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16,561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35,684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255,192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147,355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2,058,447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354,068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143,332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2,555,847</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388,790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468,665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8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$117.8 million and $3.9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$10.9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$38.5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GUARANTORS</w:t>
      </w:r>
    </w:p>
    <w:p>
      <w:pPr>
        <w:spacing w:after="0" w:line="36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Notes are jointly and severally guaranteed by certain subsidiaries of Matador (the “Guarantor Subsidiaries”) on a full and unconditional basis (except for customary release provisions). At June 30, 2019,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63"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700" w:type="dxa"/>
            <w:vAlign w:val="bottom"/>
            <w:gridSpan w:val="4"/>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1,582,828</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12,535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(1,595,363)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44,100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225,317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438,681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2,944,662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3,383,343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1,211,056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109,227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(1,320,283)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Long-term assets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10,589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92,004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(9,569)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94,724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2,808,440</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497,016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3,371,210</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(2,925,215)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3,751,451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1,595,363</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(1,595,363)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700" w:type="dxa"/>
            <w:vAlign w:val="bottom"/>
            <w:gridSpan w:val="4"/>
            <w:vMerge w:val="continue"/>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18,493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33,080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286,004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336,775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1,038,625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1,038,625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14,845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250,583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278,787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(8,767)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535,448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Total equity attributable to Matador Resources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1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1,736,477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109,227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1,211,056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(1,320,283)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1,736,477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104,126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104,126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1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70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2,808,440</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497,016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3,371,210</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(2,925,215)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3,751,451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60" w:type="dxa"/>
            <w:vAlign w:val="bottom"/>
            <w:gridSpan w:val="15"/>
          </w:tcPr>
          <w:p>
            <w:pPr>
              <w:jc w:val="center"/>
              <w:ind w:left="88"/>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Intercompany receivable</w:t>
            </w:r>
          </w:p>
        </w:tc>
        <w:tc>
          <w:tcPr>
            <w:tcW w:w="70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1,244,405</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29,816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(1,274,221)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4,109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34,027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267,549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305,685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Net property and equipment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379,052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2,743,812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3,122,864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subsidiaries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1,490,401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95,346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(1,585,747)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Long-term assets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23,897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1,479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11,095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(9,502)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2,762,812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444,374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3,117,802</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(2,869,470)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3,455,518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70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Intercompany payable</w:t>
            </w:r>
          </w:p>
        </w:tc>
        <w:tc>
          <w:tcPr>
            <w:tcW w:w="7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1,274,221</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(1,274,221)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700" w:type="dxa"/>
            <w:vAlign w:val="bottom"/>
            <w:gridSpan w:val="4"/>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22,874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27,988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279,884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330,022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unsecured notes payable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1,037,837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1,037,837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13,221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230,263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73,296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(8,778)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308,002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Total equity attributable to Matador Resources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1,688,880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95,346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1,490,401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(1,585,747)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1,688,880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90,777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90,777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liabilities and equity</w:t>
            </w:r>
          </w:p>
        </w:tc>
        <w:tc>
          <w:tcPr>
            <w:tcW w:w="560" w:type="dxa"/>
            <w:vAlign w:val="bottom"/>
            <w:gridSpan w:val="3"/>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2,762,812</w:t>
            </w:r>
          </w:p>
        </w:tc>
        <w:tc>
          <w:tcPr>
            <w:tcW w:w="40" w:type="dxa"/>
            <w:vAlign w:val="bottom"/>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444,374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3,117,802</w:t>
            </w:r>
          </w:p>
        </w:tc>
        <w:tc>
          <w:tcPr>
            <w:tcW w:w="40" w:type="dxa"/>
            <w:vAlign w:val="bottom"/>
            <w:vMerge w:val="restart"/>
            <w:shd w:val="clear" w:color="auto" w:fill="CCEEFF"/>
          </w:tcPr>
          <w:p>
            <w:pPr>
              <w:spacing w:after="0"/>
              <w:rPr>
                <w:sz w:val="15"/>
                <w:szCs w:val="15"/>
                <w:color w:val="auto"/>
              </w:rPr>
            </w:pPr>
          </w:p>
        </w:tc>
        <w:tc>
          <w:tcPr>
            <w:tcW w:w="10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(2,869,470)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3,455,518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314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gridSpan w:val="3"/>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gridSpan w:val="2"/>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6880" w:type="dxa"/>
            <w:vAlign w:val="bottom"/>
            <w:gridSpan w:val="22"/>
          </w:tcPr>
          <w:p>
            <w:pPr>
              <w:jc w:val="center"/>
              <w:ind w:left="214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9"/>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Matador</w:t>
            </w:r>
          </w:p>
        </w:tc>
        <w:tc>
          <w:tcPr>
            <w:tcW w:w="11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52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4"/>
            <w:vMerge w:val="restart"/>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41,720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216,885</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(16,901)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241,704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22,564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158,351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(16,901)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164,915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31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3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(loss) income</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19,156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58,534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76,789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Inventory impairment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(18,068)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25" w:name="page26"/>
    <w:bookmarkEnd w:id="25"/>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in subsidiaries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66,399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8,659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38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49,610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16,979</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66,399</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57,930</w:t>
            </w: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provision</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12,858</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43"/>
        </w:trPr>
        <w:tc>
          <w:tcPr>
            <w:tcW w:w="304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w w:val="92"/>
              </w:rPr>
              <w:t>Net income attributable to Matador Resources</w:t>
            </w:r>
          </w:p>
        </w:tc>
        <w:tc>
          <w:tcPr>
            <w:tcW w:w="4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36,752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8,659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66,399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36,752</w:t>
            </w: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Company shareholders</w:t>
            </w: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40" w:type="dxa"/>
            <w:vAlign w:val="bottom"/>
          </w:tcPr>
          <w:p>
            <w:pPr>
              <w:spacing w:after="0"/>
              <w:rPr>
                <w:sz w:val="24"/>
                <w:szCs w:val="24"/>
                <w:color w:val="auto"/>
              </w:rPr>
            </w:pPr>
          </w:p>
        </w:tc>
        <w:tc>
          <w:tcPr>
            <w:tcW w:w="39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jc w:val="center"/>
              <w:ind w:left="128"/>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926" w:orient="portrait"/>
          <w:cols w:equalWidth="0" w:num="1">
            <w:col w:w="9200"/>
          </w:cols>
          <w:pgMar w:left="1360" w:top="121" w:right="1339" w:bottom="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21,356</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206,219</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(16,208)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211,367</w:t>
            </w:r>
          </w:p>
        </w:tc>
      </w:tr>
      <w:tr>
        <w:trPr>
          <w:trHeight w:val="276"/>
        </w:trPr>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142,938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137,374</w:t>
            </w:r>
          </w:p>
        </w:tc>
      </w:tr>
      <w:tr>
        <w:trPr>
          <w:trHeight w:val="244"/>
        </w:trPr>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11,890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63,281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73,993</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(8,004)</w:t>
            </w:r>
          </w:p>
        </w:tc>
      </w:tr>
      <w:tr>
        <w:trPr>
          <w:trHeight w:val="270"/>
        </w:trPr>
        <w:tc>
          <w:tcPr>
            <w:tcW w:w="3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76"/>
        </w:trPr>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6,070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11,901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65,637</w:t>
            </w:r>
          </w:p>
        </w:tc>
      </w:tr>
      <w:tr>
        <w:trPr>
          <w:trHeight w:val="357"/>
        </w:trPr>
        <w:tc>
          <w:tcPr>
            <w:tcW w:w="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(5,831)</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6,070</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68,988</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(75,058)</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59,806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-1320165</wp:posOffset>
            </wp:positionV>
            <wp:extent cx="58400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-977265</wp:posOffset>
            </wp:positionV>
            <wp:extent cx="58400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-633730</wp:posOffset>
            </wp:positionV>
            <wp:extent cx="58400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-239395</wp:posOffset>
            </wp:positionV>
            <wp:extent cx="584009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926" w:orient="portrait"/>
          <w:cols w:equalWidth="0" w:num="2">
            <w:col w:w="3060" w:space="400"/>
            <w:col w:w="574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58058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05805" cy="17145"/>
                    </a:xfrm>
                    <a:prstGeom prst="rect">
                      <a:avLst/>
                    </a:prstGeom>
                    <a:noFill/>
                  </pic:spPr>
                </pic:pic>
              </a:graphicData>
            </a:graphic>
          </wp:anchor>
        </w:drawing>
      </w:r>
    </w:p>
    <w:p>
      <w:pPr>
        <w:spacing w:after="0" w:line="20"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580580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05805" cy="180340"/>
                    </a:xfrm>
                    <a:prstGeom prst="rect">
                      <a:avLst/>
                    </a:prstGeom>
                    <a:noFill/>
                  </pic:spPr>
                </pic:pic>
              </a:graphicData>
            </a:graphic>
          </wp:anchor>
        </w:drawing>
      </w:r>
    </w:p>
    <w:p>
      <w:pPr>
        <w:sectPr>
          <w:pgSz w:w="11900" w:h="16926"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Inventory impairment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income tax provision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400" w:right="4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84,596</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366,133</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(35,136)</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415,593</w:t>
            </w:r>
          </w:p>
        </w:tc>
      </w:tr>
      <w:tr>
        <w:trPr>
          <w:trHeight w:val="276"/>
        </w:trPr>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48,069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316,395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331,264</w:t>
            </w:r>
          </w:p>
        </w:tc>
      </w:tr>
      <w:tr>
        <w:trPr>
          <w:trHeight w:val="244"/>
        </w:trPr>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49,738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84,329</w:t>
            </w:r>
          </w:p>
        </w:tc>
      </w:tr>
      <w:tr>
        <w:trPr>
          <w:trHeight w:val="270"/>
        </w:trPr>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70"/>
        </w:trPr>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(35,997)</w:t>
            </w:r>
          </w:p>
        </w:tc>
      </w:tr>
      <w:tr>
        <w:trPr>
          <w:trHeight w:val="270"/>
        </w:trPr>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76"/>
        </w:trPr>
        <w:tc>
          <w:tcPr>
            <w:tcW w:w="3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65,261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16,426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(81,687)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31,650</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32,208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65,261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(81,687)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47,432</w:t>
            </w:r>
          </w:p>
        </w:tc>
      </w:tr>
      <w:tr>
        <w:trPr>
          <w:trHeight w:val="270"/>
        </w:trPr>
        <w:tc>
          <w:tcPr>
            <w:tcW w:w="32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11,845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11,845</w:t>
            </w:r>
          </w:p>
        </w:tc>
      </w:tr>
      <w:tr>
        <w:trPr>
          <w:trHeight w:val="357"/>
        </w:trPr>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(15,782)</w:t>
            </w:r>
          </w:p>
        </w:tc>
      </w:tr>
      <w:tr>
        <w:trPr>
          <w:trHeight w:val="318"/>
        </w:trPr>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19,805</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16,426</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65,261</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(81,687)</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19,805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-1663065</wp:posOffset>
            </wp:positionV>
            <wp:extent cx="58058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-1320165</wp:posOffset>
            </wp:positionV>
            <wp:extent cx="58058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-977265</wp:posOffset>
            </wp:positionV>
            <wp:extent cx="580580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-633730</wp:posOffset>
            </wp:positionV>
            <wp:extent cx="580580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-239395</wp:posOffset>
            </wp:positionV>
            <wp:extent cx="5805805"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05805" cy="222885"/>
                    </a:xfrm>
                    <a:prstGeom prst="rect">
                      <a:avLst/>
                    </a:prstGeom>
                    <a:noFill/>
                  </pic:spPr>
                </pic:pic>
              </a:graphicData>
            </a:graphic>
          </wp:anchor>
        </w:drawing>
      </w:r>
    </w:p>
    <w:p>
      <w:pPr>
        <w:spacing w:after="0" w:line="200" w:lineRule="exact"/>
        <w:rPr>
          <w:sz w:val="20"/>
          <w:szCs w:val="20"/>
          <w:color w:val="auto"/>
        </w:rPr>
      </w:pPr>
    </w:p>
    <w:p>
      <w:pPr>
        <w:sectPr>
          <w:pgSz w:w="11900" w:h="16926" w:orient="portrait"/>
          <w:cols w:equalWidth="0" w:num="2">
            <w:col w:w="3100" w:space="340"/>
            <w:col w:w="576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58058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05805" cy="17145"/>
                    </a:xfrm>
                    <a:prstGeom prst="rect">
                      <a:avLst/>
                    </a:prstGeom>
                    <a:noFill/>
                  </pic:spPr>
                </pic:pic>
              </a:graphicData>
            </a:graphic>
          </wp:anchor>
        </w:drawing>
      </w:r>
    </w:p>
    <w:p>
      <w:pPr>
        <w:spacing w:after="0" w:line="20"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580580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05805" cy="180340"/>
                    </a:xfrm>
                    <a:prstGeom prst="rect">
                      <a:avLst/>
                    </a:prstGeom>
                    <a:noFill/>
                  </pic:spPr>
                </pic:pic>
              </a:graphicData>
            </a:graphic>
          </wp:anchor>
        </w:drawing>
      </w:r>
    </w:p>
    <w:p>
      <w:pPr>
        <w:sectPr>
          <w:pgSz w:w="11900" w:h="16926"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400" w:right="4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38,550</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392,699</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(28,702)</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402,547</w:t>
            </w:r>
          </w:p>
        </w:tc>
      </w:tr>
      <w:tr>
        <w:trPr>
          <w:trHeight w:val="276"/>
        </w:trPr>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16,394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265,088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255,192</w:t>
            </w:r>
          </w:p>
        </w:tc>
      </w:tr>
      <w:tr>
        <w:trPr>
          <w:trHeight w:val="244"/>
        </w:trPr>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127,611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147,355</w:t>
            </w:r>
          </w:p>
        </w:tc>
      </w:tr>
      <w:tr>
        <w:trPr>
          <w:trHeight w:val="270"/>
        </w:trPr>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(16,495)</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76"/>
        </w:trPr>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138,601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11,306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22,167</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138,601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(149,907)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130,561</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(10,861)</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11,306</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138,601</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(149,907)</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119,700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-1320165</wp:posOffset>
            </wp:positionV>
            <wp:extent cx="580580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-977265</wp:posOffset>
            </wp:positionV>
            <wp:extent cx="580580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-633730</wp:posOffset>
            </wp:positionV>
            <wp:extent cx="580580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-239395</wp:posOffset>
            </wp:positionV>
            <wp:extent cx="5805805"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05805" cy="222885"/>
                    </a:xfrm>
                    <a:prstGeom prst="rect">
                      <a:avLst/>
                    </a:prstGeom>
                    <a:noFill/>
                  </pic:spPr>
                </pic:pic>
              </a:graphicData>
            </a:graphic>
          </wp:anchor>
        </w:drawing>
      </w:r>
    </w:p>
    <w:p>
      <w:pPr>
        <w:spacing w:after="0" w:line="200" w:lineRule="exact"/>
        <w:rPr>
          <w:sz w:val="20"/>
          <w:szCs w:val="20"/>
          <w:color w:val="auto"/>
        </w:rPr>
      </w:pPr>
    </w:p>
    <w:p>
      <w:pPr>
        <w:sectPr>
          <w:pgSz w:w="11900" w:h="16926" w:orient="portrait"/>
          <w:cols w:equalWidth="0" w:num="2">
            <w:col w:w="3100" w:space="340"/>
            <w:col w:w="576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51,266</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143,340</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194,497</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(59,309)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(327,195)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(394,694)</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13,584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179,201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200,975</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380"/>
              <w:spacing w:after="0"/>
              <w:rPr>
                <w:sz w:val="20"/>
                <w:szCs w:val="20"/>
                <w:color w:val="auto"/>
              </w:rPr>
            </w:pPr>
            <w:r>
              <w:rPr>
                <w:rFonts w:ascii="Arial" w:cs="Arial" w:eastAsia="Arial" w:hAnsi="Arial"/>
                <w:sz w:val="14"/>
                <w:szCs w:val="14"/>
                <w:color w:val="auto"/>
                <w:w w:val="95"/>
              </w:rPr>
              <w:t>(Decrease) increase in cash and restricted cash</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5,541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Cash and restricted cash at beginning of period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4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24,382</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60,033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84,762</w:t>
            </w: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000" w:type="dxa"/>
            <w:vAlign w:val="bottom"/>
            <w:gridSpan w:val="11"/>
          </w:tcPr>
          <w:p>
            <w:pPr>
              <w:jc w:val="center"/>
              <w:ind w:left="2108"/>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jc w:val="center"/>
              <w:ind w:left="8"/>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bl>
    <w:p>
      <w:pPr>
        <w:sectPr>
          <w:pgSz w:w="11900" w:h="16926" w:orient="portrait"/>
          <w:cols w:equalWidth="0" w:num="1">
            <w:col w:w="9200"/>
          </w:cols>
          <w:pgMar w:left="1360" w:top="121" w:right="1339" w:bottom="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6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(224,441)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10,225</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468,424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254,208</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(454,478)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40,035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(493,562)</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226,539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280,385</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Increase in cash and restricted cash</w:t>
            </w:r>
          </w:p>
        </w:tc>
        <w:tc>
          <w:tcPr>
            <w:tcW w:w="26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14,506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24,427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41,031</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20,169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120,960</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143,513</w:t>
            </w:r>
          </w:p>
        </w:tc>
        <w:tc>
          <w:tcPr>
            <w:tcW w:w="0" w:type="dxa"/>
            <w:vAlign w:val="bottom"/>
          </w:tcPr>
          <w:p>
            <w:pPr>
              <w:spacing w:after="0"/>
              <w:rPr>
                <w:sz w:val="1"/>
                <w:szCs w:val="1"/>
                <w:color w:val="auto"/>
              </w:rPr>
            </w:pPr>
          </w:p>
        </w:tc>
      </w:tr>
      <w:tr>
        <w:trPr>
          <w:trHeight w:val="60"/>
        </w:trPr>
        <w:tc>
          <w:tcPr>
            <w:tcW w:w="36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200"/>
          </w:cols>
          <w:pgMar w:left="1360" w:top="118" w:right="1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2018 (the “Annual Report”) filed with the Securities and Exchange Commission (“SEC”) on March 1, 2019,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i w:val="1"/>
          <w:iCs w:val="1"/>
          <w:color w:val="auto"/>
        </w:rPr>
        <w:t>In this Quarterly Report on Form 10-Q (the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Quarterly Report, please see the “Glossary of Oil and Natural Gas Terms” included with the Annual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facilities,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Quarterly Report and in other documents that we file with or furnish to the SEC, all of which are difficult to predict. Forward-looking statements may include statements about:</w:t>
      </w:r>
    </w:p>
    <w:p>
      <w:pPr>
        <w:spacing w:after="0" w:line="75"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480" w:hanging="321"/>
        <w:spacing w:after="0" w:line="25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and expansion of our Black River cryogenic natural gas processing plant and the drilling of additional salt water disposal wells;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Highlights</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For the three months ended June 30, 2019, our total oil equivalent production was 5.6 million BOE, and our average daily oil equivalent production was 61,290 BOE per day, of which 36,767 Bbl per day, or 60%, was oil and 147.1 MMcf per day, or 40%, was natural gas. Our oil production of 3.3 million Bbl for the three months ended June 30, 2019 increased 24% year-over-year from 2.7 million Bbl for the three months ended June 30, 2018. Our natural gas production of 13.4 Bcf for the three months ended June 30, 2019 increased 6% year-over-year from 12.7 Bcf for the three months ended June 30, 2018. For the six months ended June 30, 2019, our total oil equivalent production was 11.0 million BOE, and our average daily oil equivalent production was 60,619 BOE per day, of which 35,648 Bbl per day, or 59%, was oil and 149.8 MMcf per day, or 41%, was natural gas. Our oil production of 6.5 million Bbl for the six months ended June 30, 2019 increased 27% year-over-year from 5.1 million Bbl for the six months ended June 30, 2018. Our natural gas production of 27.1 Bcf for the six months ended June 30, 2019 increased 19% year-over-year from 22.8 Bcf for the six months ended June 30, 2018.</w:t>
      </w:r>
    </w:p>
    <w:p>
      <w:pPr>
        <w:spacing w:after="0" w:line="5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For the second quarter of 2019, we reported net income attributable to Matador Resources Company shareholders of approximately $36.8 million, or $0.31 per diluted common share, on a generally accepted accounting principles in the United States (“GAAP”) basis, as compared to net income attributable to Matador Resources Company shareholders of $59.8 million, or $0.53 per diluted common share, for the second quarter of 2018. For the second quarter of 2019, our Adjusted EBITDA attributable to Matador Resources Company shareholders (“Adjusted EBITDA”), a non-GAAP financial measure, was $144.1 million, as compared to Adjusted EBITDA of $137.3 million during the second quarter of 2018. For a definition of Adjusted EBITDA and a reconciliation of Adjusted EBITDA to our net income and net cash provided by operating activities, see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Liquidity and Capital Resources — Non-GAAP Financial Measures.” For more information regarding our financial results for the second quarter of 2019, see “— Results of Operations” below.</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the six months ended June 30, 2019, we reported net income attributable to Matador Resources Company shareholders of approximately $19.8 million, or $0.17 per diluted common share, on a GAAP basis, as compared to net income attributable to Matador Resources Company shareholders of $119.7 million, or $1.08 per diluted common share, for the six months ended June 30, 2018. For the six months ended June 30, 2019, our Adjusted EBITDA, a non-GAAP financial measure, was $268.9 million, as compared to Adjusted EBITDA of $254.6 million during the six months ended June 30, 2018. For a definition of Adjusted EBITDA and a reconciliation of Adjusted EBITDA to our net income (loss) and net cash provided by operating activities, see “— Liquidity and Capital Resources — Non-GAAP Financial Measures.” For more information regarding our financial results for the six months ended June 30, 2019, see “— Results of Operations”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During the second quarter of 2019, we continued our focus on the exploration, delineation and development of our Delaware Basin acreage in Loving County, Texas and Lea and Eddy Counties, New Mexico. We began 2019 operating six drilling rigs in the Delaware Basin and continued to do so at June 30, 2019. During the second quarter of 2019, these six operated drilling rigs were deployed across our Delaware Basin asset areas, but with an increased focus on the Antelope Ridge asset area. We expect to operate six rigs in the Delaware Basin throughout the remainder of 2019, with four rigs operating between the Rustler Breaks and Antelope Ridge asset areas, one rig operating in the Wolf and Jackson Trust asset areas and one rig operating in the Arrowhead, Ranger and Twin Lakes asset areas, although this rig, in particular, is expected to operate primarily in the Stebbins area and surrounding leaseholds in the southern portion of the Arrowhead asset area (the “Greater Stebbins Area”) for the remainder of 2019.</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also concluded completion operations on our nine-well program in South Texas during the second quarter of 2019, which included eight completions in the Eagle Ford formation and one test of the Austin Chalk formation. The final four wells in this nine-well program were completed and turned to sales in the second quarter of 2019. These wells included two Eagle Ford completions on the Haverlah leasehold in Atascosa County, which were turned to sales in April, and two additional Eagle Ford completions on the Lloyd Hurt leasehold, which were turned to sales in May 2019. The rig used to drill these nine wells was released in early February 2019, and we have no additional operated drilling activities planned in the Eagle Ford shale for the remainder of 2019.</w:t>
      </w:r>
    </w:p>
    <w:p>
      <w:pPr>
        <w:spacing w:after="0" w:line="8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completed and turned to sales a total of 19 gross (15.1 net) wells in the Delaware Basin during the second quarter of 2019, including 14 gross (13.1 net) operated horizontal wells, two gross (2.0 net) operated vertical wells and three gross (0.1 net) non-operated horizontal wells. During the second quarter of 2019, we began producing oil and natural gas from a total of 12 gross (8.5 net) wells in the Antelope Ridge asset area, including nine gross (8.4 net) operated wells and three gross (0.1 net) non-operated wells. Of the nine gross operated wells in the Antelope Ridge asset area, two were Wolfcamp A-XY completions, three were First Bone Spring completions, three were Third Bone Spring completions and one was a vertical completion in the Wolfcamp formation. In the Rustler Breaks and Arrowhead asset areas, we did not complete or turn to sales any operated or non-operated wells during the second quarter of 2019. In the Wolf and Jackson Trust asset areas, we began producing oil and natural gas from two gross (1.8 net) operated wells during the second quarter of 2019, including one Wolfcamp B completion and one Second Bone Spring completion. In addition, we began producing oil and natural gas from a total of four gross (3.9 net) operated wells in the Ranger asset area during the second quarter of 2019, including one First Bone Spring completion, two Second Bone Spring completions and one Third Bone Spring completion. Finally, in the Twin Lakes asset area, we began producing oil and natural gas from one gross (1.0 net) well, a vertical completion in the Morrow formation, during the second quarter of 2019.</w:t>
      </w:r>
    </w:p>
    <w:p>
      <w:pPr>
        <w:spacing w:after="0" w:line="6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a result of our ongoing drilling and completion operations in these asset areas, our Delaware Basin production has continued to increase over the past 12 months. Our total Delaware Basin production for the second quarter of 2019 was 51,758 BOE per day, consisting of 32,840 Bbl of oil per day and 113.5 MMcf of natural gas per day, an 11% increase from production of 46,489 BOE per day, consisting of 27,381 Bbl of oil per day and 114.6 MMcf of natural gas per day, in the second quarter of 2018. The Delaware Basin contributed approximately 89% of our daily oil production and approximately 77% of our daily natural gas production in the second quarter of 2019, as compared to approximately 92% of our daily oil production and approximately 82% of our daily natural gas production in the second quarter of 2018.</w:t>
      </w:r>
    </w:p>
    <w:p>
      <w:pPr>
        <w:spacing w:after="0" w:line="8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We did not conduct any operated drilling and completion activities on our leasehold properties in the Haynesville shale and Cotton Valley plays in Northwest Louisiana and East Texas in the second quarter of 2019, although we did participate in eight gross (0.3 net) non-operated Haynesville shale wells that were completed and turned to sales.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Update</w:t>
      </w:r>
    </w:p>
    <w:p>
      <w:pPr>
        <w:spacing w:after="0" w:line="117" w:lineRule="exact"/>
        <w:rPr>
          <w:sz w:val="20"/>
          <w:szCs w:val="20"/>
          <w:color w:val="auto"/>
        </w:rPr>
      </w:pPr>
    </w:p>
    <w:p>
      <w:pPr>
        <w:ind w:right="100" w:firstLine="392"/>
        <w:spacing w:after="0" w:line="302" w:lineRule="auto"/>
        <w:rPr>
          <w:sz w:val="20"/>
          <w:szCs w:val="20"/>
          <w:color w:val="auto"/>
        </w:rPr>
      </w:pPr>
      <w:r>
        <w:rPr>
          <w:rFonts w:ascii="Arial" w:cs="Arial" w:eastAsia="Arial" w:hAnsi="Arial"/>
          <w:sz w:val="16"/>
          <w:szCs w:val="16"/>
          <w:color w:val="auto"/>
        </w:rPr>
        <w:t>In April 2019, the lenders under our revolving credit agreement (the “Credit Agreement”), led by Royal Bank of Canada, completed their review of our proved oil and natural gas reserves at December 31, 2018, and as a result, the borrowing base was increased to $900.0 million with the elected borrowing commitment remaining at $500.0 million. This April 2019 redetermination constituted the regularly scheduled May 1 redetermination. Borrowings under the Credit Agreement are limited to the lowest of the borrowing base, the maximum facility amount and the elected borrowing commitment.</w:t>
      </w:r>
    </w:p>
    <w:p>
      <w:pPr>
        <w:spacing w:after="0" w:line="4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June 2019, the lender commitments under San Mateo I’s revolving credit facility (the “San Mateo Credit Facility”), led by The Bank of Nova Scotia, were increased to $325.0 million, using the accordion feature. The San Mateo Credit Facility is guaranteed by San Mateo I’s subsidiaries, secured by substantially all of San Mateo I’s assets, including real property, and is non-recourse with respect to Matador and its wholly-owned subsidiaries, as well as San Mateo II.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Capital Expenditure Budget</w:t>
      </w:r>
    </w:p>
    <w:p>
      <w:pPr>
        <w:spacing w:after="0" w:line="117"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On July 31, 2019, we increased our anticipated 2019 midstream capital expenditures from $55 to $75 million to $70 to $90 million, primarily for capital expenditures necessary to accommodate new customers and increased commitments from existing customers. The anticipated 2019 midstream capital expenditures reflect our proportionate share of San Mateo’s estimated 2019 capital expenditures and also account for portions of the $50 million capital carry that Five Point Energy LLC (“Five Point”) agreed to provide to us in conjunction with the formation of San Mateo II.</w:t>
      </w:r>
    </w:p>
    <w:p>
      <w:pPr>
        <w:spacing w:after="0" w:line="63" w:lineRule="exact"/>
        <w:rPr>
          <w:sz w:val="20"/>
          <w:szCs w:val="20"/>
          <w:color w:val="auto"/>
        </w:rPr>
      </w:pPr>
    </w:p>
    <w:p>
      <w:pPr>
        <w:ind w:right="360" w:firstLine="392"/>
        <w:spacing w:after="0" w:line="312" w:lineRule="auto"/>
        <w:rPr>
          <w:sz w:val="20"/>
          <w:szCs w:val="20"/>
          <w:color w:val="auto"/>
        </w:rPr>
      </w:pPr>
      <w:r>
        <w:rPr>
          <w:rFonts w:ascii="Arial" w:cs="Arial" w:eastAsia="Arial" w:hAnsi="Arial"/>
          <w:sz w:val="16"/>
          <w:szCs w:val="16"/>
          <w:color w:val="auto"/>
        </w:rPr>
        <w:t>At July 31, 2019, our 2019 estimated capital expenditures for drilling, completing and equipping wells remained $640 to $680 million, despite an increase of four gross (6.8 net) additional operated wells expected to be completed and turned to sales in 2019, as compared to our original estimates. See “— Liquidity and Capital Resources — 2019 Capital Expenditure Budget” for more information regarding our 2019 capital expenditure budget.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Other than as discussed in Note 2 to the interim unaudited condensed consolidated financial statements in this Quarterly Report related to the adoption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the amendments provided for in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along with the adoption of ASU 2018-07, </w:t>
      </w:r>
      <w:r>
        <w:rPr>
          <w:rFonts w:ascii="Arial" w:cs="Arial" w:eastAsia="Arial" w:hAnsi="Arial"/>
          <w:sz w:val="17"/>
          <w:szCs w:val="17"/>
          <w:i w:val="1"/>
          <w:iCs w:val="1"/>
          <w:color w:val="auto"/>
        </w:rPr>
        <w:t>Compensation - Stock Compensation (Topic 718): Improvements to Nonemployee Share-Based Payment Accounting</w:t>
      </w:r>
      <w:r>
        <w:rPr>
          <w:rFonts w:ascii="Arial" w:cs="Arial" w:eastAsia="Arial" w:hAnsi="Arial"/>
          <w:sz w:val="17"/>
          <w:szCs w:val="17"/>
          <w:color w:val="auto"/>
        </w:rPr>
        <w:t>, there have been no changes to our critical accounting policies and estimates from those set forth in the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See Note 2 to the interim unaudited condensed consolidated financial statements in this Quarterly Report for a summary of recent accounting pronouncements and the impact of the adoption of these pronouncements on our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30"/>
        </w:trPr>
        <w:tc>
          <w:tcPr>
            <w:tcW w:w="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6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6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Oil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189,085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166,271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343,288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314,430</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76,543</w:t>
            </w:r>
          </w:p>
        </w:tc>
      </w:tr>
      <w:tr>
        <w:trPr>
          <w:trHeight w:val="237"/>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oil and natural gas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211,060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209,019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404,329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390,973</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Third-party midstream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6,475</w:t>
            </w: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Sales of purchased natural gas</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Realized gain (loss)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Unrealized gain (loss) on derivatives</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11,845</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402,547</w:t>
            </w:r>
          </w:p>
        </w:tc>
      </w:tr>
      <w:tr>
        <w:trPr>
          <w:trHeight w:val="270"/>
        </w:trPr>
        <w:tc>
          <w:tcPr>
            <w:tcW w:w="20" w:type="dxa"/>
            <w:vAlign w:val="bottom"/>
          </w:tcPr>
          <w:p>
            <w:pPr>
              <w:spacing w:after="0"/>
              <w:rPr>
                <w:sz w:val="23"/>
                <w:szCs w:val="23"/>
                <w:color w:val="auto"/>
              </w:rPr>
            </w:pPr>
          </w:p>
        </w:tc>
        <w:tc>
          <w:tcPr>
            <w:tcW w:w="6500" w:type="dxa"/>
            <w:vAlign w:val="bottom"/>
          </w:tcPr>
          <w:p>
            <w:pPr>
              <w:ind w:left="2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5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w:t>
            </w:r>
          </w:p>
        </w:tc>
      </w:tr>
      <w:tr>
        <w:trPr>
          <w:trHeight w:val="270"/>
        </w:trPr>
        <w:tc>
          <w:tcPr>
            <w:tcW w:w="20" w:type="dxa"/>
            <w:vAlign w:val="bottom"/>
          </w:tcPr>
          <w:p>
            <w:pPr>
              <w:spacing w:after="0"/>
              <w:rPr>
                <w:sz w:val="23"/>
                <w:szCs w:val="23"/>
                <w:color w:val="auto"/>
              </w:rPr>
            </w:pPr>
          </w:p>
        </w:tc>
        <w:tc>
          <w:tcPr>
            <w:tcW w:w="6500" w:type="dxa"/>
            <w:vAlign w:val="bottom"/>
          </w:tcPr>
          <w:p>
            <w:pPr>
              <w:ind w:left="36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0"/>
        </w:trPr>
        <w:tc>
          <w:tcPr>
            <w:tcW w:w="20" w:type="dxa"/>
            <w:vAlign w:val="bottom"/>
          </w:tcPr>
          <w:p>
            <w:pPr>
              <w:spacing w:after="0"/>
              <w:rPr>
                <w:sz w:val="23"/>
                <w:szCs w:val="23"/>
                <w:color w:val="auto"/>
              </w:rPr>
            </w:pPr>
          </w:p>
        </w:tc>
        <w:tc>
          <w:tcPr>
            <w:tcW w:w="6500" w:type="dxa"/>
            <w:vAlign w:val="bottom"/>
            <w:shd w:val="clear" w:color="auto" w:fill="CCEEFF"/>
          </w:tcPr>
          <w:p>
            <w:pPr>
              <w:ind w:left="74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8,892</w:t>
            </w:r>
          </w:p>
        </w:tc>
      </w:tr>
      <w:tr>
        <w:trPr>
          <w:trHeight w:val="270"/>
        </w:trPr>
        <w:tc>
          <w:tcPr>
            <w:tcW w:w="20" w:type="dxa"/>
            <w:vAlign w:val="bottom"/>
          </w:tcPr>
          <w:p>
            <w:pPr>
              <w:spacing w:after="0"/>
              <w:rPr>
                <w:sz w:val="23"/>
                <w:szCs w:val="23"/>
                <w:color w:val="auto"/>
              </w:rPr>
            </w:pPr>
          </w:p>
        </w:tc>
        <w:tc>
          <w:tcPr>
            <w:tcW w:w="6500" w:type="dxa"/>
            <w:vAlign w:val="bottom"/>
          </w:tcPr>
          <w:p>
            <w:pPr>
              <w:ind w:left="74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61,290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52,937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60,619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49,126</w:t>
            </w: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Oil, without realized derivatives (per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61.80</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Oil, with realized derivatives (per Bbl)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60.46</w:t>
            </w: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Natural gas, without realized derivatives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3.35</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Natural gas, with realized derivatives (per Mcf)</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_________________</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2019 as Compared to Three Months Ended June 30, 2018</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$2.0 million, or 1%, to $211.1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$209.0 million for the three months ended June 30, 2018. Our oil revenues increased $22.8 million, or 14%, to $189.1 million for the three months ended June 30, 2019, as compared to $166.3 million for the three months ended June 30, 2018. The increase in oil revenues resulted from the 24% increase in our oil production to 3.3 million Bbl of oil for the three months ended June 30, 2019, as compared to 2.7 million Bbl of oil for the three months ended June 30, 2018. The increase in oil production was primarily attributable to our ongoing delineation and development drilling activities in the Delaware Basin. This increase was partially offset by a lower weighted average oil price realized for the three months ended June 30, 2019 of $56.51 per Bbl, a decrease of 8% as compared to $61.44 per Bbl realized for the three months ended June 30, 2018. Our natural gas revenues decreased by $20.8 million, or 49%, to $22.0 million for the three months ended June 30, 2019, as compared to $42.7 million for the three months ended June 30, 2018. The decrease in natural gas revenues resulted from a 51% decrease in realized natural gas prices to $1.64 per Mcf for the three months ended June 30, 2019, as compared to $3.38 per Mcf realized for the three months ended June 30, 2018. This decrease was partially offset by the 6% increase in our natural gas production to 13.4 Bcf for the three months ended June 30, 2019, as compared to 12.7 Bcf for the three months ended June 30, 2018. The increase in natural gas production was primarily attributable to our ongoing delineation and development drilling activities in the Delaware Basin.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$11.0 million, or more than four-fold, to $14.4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2019, as compared to $3.4 million for the three months ended June 30, 2018. Third-party midstream services revenues are those revenues from midstream operations related to third parties, including working interest owners in our operated wells. This increase was primarily attributable to (i) an increase in our third-party salt water gathering and disposal revenues to approximately $6.3 million for the three months ended June 30, 2019, as compared to approximately $1.9 million for the three months ended June 30, 2018, and (ii) an increase in our third-party natural gas gathering, transportation and processing revenues to approximately $6.5 million for the three months ended June 30, 2019, as compared to $1.5 million for the three months ended June 30, 2018.</w:t>
      </w:r>
    </w:p>
    <w:p>
      <w:pPr>
        <w:spacing w:after="0" w:line="8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Our sales of purchased natural gas were $9.0 million for the three months ended June 30, 2019. We had no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natural gas for the three months ended June 30, 2018. Sales of purchased natural gas primarily reflect those natural gas purchase transactions that we periodically enter into with third parties whereby we process the third party’s natural gas at the Black River cryogenic natural gas processing plant in Eddy County, New Mexico (the “Black River Processing Plant”) and then purchase, and subsequently sell, the residue gas and natural gas liquids (“NGL”) to other purchasers. These revenues, and the expenses related to these transactions included in “Purchased natural gas,” are presented on a gross basis in our interim unaudited condensed consolidated statement of operations.</w:t>
      </w:r>
    </w:p>
    <w:p>
      <w:pPr>
        <w:spacing w:after="0" w:line="8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Realized gain (loss) on derivatives. </w:t>
      </w:r>
      <w:r>
        <w:rPr>
          <w:rFonts w:ascii="Arial" w:cs="Arial" w:eastAsia="Arial" w:hAnsi="Arial"/>
          <w:sz w:val="17"/>
          <w:szCs w:val="17"/>
          <w:color w:val="auto"/>
        </w:rPr>
        <w:t>Our realized net gain on derivatives was $1.2 million for the three months ended June 30, 2019,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loss of $2.5 million for the three months ended June 30, 2018. We realized a net gain of $1.2 million related to our oil costless collar contracts for the three months ended June 30, 2019, resulting from oil prices that were below the floor prices of certain of our oil costless collar contracts. We realized an average gain on our oil derivatives contracts of approximately $0.35 per Bbl produced during the three months ended June 30, 2019, as compared to an average loss of approximately $0.92 per Bbl produced during the three months ended June 30, 2018. Our total oil volumes hedged for the three months ended June 30, 2019 represented 68% of our total oil production, as compared to 51% of our total oil production for the three months ended June 30, 2018. Our total natural gas volumes hedged for the three months ended June 30, 2019 represented 13% of our total natural gas production, as compared to 33% of our total natural gas production for the three months ended June 30, 2018.</w:t>
      </w:r>
    </w:p>
    <w:p>
      <w:pPr>
        <w:spacing w:after="0" w:line="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 xml:space="preserve">Unrealized gain (loss) on derivatives. </w:t>
      </w:r>
      <w:r>
        <w:rPr>
          <w:rFonts w:ascii="Arial" w:cs="Arial" w:eastAsia="Arial" w:hAnsi="Arial"/>
          <w:sz w:val="17"/>
          <w:szCs w:val="17"/>
          <w:color w:val="auto"/>
        </w:rPr>
        <w:t>Our unrealized net gain on derivatives was $6.2 million for the three months ended June 30, 2019,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an unrealized net gain of $1.4 million for the three months ended June 30, 2018. During the three months ended June 30, 2019, the net fair value of our open oil and natural gas derivative contracts increased to a net asset of $10.3 million from a net asset of $4.1 million at March 31, 2019, resulting in an unrealized gain on derivatives of $6.2 million for the three months ended June 30, 2019. During the three months ended June 30, 2018, the net fair value of our open oil and natural gas derivative contracts increased to a net liability of $3.4 million from a net liability of $4.8 million at March 31, 2018, resulting in an unrealized gain on derivatives of $1.4 million for the three months ended June 30, 2018.</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Six Months Ended June 30, 2019 as Compared to Six Months Ended June 30, 2018</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$13.4 million, or 3%, to $404.3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$391.0 million for the six months ended June 30, 2018. Our oil revenues increased $28.9 million, or 9%, to $343.3 million for the six months ended June 30, 2019, as compared to $314.4 million for the six months ended June 30, 2018. The increase in oil revenues resulted from the 27% increase in our oil production to 6.5 million Bbl of oil for the six months ended June 30, 2019, as compared to 5.1 million Bbl of oil for the six months ended June 30, 2018. The increase in oil production was primarily attributable to our ongoing delineation and development drilling activities in the Delaware Basin. This increase was partially offset by a lower weighted average oil price realized for the six months ended June 30, 2019 of $53.20 per Bbl, a decrease of 14% as compared to $61.80 per Bbl realized for the six months ended June 30, 2018. Our natural gas revenues decreased by $15.5 million, or 20%, to $61.0 million for the six months ended June 30, 2019, as compared to $76.5 million for the six months ended June 30, 2018. The decrease in natural gas revenues resulted from a lower weighted average natural gas price realized for the six months ended June 30, 2019 of $2.25 per Mcf, a decrease of 33% as compared to $3.35 per Mcf realized for the six months ended June 30, 2018. This decrease was partially offset by the 19% increase in our natural gas production to 27.1 Bcf for the six months ended June 30, 2019, as compared to 22.8 Bcf for the six months ended June 30, 2018. The increase in natural gas production was primarily attributable to our ongoing delineation and development drilling activities in the Delaware Basin.</w:t>
      </w:r>
    </w:p>
    <w:p>
      <w:pPr>
        <w:spacing w:after="0" w:line="6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$19.7 million to $26.2 million, or just over four-fold,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2019, as compared to $6.5 million for the six months ended June 30, 2018. This increase was primarily attributable to (i) an increase in our third-party salt water gathering and disposal revenues to approximately $12.0 million for the six months ended June 30, 2019, as compared to approximately $3.0 million for the six months ended June 30, 2018, and (ii) an increase in natural gas gathering, transportation and processing revenues to approximately $11.0 million for the six months ended June 30, 2019, as compared to $3.4 million for the six months ended June 30, 2018.</w:t>
      </w:r>
    </w:p>
    <w:p>
      <w:pPr>
        <w:spacing w:after="0" w:line="5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Our sales of purchased natural gas were $20.2 million for the six months ended June 30, 2019. We had no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natural gas for the six months ended June 30,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 xml:space="preserve">Realized gain (loss) on derivatives. </w:t>
      </w:r>
      <w:r>
        <w:rPr>
          <w:rFonts w:ascii="Arial" w:cs="Arial" w:eastAsia="Arial" w:hAnsi="Arial"/>
          <w:sz w:val="16"/>
          <w:szCs w:val="16"/>
          <w:color w:val="auto"/>
        </w:rPr>
        <w:t>Our realized net gain on derivatives was $4.4 million for the six months ended June 30, 2019,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net loss of $6.7 million for the six months ended June 30, 2018. We realized a net gain of $4.5 million related to our oil costless collar contracts for the six months ended June 30, 2019, resulting from oil prices that were below the floor prices of certain of our oil costless collar contracts. We realized net losses of $6.7 million from our oil and natural gas derivative contracts for the six months ended June 30, 2018, resulting from oil and natural gas prices that were above the ceiling prices of certain of our oil and natural gas costless collar contracts. We realized an average gain on our oil derivatives of approximately $0.70 per Bbl produced during the six months ended June 30, 2019, as compared to an average loss of $1.34 per Bbl produced during the six months ended June 30, 2018. Our total oil volumes hedged for the six months ended June 30, 2019 represented 57% of our total oil production, as compared to 53% of our total oil production for the six months ended June 30, 2018. Our total natural gas volumes hedged for the six months ended June 30, 2019 represented 13% of our total natural gas production, as compared to 37% of our total natural gas production for the six months ended June 30, 2018.</w:t>
      </w:r>
    </w:p>
    <w:p>
      <w:pPr>
        <w:spacing w:after="0" w:line="5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Unrealized (loss) gain on derivatives. </w:t>
      </w:r>
      <w:r>
        <w:rPr>
          <w:rFonts w:ascii="Arial" w:cs="Arial" w:eastAsia="Arial" w:hAnsi="Arial"/>
          <w:sz w:val="17"/>
          <w:szCs w:val="17"/>
          <w:color w:val="auto"/>
        </w:rPr>
        <w:t>Our unrealized net loss on derivatives was $39.6 million for the six months ended June 30, 2019,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an unrealized net gain of $11.8 million for the six months ended June 30, 2018. During the period from December 31, 2018 through June 30, 2019, the aggregate net fair value of our open oil and natural gas derivative contracts decreased to a net asset of approximately $10.3 million from a net asset of approximately $49.8 million, resulting in an unrealized loss on derivatives of approximately $39.6 million for the six months ended June 30, 2019. During the period from December 31, 2017 through June 30, 2018, the aggregate net fair value of our open oil and natural gas derivative contracts increased from a net liability of approximately $15.2 million to a net liability of approximately $3.4 million, resulting in an unrealized gain on derivatives of approximately $11.8 million for the six months ended June 30, 2018.</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37,901</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47,154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9,896</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Purchased natural gas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122,207</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37,295</w:t>
            </w:r>
          </w:p>
        </w:tc>
      </w:tr>
      <w:tr>
        <w:trPr>
          <w:trHeight w:val="237"/>
        </w:trPr>
        <w:tc>
          <w:tcPr>
            <w:tcW w:w="6520" w:type="dxa"/>
            <w:vAlign w:val="bottom"/>
          </w:tcPr>
          <w:p>
            <w:pPr>
              <w:ind w:left="11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164,915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331,264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255,192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147,355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7"/>
        </w:trPr>
        <w:tc>
          <w:tcPr>
            <w:tcW w:w="6520" w:type="dxa"/>
            <w:vAlign w:val="bottom"/>
          </w:tcPr>
          <w:p>
            <w:pPr>
              <w:ind w:left="114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(16,794)</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130,561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19,805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119,700</w:t>
            </w: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Expenses per BOE: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4.19</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2019 as Compared to Three Months Ended June 30, 2018</w:t>
      </w:r>
    </w:p>
    <w:p>
      <w:pPr>
        <w:spacing w:after="0" w:line="11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transportation and processing expenses increased $1.4 million, or 7%, to $21.5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2019, as compared to $20.1 million for the three months ended June 30, 2018. The increase was primarily attributable to the $1.3 million increase in transportation and processing fees to $6.3 million for the three months ended June 30, 2019, as compared to $5.0 million for the three months ended June 30, 2018, principally due to the 6% increase in our natural gas production to 13.4 Bcf of natural gas for the three months ended June 30, 2019, as compared to 12.7 Bcf of natural gas for the three months ended June 30, 2018. On a unit-of-production basis, our production taxes, transportation and processing expenses decreased 7% to $3.86 per BOE for the three months ended June 30, 2019, as compared to $4.17 per BOE for the three months ended June 30, 2018. The decrease was primarily attributable to lower production taxes on a per unit basis as a result of the decrease in the weighted average oil and natural gas prices realized between the two periods.</w:t>
      </w:r>
    </w:p>
    <w:p>
      <w:pPr>
        <w:spacing w:after="0" w:line="7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i w:val="1"/>
          <w:iCs w:val="1"/>
          <w:color w:val="auto"/>
        </w:rPr>
        <w:t xml:space="preserve">Lease operating. </w:t>
      </w:r>
      <w:r>
        <w:rPr>
          <w:rFonts w:ascii="Arial" w:cs="Arial" w:eastAsia="Arial" w:hAnsi="Arial"/>
          <w:sz w:val="17"/>
          <w:szCs w:val="17"/>
          <w:color w:val="auto"/>
        </w:rPr>
        <w:t>Our lease operating expenses increased $1.3 million, or 5%, to $26.4 million for the three months ended June 30, 2019,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$25.0 million for the three months ended June 30, 2018. The increase was largely attributable to increases in compression, repairs and maintenance and non-operated lease operating expenses of approximately $2.6 million for the three months ended June 30, 2019, as compared to the three months ended June 30, 2018. This increase was partially offset by a decrease in salt water trucking and disposal costs as more of our operated wells have been connected to salt water disposal pipelines. Our lease operating expenses decreased 9% on a unit-of-production basis to $4.72 per BOE for the three months ended June 30, 2019, as compared to $5.19 per BOE for the three months ended June 30, 2018, as a result of the 16% increase in total oil equivalent production for the three months ended June 30, 2019, as compared to the three months ended June 30,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$2.7 million, or 48%, to $8.4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as compared to $5.7 million for the three months ended June 30, 2018. This increase was primarily attributable to (i) increased expenses associated with the Black River Processing Plant of $3.1 million for the three months ended June 30, 2019, as compared to $1.9 million for the three months ended June 30, 2018, (ii) increased expenses associated with our expanded commercial salt water disposal operations of $3.8 million for the three months ended June 30, 2019, as compared to $3.0 million for the three months ended June 30, 2018, and (iii) increased expenses associated with pipeline operations of $1.6 million for the three months ended June 30, 2019, as compared to $1.0 million for the three months ended June 30, 2018.</w:t>
      </w:r>
    </w:p>
    <w:p>
      <w:pPr>
        <w:spacing w:after="0" w:line="8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$13.3 million, or 20%, to $80.1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2019, as compared to $66.8 million for the three months ended June 30, 2018. On a unit-of-production basis, our depletion, depreciation and amortization expenses increased 4% to $14.37 per BOE for the three months ended June 30, 2019, as compared to $13.87 per BOE for the three months ended June 30, 2018. The increase in our total depletion, depreciation and amortization expenses was primarily attributable to (i) the 16% increase in our total oil equivalent production to 5.6 million BOE for the three months ended June 30, 2019, as compared to 4.8 million BOE for the three months ended June 30, 2018, and (ii) increased depreciation expenses attributable to our midstream segment of approximately $3.8 million for the three months ended June 30, 2019, as compared to $2.3 million for the three months ended June 30, 2018. On a unit-of-production basis, the impact of the increases in total oil equivalent production and midstream depreciation expenses was largely offset by higher total proved oil and natural gas reserves at June 30, 2019, as compared to June 30, 2018, primarily attributable to our ongoing delineation and development drilling activities in the Delaware Basin.</w:t>
      </w:r>
    </w:p>
    <w:p>
      <w:pPr>
        <w:spacing w:after="0" w:line="59"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$0.5 million, or 3%, to $19.9 million for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as compared to $19.4 million for the three months ended June 30, 2018. Our general and administrative expenses decreased 11% on a unit-of-production basis to $3.56 per BOE for the three months ended June 30, 2019, as compared to $4.02 per BOE for the three months ended June 30, 2018, primarily attributable to our ongoing delineation and development drilling activities in the Delaware Basin.</w:t>
      </w:r>
    </w:p>
    <w:p>
      <w:pPr>
        <w:spacing w:after="0" w:line="6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June 30, 2019, we incurred total interest expense of approximately $20.7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 million of our interest expense on certain qualifying projects for the three months ended June 30, 2019 and expensed the remaining $18.1 million to operations. For the three months ended June 30, 2018, we incurred total interest expense of approximately $10.6 million. We capitalized approximately $2.6 million of our interest expense on certain qualifying projects for the three months ended June 30, 2018 and expensed the remaining $8.0 million to operations.</w:t>
      </w:r>
    </w:p>
    <w:p>
      <w:pPr>
        <w:spacing w:after="0" w:line="8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Total income tax provision. </w:t>
      </w:r>
      <w:r>
        <w:rPr>
          <w:rFonts w:ascii="Arial" w:cs="Arial" w:eastAsia="Arial" w:hAnsi="Arial"/>
          <w:sz w:val="17"/>
          <w:szCs w:val="17"/>
          <w:color w:val="auto"/>
        </w:rPr>
        <w:t>We recorded a total income tax expense of $12.9 million for the three months ended June 30, 2019, which differs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computed by applying the U.S. federal statutory rate to pre-tax income due primarily to the impact of permanent differences between book and tax income. Due to a variety of factors, including our significant net income in 2017 and 2018, our federal valuation allowance and a portion of our state valuation allowance were reversed at December 31, 2018, as the deferred tax assets were determined to be more likely than not to be utilized. As a portion of our state net operating loss carryforwards are not expected to be utilized before expiration, a valuation allowance will continue to be recognized until the state deferred tax assets are more likely than not to be utilized. At June 30, 2018, our deferred tax assets exceeded our deferred tax liabilities due to the deferred tax amounts generated by full-cost ceiling impairment charges recorded in prior periods. As a result, we established a valuation allowance against the deferred tax assets beginning in the third quarter of 2015. We retained a full valuation allowance at June 30, 2018 due to uncertainties regarding the future realization of our deferred tax assets.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Six Months Ended June 30, 2019 as Compared to Six Months Ended June 30, 2018</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$3.3 million, or 9%, to $41.2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2019, as compared to $37.9 million for the six months ended June 30, 2018. The increase in production taxes, transportation and processing expenses was primarily attributable to the $2.8 million increase in our transportation and processing expenses for the six months ended June 30, 2019, as compared to the six months ended June 30, 2018, principally due to the 19% increase in our natural gas production to 27.1 billion Bcf of natural gas for the six months ended June 30, 2019, as compared to 22.8 billion Bcf of natural gas for the six months ended June 30, 2018. On a unit-of-production basis, our production taxes, transportation and processing expenses decreased 12% to $3.76 per BOE for the six months ended June 30, 2019, as compared to $4.26 per BOE for the six months ended June 30, 2018. The decrease was primarily attributable to lower production taxes on a per unit basis as a result of the decrease in weighted average oil and natural gas prices realized between the two periods.</w:t>
      </w:r>
    </w:p>
    <w:p>
      <w:pPr>
        <w:spacing w:after="0" w:line="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$10.4 million, or 22%, to $57.5 million for the six months ended June 30, 2019,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$47.2 million for the six months ended June 30, 2018. The increase in lease operating expenses for the six months ended June 30, 2019, as compared to the six months ended June 30, 2018, was primarily attributable to an increase in costs of services and equipment, including salt water disposal costs in asset areas other than Wolf and Rustler Breaks (which 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serviced by San Mateo). Our lease operating expenses on a unit-of production basis decreased 1% to $5.24 per BOE for the six months ended June 30, 2019, as compared to $5.30 per BOE for the six months ended June 30, 2018.</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$7.8 million, or 79%, to $17.7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as compared to $9.9 million for the six months ended June 30, 2018. This increase was primarily attributable to (i) increased expenses associated with our expanded commercial salt water disposal operations of $8.1 million for the six months ended June 30, 2019, as compared to $5.2 million for the six months ended June 30, 2018, (ii) increased expenses associated with the Black River Processing Plant, which was expanded late in the first quarter of 2018, of $6.1 million for the six months ended June 30, 2019, as compared to $3.6 million for the six months ended June 30, 2018, and (iii) increased expenses associated with pipeline operations of $3.7 million for the six months ended June 30, 2019, as compared to $1.6 million for the six months ended June 30, 2018.</w:t>
      </w:r>
    </w:p>
    <w:p>
      <w:pPr>
        <w:spacing w:after="0" w:line="81"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$34.8 million, or 28%, to $157.0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2019, as compared to $122.2 million for the six months ended June 30, 2018. On a unit-of-production basis, our depletion, depreciation and amortization expenses increased 4% to $14.31 per BOE for the six months ended June 30, 2019, as compared to $13.74 per BOE for the six months ended June 30, 2018. The increase in our total depletion, depreciation and amortization expenses was primarily attributable to (i) the 23% increase in our total oil equivalent production to 11.0 million BOE for the six months ended June 30, 2019, as compared to 8.9 million BOE for the six months ended June 30, 2018, and (ii) the increase in depreciation expenses attributable to our midstream segment of approximately $9.3 million for the six months ended June 30, 2019, as compared to $5.2 million for the six months ended June 30, 2018. On a unit-of-production basis, the impact of the increases in total oil equivalent production and midstream depreciation expenses was largely offset by higher total proved oil and natural gas reserves at June 30, 2019, as compared to June 30, 2018, primarily attributable to our ongoing delineation and development drilling activities in the Delaware Basin.</w:t>
      </w:r>
    </w:p>
    <w:p>
      <w:pPr>
        <w:spacing w:after="0" w:line="5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$0.9 million, or 2%, to $38.2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$37.3 million for the six months ended June 30, 2018. Primarily as a result of the 23% increase in total oil equivalent production for the six months ended June 30, 2019, as compared to the six months ended June 30, 2018, our general and administrative expenses decreased 17% on a unit-of-production basis to $3.48 per BOE for the six months ended June 30, 2019, as compared to $4.19 per BOE for the six months ended June 30, 2018.</w:t>
      </w:r>
    </w:p>
    <w:p>
      <w:pPr>
        <w:spacing w:after="0" w:line="46"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six months ended June 30, 2019, we incurred total interest expense of approximately $40.2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$4.2 million of our interest expense on certain qualifying projects for the six months ended June 30, 2019 and expensed the remaining $36.0 million to operations. For the six months ended June 30, 2018, we incurred total interest expense of approximately $21.0 million. We capitalized approximately $4.5 million of our interest expense on certain qualifying projects for the six months ended June 30, 2018 and expensed the remaining $16.5 million to operations.</w:t>
      </w:r>
    </w:p>
    <w:p>
      <w:pPr>
        <w:spacing w:after="0" w:line="8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Total income tax provision. </w:t>
      </w:r>
      <w:r>
        <w:rPr>
          <w:rFonts w:ascii="Arial" w:cs="Arial" w:eastAsia="Arial" w:hAnsi="Arial"/>
          <w:sz w:val="18"/>
          <w:szCs w:val="18"/>
          <w:color w:val="auto"/>
        </w:rPr>
        <w:t>We recorded a total income tax expense of $11.8 million for the six months ended June 30, 2019, which differs from</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computed by applying the U.S. federal statutory rate to pre-tax income primarily due to the impact of permanent differences between book and tax income. Due to a variety of factors, including our significant net income in 2017 and 2018, our federal valuation allowance and a portion of our state valuation allowance were reversed at December 31, 2018, as the deferred tax assets were determined to be more likely than not to be utilized. As a portion of our state net operating loss carryforwards are not expected to be utilized before expiration, a valuation allowance will continue to be recognized until the state deferred tax assets are more likely than not to be utilized. At June 30, 2018, our deferred tax assets exceeded our deferred tax liabilities due to the deferred tax amounts generated by full-cost ceiling impairment charges recorded in prior periods. As a result, we established a valuation allowance against the deferred tax assets beginning in the third quarter of 2015. We retained a full valuation allowance at June 30, 2018 due to uncertainties regarding the future realization of our deferred tax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Our primary use of capital has been, and we expect will continue to be during the remainder of 2019 and for the foreseeable future, for the acquisition, exploration and development of oil and natural gas properties and for midstream investments. Excluding any possible significant acquisitions, we expect to fund our capital expenditure requirements for the remainder of 2019 through a combination of cash on hand, operating cash flows, performance incentives in connection with the formation of San Mateo I that were received in the first quarter of 2019, borrowings under the Credit Agreement (assuming availability under our borrowing base) and borrowings under the San Mateo Credit Facility. We continually evaluate other capital sources, including borrowings under additional credit arrangements, the sale or joint venture of midstream assets or oil and natural gas producing assets or leasehold interests, particularly in our non-core asset areas, the sale or joint venture of oil and natural gas mineral interests,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5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At June 30, 2019 and July 31, 2019, we had (i) $1.05 billion of outstanding 5.875% senior notes due 2026 (the “Notes”), (ii) $205.0 million in borrowings outstanding under the Credit Agreement and (iii) approximately $13.6 million in outstanding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letters of credit issued pursuant to the Credit Agreement, and San Mateo I had $240.0 million in borrowings outstanding under the San Mateo Credit Facility and approximately $16.2 million in outstanding letters of credit issued pursuant to the San Mateo Credit Facility.</w:t>
      </w:r>
    </w:p>
    <w:p>
      <w:pPr>
        <w:spacing w:after="0" w:line="62"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At June 30, 2019, we had cash totaling approximately $60.0 million and restricted cash, most of which was associated with San Mateo, totaling approximately $24.8 million.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39"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In April 2019, the lenders under our Credit Agreement, led by Royal Bank of Canada, completed their review of our proved oil and natural gas reserves at December 31, 2018, and as a result, the borrowing base was increased to $900.0 million with the elected borrowing commitment remaining at $500.0 million. This April 2019 redetermination constituted the regularly scheduled May 1 redetermination. Borrowings under the Credit Agreement are limited to the lowest of the borrowing base, the maximum facility amount and the elected borrowing commitment.</w:t>
      </w:r>
    </w:p>
    <w:p>
      <w:pPr>
        <w:spacing w:after="0" w:line="6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June 2019, the lender commitments under the San Mateo Credit Facility, led by The Bank of Nova Scotia, were increased to $325.0 million, using the accordion feature. The San Mateo Credit Facility is guaranteed by San Mateo I’s subsidiaries, secured by substantially all of San Mateo I’s assets, including real property, and is non-recourse with respect to Matador and its wholly-owned subsidiaries, as well as San Mateo II.</w:t>
      </w:r>
    </w:p>
    <w:p>
      <w:pPr>
        <w:spacing w:after="0" w:line="57" w:lineRule="exact"/>
        <w:rPr>
          <w:sz w:val="20"/>
          <w:szCs w:val="20"/>
          <w:color w:val="auto"/>
        </w:rPr>
      </w:pPr>
    </w:p>
    <w:p>
      <w:pPr>
        <w:ind w:right="100" w:firstLine="392"/>
        <w:spacing w:after="0" w:line="291" w:lineRule="auto"/>
        <w:rPr>
          <w:sz w:val="20"/>
          <w:szCs w:val="20"/>
          <w:color w:val="auto"/>
        </w:rPr>
      </w:pPr>
      <w:r>
        <w:rPr>
          <w:rFonts w:ascii="Arial" w:cs="Arial" w:eastAsia="Arial" w:hAnsi="Arial"/>
          <w:sz w:val="16"/>
          <w:szCs w:val="16"/>
          <w:color w:val="auto"/>
        </w:rPr>
        <w:t>During the second quarter of 2019, we continued our focus on the exploration, delineation and development of our Delaware Basin acreage in Loving County, Texas and Lea and Eddy Counties, New Mexico. We began 2019 operating six drilling rigs in the Delaware Basin and continued to do so at June 30, 2019. During the second quarter, these six operated drilling rigs were deployed across our Delaware Basin asset areas, but with an increased focus on the Antelope Ridge asset area. We expect to operate six rigs in the Delaware Basin throughout the remainder of 2019, with four rigs operating between the Rustler Breaks and Antelope Ridge asset areas, one rig operating in the Wolf and Jackson Trust asset areas and one rig operating in the Arrowhead, Ranger and Twin Lakes asset areas, although this rig, in particular, is expected to operate in the Greater Stebbins Area for most of the remainder of 2019. We expect that development of our Delaware Basin assets will be the primary focus of our operations and capital expenditures for the remainder of 2019.</w:t>
      </w:r>
    </w:p>
    <w:p>
      <w:pPr>
        <w:spacing w:after="0" w:line="5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the second quarter of 2019, we also finished our nine-well program in South Texas, which we began in October 2018, including eight Eagle Ford shale wells and one Austin Chalk well. The rig used to drill these nine wells was released in early February 2019, and we have no additional operated drilling activities planned in the Eagle Ford shale for the remainder of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Capital Expenditure Budget</w:t>
      </w:r>
    </w:p>
    <w:p>
      <w:pPr>
        <w:spacing w:after="0" w:line="117" w:lineRule="exact"/>
        <w:rPr>
          <w:sz w:val="20"/>
          <w:szCs w:val="20"/>
          <w:color w:val="auto"/>
        </w:rPr>
      </w:pPr>
    </w:p>
    <w:p>
      <w:pPr>
        <w:ind w:right="40" w:firstLine="392"/>
        <w:spacing w:after="0" w:line="290" w:lineRule="auto"/>
        <w:rPr>
          <w:sz w:val="20"/>
          <w:szCs w:val="20"/>
          <w:color w:val="auto"/>
        </w:rPr>
      </w:pPr>
      <w:r>
        <w:rPr>
          <w:rFonts w:ascii="Arial" w:cs="Arial" w:eastAsia="Arial" w:hAnsi="Arial"/>
          <w:sz w:val="16"/>
          <w:szCs w:val="16"/>
          <w:color w:val="auto"/>
        </w:rPr>
        <w:t>At July 31, 2019, our 2019 estimated capital expenditures for drilling, completing and equipping wells (“D/C/E”) remained $640 to $680 million, as originally estimated. As a result of improved drilling and completion and capital efficiencies, an accelerated pace of activity and our expectations for acquiring additional working interests primarily through acreage trades in certain of our operated wells throughout 2019, we now expect to complete and turn to sales four gross (6.8 net) additional operated wells in 2019, as compared to our original 2019 plan, which includes four gross (3.0 net) additional wells resulting from an accelerated pace of drilling and completion activity in 2019 and 3.8 net additional wells attributable to increased working interests acquired or anticipated to be acquired in certain operated wells during the course of the year. Due to the lower well costs and facilities savings achieved thus far in 2019, however, at July 31, 2019, we anticipate we should be able to deliver these additional well completions within our originally budgeted estimates for D/C/E capital expenditures of $640 to $680 million. In addition, at July 31, 2019, we have no plans to add a seventh rig to our 2019 drilling program.</w:t>
      </w:r>
    </w:p>
    <w:p>
      <w:pPr>
        <w:spacing w:after="0" w:line="5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July 31, 2019, we increased our anticipated 2019 midstream capital expenditures from $55 to $75 million to $70 to $90 million, primarily for capital expenditures necessary to accommodate new customers and increased commitments from existing customers. During the first six months of 2019, San Mateo received an increased natural gas gathering and processing commitment from an existing natural gas customer and obtained a significant additional acreage dedication and a salt water disposal well permit from an existing salt water customer. In addition, San Mateo is in negotiations with other third parties to provide oil, natural gas and salt water gathering services, natural gas processing services and salt water disposal services. In order to provide the midstream services under these executed and anticipated agreements, San Mateo expects to undertake additional projects that will require added compression, oil, natural gas and water gathering lines and water disposal infrastructure not originally budgeted for in 2019. At July 31, 2019, San Mateo had also entered into an agreement to acquire an existing commercial salt water disposal well and facility, a salt water disposal permit and surface acreage near the Greater Stebbins Area. The anticipated total 2019 midstream capital expenditures of $70 to $90 million reflect our proportionate share of San Mateo’s estimated 2019 capital expenditures and also account for portions of the $50 million capital carry that Five Point agreed to provide to us in conjunction with the formation of San Mateo 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Substantially all of our remaining 2019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To narrow any potential difference between our 2019 capital expenditures and operating cash flows, we may divest portions of our non-core assets, particularly in our South Texas and Haynesville shale positions, as well as consider monetizing other assets, such as certain mineral, royalty and midstream interests, as value-creating opportunities arise. For example, in the second quarter and early in the third quarter of 2019, we successfully closed and received approximately $22 million in proceeds attributable to the sale of portions of our properties, primarily in our South Texas and Haynesville shale positions, as well as a small portion of our leasehold in a non-operated area of the Delaware Basin. We intend to continue evaluating the opportunistic acquisition of acreage and mineral interests, principally in the Delaware Basin, during 2019. These monetizations, divestitures and expenditures are opportunity-specific, and purchase price multiples and per-acre prices can vary significantly based on the asset or prospect. As a result, it is difficult to estimate these 2019 monetizations, divestitures and capital expenditures with any degree of certainty; therefore, we have not provided estimated proceeds related to monetizations or divestitures or estimated capital expenditures related to acreage and mineral acquisitions for 2019.</w:t>
      </w:r>
    </w:p>
    <w:p>
      <w:pPr>
        <w:spacing w:after="0" w:line="6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2019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 In addition, we attempt to avoid long-term service agreements where possible to minimize ongoing future commitments.</w:t>
      </w:r>
    </w:p>
    <w:p>
      <w:pPr>
        <w:spacing w:after="0" w:line="7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2019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2019 and the hedges we currently have in place.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 at June 30, 2019.</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six months ended June 30, 2019 and 2018 are presented below:</w:t>
      </w:r>
    </w:p>
    <w:p>
      <w:pPr>
        <w:spacing w:after="0" w:line="17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r>
      <w:tr>
        <w:trPr>
          <w:trHeight w:val="25"/>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(394,694)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(493,562)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200,975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280,385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41,031</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1"/>
        </w:trPr>
        <w:tc>
          <w:tcPr>
            <w:tcW w:w="834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268,943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254,592</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75" w:lineRule="exact"/>
        <w:rPr>
          <w:sz w:val="20"/>
          <w:szCs w:val="20"/>
          <w:color w:val="auto"/>
        </w:rPr>
      </w:pPr>
    </w:p>
    <w:p>
      <w:pPr>
        <w:ind w:left="340" w:right="460" w:hanging="332"/>
        <w:spacing w:after="0" w:line="27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Net cash provided by operating activities decreased $59.7 million to $194.5 million for the six months ended June 30, 2019 from $254.2 million for the six months ended June 30, 2018. Excluding changes in operating assets and liabilities, net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cash provided by operating activities increased to $255.5 million for the six months ended June 30, 2019 from $251.0 million for the six months ended June 30, 2018, primarily attributable to the increase in our total oil equivalent production, which was partially offset by the decrease in realized oil and natural gas prices between the two periods. Changes in our operating assets and liabilities between the two periods resulted in a net decrease of approximately $64.2 million in net cash provided by operating activities for the six months ended June 30, 2019, as compared to the six months ended June 30, 2018.</w:t>
      </w:r>
    </w:p>
    <w:p>
      <w:pPr>
        <w:spacing w:after="0" w:line="46"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operating cash flows are sensitive to a number of variables, including changes in our production and volatility of oil and natural gas prices between reporting periods. Regional and worldwide economic activity, the actions of the Organization of Petroleum Exporting Countries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Net cash used in investing activities decreased by $98.9 million to $394.7 million for the six months ended June 30, 2019 from $493.6 million for the six months ended June 30, 2018. This decrease in net cash used in investing activities is due in part to a decrease of $71.7 million in oil and natural gas properties capital expenditures for the six months ended June 30, 2019, as compared to the six months ended June 30, 2018. Cash used for oil and natural gas properties capital expenditures for the six months ended June 30, 2019 was primarily attributable to our operated and non-operated drilling and completion activities in the Delaware Basin and in South Texas. The remaining decrease in net cash used in investing activities was primarily attributable to a decrease in cash used for midstream capital expenditures of $14.2 million, primarily related to capital expenditures for San Mateo, and an increase of $13.9 million in proceeds from the sale of assets.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Net cash provided by financing activities decreased by $79.4 million to $201.0 million for the six months ended June 30, 2019 from $280.4 million for the six months ended June 30, 2018. This decrease in net cash provided by financing activities is due in part to a net increase in borrowings under our Credit Agreement of $165.0 million between the two periods, offset by a reduction in proceeds from the issuance of common stock of $226.6 million and a decrease of $34.1 million in contributions from non-controlling interest owners in less-than-wholly-owned subsidiaries.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jc w:val="both"/>
        <w:ind w:right="100" w:firstLine="432"/>
        <w:spacing w:after="0" w:line="288" w:lineRule="auto"/>
        <w:rPr>
          <w:sz w:val="20"/>
          <w:szCs w:val="20"/>
          <w:color w:val="auto"/>
        </w:rPr>
      </w:pPr>
      <w:r>
        <w:rPr>
          <w:rFonts w:ascii="Arial" w:cs="Arial" w:eastAsia="Arial" w:hAnsi="Arial"/>
          <w:sz w:val="16"/>
          <w:szCs w:val="16"/>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w:t>
      </w:r>
    </w:p>
    <w:p>
      <w:pPr>
        <w:ind w:right="220"/>
        <w:spacing w:after="0" w:line="261" w:lineRule="auto"/>
        <w:rPr>
          <w:sz w:val="20"/>
          <w:szCs w:val="20"/>
          <w:color w:val="auto"/>
        </w:rPr>
      </w:pPr>
      <w:r>
        <w:rPr>
          <w:rFonts w:ascii="Arial" w:cs="Arial" w:eastAsia="Arial" w:hAnsi="Arial"/>
          <w:sz w:val="18"/>
          <w:szCs w:val="18"/>
          <w:color w:val="auto"/>
        </w:rPr>
        <w:t>Adjusted EBITDA is a supplemental non-GAAP financial measure that is used by management and external users of our consolidated financial statements, such as industry analysts, investors, lenders and rating agencies.</w:t>
      </w:r>
    </w:p>
    <w:p>
      <w:pPr>
        <w:spacing w:after="0" w:line="1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74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940" w:type="dxa"/>
            <w:vAlign w:val="bottom"/>
          </w:tcPr>
          <w:p>
            <w:pPr>
              <w:jc w:val="right"/>
              <w:ind w:right="72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5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1940" w:type="dxa"/>
            <w:vAlign w:val="bottom"/>
          </w:tcPr>
          <w:p>
            <w:pPr>
              <w:jc w:val="right"/>
              <w:ind w:right="1008"/>
              <w:spacing w:after="0"/>
              <w:rPr>
                <w:sz w:val="20"/>
                <w:szCs w:val="20"/>
                <w:color w:val="auto"/>
              </w:rPr>
            </w:pPr>
            <w:r>
              <w:rPr>
                <w:rFonts w:ascii="Arial" w:cs="Arial" w:eastAsia="Arial" w:hAnsi="Arial"/>
                <w:sz w:val="14"/>
                <w:szCs w:val="14"/>
                <w:b w:val="1"/>
                <w:bCs w:val="1"/>
                <w:color w:val="auto"/>
              </w:rPr>
              <w:t>June 30,</w:t>
            </w:r>
          </w:p>
        </w:tc>
      </w:tr>
      <w:tr>
        <w:trPr>
          <w:trHeight w:val="258"/>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70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9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36,752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59,806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19,805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119,700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10,861</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45,072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35,587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130,561</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11,845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122,207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9,076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8,945</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impairment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Consolidated Adjusted EBITDA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155,251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144,191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290,268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267,102</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137,338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268,943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254,592</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68"/>
        </w:trPr>
        <w:tc>
          <w:tcPr>
            <w:tcW w:w="5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3"/>
                <w:szCs w:val="23"/>
                <w:color w:val="auto"/>
              </w:rPr>
            </w:pPr>
          </w:p>
        </w:tc>
        <w:tc>
          <w:tcPr>
            <w:tcW w:w="24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11"/>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1"/>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135,257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118,059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194,497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254,208</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34,808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16,084</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137,338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268,943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254,592</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Net income attributable to Matador Resources Company shareholders decreased by $23.1 million to $36.8 million for the three months ended June 30, 2019, as compared to $59.8 million for the three months ended June 30, 2018. This decrease in net income attributable to Matador Resources Company shareholders is primarily attributable to (i) a $13.3 million increase in depletion, depreciation and amortization expenses, (ii) a $10.1 million increase in interest expense and (iii) a $12.9 million increase in the deferred income tax provision between the two periods. This decrease was partially offset by an increase of $3.7 million from realized loss to realized gain on derivatives and an increase of $4.7 million in unrealized gain on derivatives.</w:t>
      </w:r>
    </w:p>
    <w:p>
      <w:pPr>
        <w:spacing w:after="0" w:line="50"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Net income attributable to Matador Resources Company shareholders decreased by $99.9 million to $19.8 million for the six months ended June 30, 2019, as compared to $119.7 million for the six months ended June 30, 2018. This decrease in net income attributable to Matador Resources Company shareholders is primarily attributable to (i) a $51.4 million decrease from unrealized gain to unrealized loss on derivatives, (ii) a $34.8 million increase in depletion, depreciation and amortization expenses, (iii) a $19.5 million increase in interest expense and (iv) an $11.8 million increase in the deferred income tax provision between the two periods. This decrease was partially offset by an increase of $11.2 million from realized loss to realized gain on derivatives, a $13.4 million increase in oil and natural gas revenues and an increase of $19.7 million in third-party midstream services revenues.</w:t>
      </w:r>
    </w:p>
    <w:p>
      <w:pPr>
        <w:spacing w:after="0" w:line="57"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Adjusted EBITDA, a non-GAAP financial measure, increased by $6.8 million to $144.1 million for the three months ended June 30, 2019, as compared to $137.3 million for the three months ended June 30, 2018. This increase is primarily attributable to higher oil and natural gas production, partially offset by lower realized oil and natural gas prices for the three months ended June 30, 2019, as compared to the three months ended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Adjusted EBITDA, a non-GAAP financial measure, increased by $14.4 million to $268.9 million for the six months ended June 30, 2019, as compared to $254.6 million for the six months ended June 30, 2018. This increase is primarily attributable to higher oil and natural gas production, partially offset by lower realized oil and gas prices for the six months ended June 30, 2019, as compared to the six months ended June 30,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of June 30, 2019, the material off-balance sheet arrangements and transactions that we have entered into include (i) non-operated drilling commitments, (ii) termination obligations under drilling rig contracts, (iii) firm transportation, gathering, processing and disposal commitments and (iv)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June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81"/>
              </w:rPr>
              <w:t>Less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5"/>
              </w:rPr>
              <w:t>More</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6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92"/>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3"/>
              </w:rPr>
              <w:t>Borrowings under credit agreements and facilities, including letters of</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40"/>
              <w:spacing w:after="0" w:line="257" w:lineRule="exact"/>
              <w:rPr>
                <w:sz w:val="20"/>
                <w:szCs w:val="20"/>
                <w:color w:val="auto"/>
              </w:rPr>
            </w:pPr>
            <w:r>
              <w:rPr>
                <w:rFonts w:ascii="Arial" w:cs="Arial" w:eastAsia="Arial" w:hAnsi="Arial"/>
                <w:sz w:val="18"/>
                <w:szCs w:val="18"/>
                <w:color w:val="auto"/>
              </w:rPr>
              <w:t>credit</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474,871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474,871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1,050,000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27,708</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2"/>
              </w:rPr>
              <w:t>Natural gas transportation, gathering and processing agreements with</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40"/>
              <w:spacing w:after="0" w:line="257" w:lineRule="exact"/>
              <w:rPr>
                <w:sz w:val="20"/>
                <w:szCs w:val="20"/>
                <w:color w:val="auto"/>
              </w:rPr>
            </w:pPr>
            <w:r>
              <w:rPr>
                <w:rFonts w:ascii="Arial" w:cs="Arial" w:eastAsia="Arial" w:hAnsi="Arial"/>
                <w:sz w:val="18"/>
                <w:szCs w:val="18"/>
                <w:color w:val="auto"/>
              </w:rPr>
              <w:t>non-affiliates</w:t>
            </w:r>
            <w:r>
              <w:rPr>
                <w:rFonts w:ascii="Arial" w:cs="Arial" w:eastAsia="Arial" w:hAnsi="Arial"/>
                <w:sz w:val="25"/>
                <w:szCs w:val="25"/>
                <w:color w:val="auto"/>
                <w:vertAlign w:val="superscript"/>
              </w:rPr>
              <w:t>(5)</w:t>
            </w:r>
          </w:p>
        </w:tc>
        <w:tc>
          <w:tcPr>
            <w:tcW w:w="1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554,863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113,567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113,598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283,912</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6"/>
              </w:rPr>
              <w:t>Gathering, processing and disposal agreements with San Mateo</w:t>
            </w:r>
            <w:r>
              <w:rPr>
                <w:rFonts w:ascii="Arial" w:cs="Arial" w:eastAsia="Arial" w:hAnsi="Arial"/>
                <w:sz w:val="25"/>
                <w:szCs w:val="25"/>
                <w:color w:val="auto"/>
                <w:w w:val="96"/>
                <w:vertAlign w:val="superscript"/>
              </w:rPr>
              <w:t>(6)</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547,514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96,517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163,408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287,589</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Natural gas engineering, construction and installation contract</w:t>
            </w:r>
            <w:r>
              <w:rPr>
                <w:rFonts w:ascii="Arial" w:cs="Arial" w:eastAsia="Arial" w:hAnsi="Arial"/>
                <w:sz w:val="25"/>
                <w:szCs w:val="25"/>
                <w:color w:val="auto"/>
                <w:vertAlign w:val="superscript"/>
              </w:rPr>
              <w:t>(7)</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71,820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2,850,268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235,745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760,829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1,657,219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June 30, 2019, we had $205.0 million in borrowings outstanding under our Credit Agreement and approximately $13.6 million in outstanding letters of credit issued pursuant to the Credit Agreement. The Credit Agreement matures in October 2023. At June 30, 2019, San Mateo I had $240.0 million of borrowings outstanding under the San Mateo Credit Facility and approximately $16.2 million in outstanding letters of credit issued pursuant to the San Mateo Credit Facility. The San Mateo Credit Facility matures in December 2023. Assuming the amounts outstanding and interest rates of 3.64% and 4.16% (for the Credit Agreement and the San Mateo Credit Facility), respectively, at June 30, 2019, the interest expense is expected to be approximately $7.5 million and $10.0 million each year until maturity.</w:t>
      </w:r>
    </w:p>
    <w:p>
      <w:pPr>
        <w:spacing w:after="0" w:line="68" w:lineRule="exact"/>
        <w:rPr>
          <w:rFonts w:ascii="Arial" w:cs="Arial" w:eastAsia="Arial" w:hAnsi="Arial"/>
          <w:sz w:val="13"/>
          <w:szCs w:val="13"/>
          <w:color w:val="auto"/>
        </w:rPr>
      </w:pPr>
    </w:p>
    <w:p>
      <w:pPr>
        <w:ind w:left="340" w:right="64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June 30, 2019 is expected to be approximately $61.7 million each year until maturity.</w:t>
      </w:r>
    </w:p>
    <w:p>
      <w:pPr>
        <w:spacing w:after="0" w:line="65"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June 30, 2019, we had outstanding commitments to participate in the drilling and completion of various non-operated wells. Our working interests in these wells are typically small, and certain of these wells were in progress at June 30, 2019. If all of these wells are drilled and completed, we will have minimum outstanding aggregate commitments for our participation in these wells of approximately $51.7 million at June 30, 2019, which we expect to incur within the next 12 months.</w:t>
      </w:r>
    </w:p>
    <w:p>
      <w:pPr>
        <w:spacing w:after="0" w:line="77"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salt water from certain portions of our acreage for gathering, transportation, processing, fractionation, sales and, in the case of salt water, disposal. Certain of these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20"/>
        <w:spacing w:after="0" w:line="414" w:lineRule="auto"/>
        <w:rPr>
          <w:sz w:val="20"/>
          <w:szCs w:val="20"/>
          <w:color w:val="auto"/>
        </w:rPr>
      </w:pPr>
      <w:r>
        <w:rPr>
          <w:rFonts w:ascii="Arial" w:cs="Arial" w:eastAsia="Arial" w:hAnsi="Arial"/>
          <w:sz w:val="14"/>
          <w:szCs w:val="14"/>
          <w:color w:val="auto"/>
        </w:rPr>
        <w:t>agreements contain minimum volume commitments. If we do not meet the minimum volume commitments under these agreements, we will be required to pay certain deficiency fees. See Note 10 to the interim unaudited condensed consolidated financial statements in this Quarterly Report for more information about these contractual commitments.</w:t>
      </w:r>
    </w:p>
    <w:p>
      <w:pPr>
        <w:spacing w:after="0" w:line="12" w:lineRule="exact"/>
        <w:rPr>
          <w:sz w:val="20"/>
          <w:szCs w:val="20"/>
          <w:color w:val="auto"/>
        </w:rPr>
      </w:pPr>
    </w:p>
    <w:p>
      <w:pPr>
        <w:ind w:left="340" w:right="60" w:hanging="332"/>
        <w:spacing w:after="0" w:line="247"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 gathering, natural gas processing and salt water disposal. See Note 10 to the interim unaudited condensed consolidated financial statements in this Quarterly Report for more information about these contractual commitments.</w:t>
      </w:r>
    </w:p>
    <w:p>
      <w:pPr>
        <w:spacing w:after="0" w:line="86" w:lineRule="exact"/>
        <w:rPr>
          <w:rFonts w:ascii="Arial" w:cs="Arial" w:eastAsia="Arial" w:hAnsi="Arial"/>
          <w:sz w:val="14"/>
          <w:szCs w:val="14"/>
          <w:color w:val="auto"/>
        </w:rPr>
      </w:pPr>
    </w:p>
    <w:p>
      <w:pPr>
        <w:ind w:left="340" w:right="80" w:hanging="332"/>
        <w:spacing w:after="0" w:line="257"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Beginning in June 2019, a subsidiary of San Mateo II entered into an agreement with third parties for the engineering, procurement, construction and installation of an expansion of the Black River Processing Plant, including required compression. See Note 10 to the interim unaudited condensed consolidated financial statements in this Quarterly Report for more information about these contractual commitments.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 2018 and 2019, oil prices generally improved from the lower prices we experienced in 2016 and 2017, although oil prices remained significantly below their most recent highs in 2014. For the three months ended June 30, 2019, oil prices averaged $59.96 per Bbl, ranging from a high of $66.30 per Bbl in late April to a low of $51.14 per Bbl in mid-June, based upon the NYMEX West Texas Intermediate oil futures contract price for the earliest delivery date.</w:t>
      </w:r>
    </w:p>
    <w:p>
      <w:pPr>
        <w:spacing w:after="0" w:line="3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realized a weighted average oil price of $56.51 per Bbl ($56.86 per Bbl including realized gains from oil derivatives) for our oil production for the three months ended June 30, 2019, as compared to $61.44 per Bbl ($60.52 per Bbl including realized losses from oil derivatives) for our oil production for the three months ended June 30, 2018. At July 31, 2019, the NYMEX West Texas Intermediate oil futures contract for the earliest delivery date had decreased from the average price for the second quarter of 2019, settling at $58.58 per Bbl, which was also a decrease as compared to $68.76 per Bbl at July 31, 2018.</w:t>
      </w:r>
    </w:p>
    <w:p>
      <w:pPr>
        <w:spacing w:after="0" w:line="46"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For the three months ended June 30, 2019, natural gas prices averaged $2.51 per MMBtu, ranging from a high of approximately $2.71 per MMBtu in early April to a low of approximately $2.19 per MMBtu in late June, based upon the NYMEX Henry Hub natural gas futures contract price for the earliest delivery date.</w:t>
      </w:r>
    </w:p>
    <w:p>
      <w:pPr>
        <w:spacing w:after="0" w:line="73" w:lineRule="exact"/>
        <w:rPr>
          <w:sz w:val="20"/>
          <w:szCs w:val="20"/>
          <w:color w:val="auto"/>
        </w:rPr>
      </w:pPr>
    </w:p>
    <w:p>
      <w:pPr>
        <w:ind w:right="300" w:firstLine="432"/>
        <w:spacing w:after="0" w:line="297" w:lineRule="auto"/>
        <w:rPr>
          <w:sz w:val="20"/>
          <w:szCs w:val="20"/>
          <w:color w:val="auto"/>
        </w:rPr>
      </w:pPr>
      <w:r>
        <w:rPr>
          <w:rFonts w:ascii="Arial" w:cs="Arial" w:eastAsia="Arial" w:hAnsi="Arial"/>
          <w:sz w:val="16"/>
          <w:szCs w:val="16"/>
          <w:color w:val="auto"/>
        </w:rPr>
        <w:t>We realized a weighted average natural gas price of $1.64 per Mcf (with no realized gains or losses from natural gas derivatives) for our natural gas production (including revenues attributable to NGLs) for the three months ended June 30, 2019, as compared to $3.38 per Mcf (with no realized gains or losses from natural gas derivatives) for our natural gas production (including revenues attributable to NGLs) for the three months ended June 30, 2018. At July 31, 2019, the NYMEX Henry Hub natural gas futures contract price for the earliest delivery date had decreased from the average price for the second quarter of 2019, settling at $2.23 per MMBtu, which was also a decrease as compared to $2.78 per MMBtu at July 31, 2018.</w:t>
      </w:r>
    </w:p>
    <w:p>
      <w:pPr>
        <w:spacing w:after="0" w:line="5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We are uncertain if oil and natural gas prices may rise from their current levels, and, in fact, oil and natural gas prices may decrease in future periods.</w:t>
      </w:r>
    </w:p>
    <w:p>
      <w:pPr>
        <w:spacing w:after="0" w:line="70"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6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June 30, 2019, most of our oil production from the Delaware Basin was sold based on prices established in Midland, Texas, and most of our natural gas production from the Delaware Basin was sold based on prices established at the Waha Hub in far West Texas. During the second quarter of 2018, the price differentials for oil sold in Midland and natural gas sold at Waha compared to the benchmark prices for oil and natural gas, respectively, began to widen significantly and continued to widen throughout most of the year. These widening basis differentials negatively impacted our oil and natural gas revenues in 2018.</w:t>
      </w:r>
    </w:p>
    <w:p>
      <w:pPr>
        <w:spacing w:after="0" w:line="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2018, the Midland-Cushing (Oklahoma) oil price differential increased substantially from essentially no difference in the first quarter to as much as $16.00 per Bbl in late September but narrowed to about $5.00 per Bbl at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beginning of 2019. The Midland-Cushing (Oklahoma) oil price differential narrowed further to less than $1.00 per Bbl during the first quarter of 2019 but widened again during the second quarter to levels experienced at the beginning of the year. The Midland-Cushing (Oklahoma) oil price differential has narrowed again early in the third quarter of 2019 and may become positive in the future, although it is possible that this differential could widen further at certain times during the remainder of 2019.</w:t>
      </w:r>
    </w:p>
    <w:p>
      <w:pPr>
        <w:spacing w:after="0" w:line="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realized price for our Delaware Basin natural gas production is exposed to the Waha-Henry Hub basis differential. This natural gas price differential increased significantly throughout 2018 from about $0.50 per MMBtu at the beginning of the year to between $1.00 and $2.00 per MMBtu for most of 2018, but reaching highs of greater than $4.00 per MMBtu for a brief period near the end of the year. The natural gas price differential narrowed to between $1.00 and $2.00 per MMBtu at the beginning of 2019 and remained there throughout much of the first quarter.</w:t>
      </w:r>
    </w:p>
    <w:p>
      <w:pPr>
        <w:spacing w:after="0" w:line="6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natural gas basis differentials widened significantly in April 2019 for a short period of time, including a few days when natural gas was being sold at Waha for negative prices as high as ($7.00) to ($9.00) per MMBtu on a daily market basis, resulting, in part, from a number of simultaneous outages and maintenance projects impacting major pipelines in the area. Natural gas prices at Waha were positive for most of the latter part of April 2019, but daily market prices for natural gas sold at Waha reached negative levels of ($2.00) to ($3.00) per MMBtu in late May. During the second quarter of 2019, the average daily Waha natural gas price was ($0.07) per MMBtu. In response to these basis differentials, we temporarily shut in certain high gas-oil ratio wells and took other actions to mitigate the impact of these negative prices on our results. Daily market prices for natural gas sold at Waha were positive for the month of July, although prices at Waha remained well below Henry Hub prices.</w:t>
      </w:r>
    </w:p>
    <w:p>
      <w:pPr>
        <w:spacing w:after="0" w:line="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majority of our Delaware Basin natural gas production is expected to remain exposed to the Waha-Henry Hub basis differentials until early in the fourth quarter of 2019, when the Kinder Morgan Gulf Coast Express Pipeline Project (“GCX Pipeline”) is expected to become operational. We have secured firm natural gas transportation and sales on the GCX Pipeline for an average of approximately 110,000 to 115,000 MMBtu per day at a price based upon Houston Ship Channel pricing. Further, approximately 23% of our reported natural gas production in the second quarter of 2019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5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These widening oil and natural gas basis differentials are largely attributable to industry concerns regarding the near-term sufficiency of pipeline takeaway capacity for oil, natural gas and NGL production in the Delaware Basin. At July 31, 2019, we had not experienced material pipeline-related interruptions to our oil, natural gas or NGL production. During the third quarter of 2018, shortages of NGL fractionation capacity were experienced by certain operators in the Delaware Basin and elsewhere. Although we did not encounter fractionation capacity problems then and do not expect to encounter such problems going forward,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5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anticipate that the volatility in these oil and natural gas price differentials could persist throughout much of the remainder of 2019 or longer until additional oil and natural gas pipeline capacity from West Texas to the Texas Gulf Coast and other end markets is completed. We can provide no assurances as to how long these volatile differentials may persist, and as noted above, these price differentials could widen further in future periods. Should we experience future periods of negative pricing for natural gas as we did during the second quarter of 2019, we may temporarily shut in certain high gas-oil ratio wells and take other actions to mitigate the impact on our realized natural gas prices and results. In addition, we have no derivative contracts in place to mitigate our exposure to these natural gas price differentials during the remainder of 2019 and have limited oil basis hedges in place for the remainder of 2019 and 2020.</w:t>
      </w:r>
    </w:p>
    <w:p>
      <w:pPr>
        <w:spacing w:after="0" w:line="57"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early 2019, separate bills were introduced in the New Mexico Senate proposing to add a surtax on natural gas processors and proposing to place a moratorium on hydraulic fracturing. New Mexico’s governor also signed an executive order requiring a regulatory framework to ensure reductions of methane emissions. Although the bills relating to the moratorium on hydraulic fracturing and the tax on natural gas processors were not passed in the most recent legislative session, these and other laws, rules and regulations, if enacted, could have an adverse impact on our business, financial condition, results of operations and cash flows.</w:t>
      </w:r>
    </w:p>
    <w:p>
      <w:pPr>
        <w:spacing w:after="0" w:line="8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w:t>
      </w:r>
    </w:p>
    <w:p>
      <w:pPr>
        <w:spacing w:after="0" w:line="6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2018, which are disclosed in Part II, Item 7A of the Annual Report and incorporated herein by reference.</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5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June 30, 2019,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8 to the interim unaudited condensed consolidated financial statements in this Quarterly Report for a summary of our open derivative financial instruments at June 30, 2019. Such information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2019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June 30, 2019 that have materially affected or are reasonably likely to have a material effect on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quarter ended June 30, 2019,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Per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5"/>
                <w:szCs w:val="25"/>
                <w:b w:val="1"/>
                <w:bCs w:val="1"/>
                <w:color w:val="auto"/>
                <w:w w:val="83"/>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2019 to April 30,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May 1, 2019 to May 31, 2019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2019 to June 30,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80" w:type="dxa"/>
            <w:vAlign w:val="bottom"/>
            <w:gridSpan w:val="15"/>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8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1"/>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Report on Form 10-Q for the quarter ended June 30, 2017).</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(incorporated by reference to Exhibit 3.3 to the Quarterly Report on Form 10-Q for the quarter ended June 30, 2017).</w:t>
              </w:r>
            </w:hyperlink>
          </w:p>
        </w:tc>
        <w:tc>
          <w:tcPr>
            <w:tcW w:w="1220" w:type="dxa"/>
            <w:vAlign w:val="bottom"/>
            <w:tcBorders>
              <w:top w:val="single" w:sz="8" w:color="0000FF"/>
            </w:tcBorders>
            <w:gridSpan w:val="4"/>
          </w:tcPr>
          <w:p>
            <w:pPr>
              <w:spacing w:after="0"/>
              <w:rPr>
                <w:sz w:val="17"/>
                <w:szCs w:val="17"/>
                <w:color w:val="auto"/>
              </w:rPr>
            </w:pPr>
          </w:p>
        </w:tc>
        <w:tc>
          <w:tcPr>
            <w:tcW w:w="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12"/>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Certificate of Amendment to the Amended and Restated Certificate of Formation of Matador Resources Company effective June 2, 2017</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(incorporated by reference to Exhibit 3.4 to the Quarterly Report on Form 10-Q for the quarter ended June 30, 2017).</w:t>
              </w:r>
            </w:hyperlink>
          </w:p>
        </w:tc>
        <w:tc>
          <w:tcPr>
            <w:tcW w:w="1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2"/>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tcBorders>
              <w:bottom w:val="single" w:sz="8" w:color="0000FF"/>
            </w:tcBorders>
            <w:gridSpan w:val="17"/>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Amended and Restated Bylaws of Matador Resources Company, as amended (incorporated by reference to Exhibit 3.1 to the Current Report</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on Form 8-K filed on February 22, 2018).</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10.1†</w:t>
            </w:r>
          </w:p>
        </w:tc>
        <w:tc>
          <w:tcPr>
            <w:tcW w:w="40" w:type="dxa"/>
            <w:vAlign w:val="bottom"/>
          </w:tcPr>
          <w:p>
            <w:pPr>
              <w:spacing w:after="0"/>
              <w:rPr>
                <w:sz w:val="24"/>
                <w:szCs w:val="24"/>
                <w:color w:val="auto"/>
              </w:rPr>
            </w:pPr>
          </w:p>
        </w:tc>
        <w:tc>
          <w:tcPr>
            <w:tcW w:w="9920" w:type="dxa"/>
            <w:vAlign w:val="bottom"/>
            <w:tcBorders>
              <w:bottom w:val="single" w:sz="8" w:color="0000FF"/>
            </w:tcBorders>
            <w:gridSpan w:val="14"/>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Matador Resources Company 2019 Long-Term Incentive Plan (incorporated by reference to Exhibit 99.1 to the Registration Statement on</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Form S-8 filed on June 6, 2019).</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10.2†</w:t>
            </w: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Form of Restricted Stock Unit Award Agreement for director awards under the Matador Resources Company 2019 Long-Term Incentive Plan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(filed herewith).</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10.3†</w:t>
            </w: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Form of Restricted Stock Unit Award Agreement for director awards with deferred delivery under the Matador Resources Company 2019</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Long-Term Incentive Plan (filed herewith).</w:t>
              </w:r>
            </w:hyperlink>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10.4†</w:t>
            </w: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First Amendment to the Employment Agreement between Matador Resources Company and G. Gregg Krug (filed herewith).</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4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10.5†</w:t>
            </w:r>
          </w:p>
        </w:tc>
        <w:tc>
          <w:tcPr>
            <w:tcW w:w="40" w:type="dxa"/>
            <w:vAlign w:val="bottom"/>
          </w:tcPr>
          <w:p>
            <w:pPr>
              <w:spacing w:after="0"/>
              <w:rPr>
                <w:sz w:val="24"/>
                <w:szCs w:val="24"/>
                <w:color w:val="auto"/>
              </w:rPr>
            </w:pPr>
          </w:p>
        </w:tc>
        <w:tc>
          <w:tcPr>
            <w:tcW w:w="998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First Amendment to the Amended and Restated Employment Agreement between Matador Resources Company and Bradley M. Robinson</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24"/>
                <w:szCs w:val="24"/>
                <w:color w:val="auto"/>
              </w:rPr>
            </w:pPr>
          </w:p>
        </w:tc>
        <w:tc>
          <w:tcPr>
            <w:tcW w:w="1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of 2002 (furnished herewith).</w:t>
              </w:r>
            </w:hyperlink>
          </w:p>
        </w:tc>
        <w:tc>
          <w:tcPr>
            <w:tcW w:w="82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2"/>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of 2002 (furnished herewith).</w:t>
              </w:r>
            </w:hyperlink>
          </w:p>
        </w:tc>
        <w:tc>
          <w:tcPr>
            <w:tcW w:w="8100" w:type="dxa"/>
            <w:vAlign w:val="bottom"/>
            <w:tcBorders>
              <w:top w:val="single" w:sz="8" w:color="0000FF"/>
            </w:tcBorders>
            <w:gridSpan w:val="1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80" w:right="100" w:hanging="680"/>
        <w:spacing w:after="0" w:line="276"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Quarterly Report on Form 10-Q for the quarter ended June 30, 2019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132"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w:t>
      </w:r>
    </w:p>
    <w:p>
      <w:pPr>
        <w:spacing w:after="0" w:line="185" w:lineRule="exact"/>
        <w:rPr>
          <w:sz w:val="20"/>
          <w:szCs w:val="20"/>
          <w:color w:val="auto"/>
        </w:rPr>
      </w:pPr>
    </w:p>
    <w:p>
      <w:pPr>
        <w:ind w:left="1080" w:hanging="658"/>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220" w:type="dxa"/>
            <w:vAlign w:val="bottom"/>
          </w:tcPr>
          <w:p>
            <w:pPr>
              <w:spacing w:after="0"/>
              <w:rPr>
                <w:sz w:val="20"/>
                <w:szCs w:val="20"/>
                <w:color w:val="auto"/>
              </w:rPr>
            </w:pPr>
            <w:r>
              <w:rPr>
                <w:rFonts w:ascii="Arial" w:cs="Arial" w:eastAsia="Arial" w:hAnsi="Arial"/>
                <w:sz w:val="18"/>
                <w:szCs w:val="18"/>
                <w:color w:val="auto"/>
              </w:rPr>
              <w:t>Date: August 2, 2019</w:t>
            </w:r>
          </w:p>
        </w:tc>
        <w:tc>
          <w:tcPr>
            <w:tcW w:w="2140" w:type="dxa"/>
            <w:vAlign w:val="bottom"/>
          </w:tcPr>
          <w:p>
            <w:pPr>
              <w:ind w:left="16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220" w:type="dxa"/>
            <w:vAlign w:val="bottom"/>
          </w:tcPr>
          <w:p>
            <w:pPr>
              <w:spacing w:after="0"/>
              <w:rPr>
                <w:sz w:val="20"/>
                <w:szCs w:val="20"/>
                <w:color w:val="auto"/>
              </w:rPr>
            </w:pPr>
            <w:r>
              <w:rPr>
                <w:rFonts w:ascii="Arial" w:cs="Arial" w:eastAsia="Arial" w:hAnsi="Arial"/>
                <w:sz w:val="18"/>
                <w:szCs w:val="18"/>
                <w:color w:val="auto"/>
              </w:rPr>
              <w:t>Date: August 2, 2019</w:t>
            </w:r>
          </w:p>
        </w:tc>
        <w:tc>
          <w:tcPr>
            <w:tcW w:w="2140" w:type="dxa"/>
            <w:vAlign w:val="bottom"/>
          </w:tcPr>
          <w:p>
            <w:pPr>
              <w:ind w:left="16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02"/>
        </w:trPr>
        <w:tc>
          <w:tcPr>
            <w:tcW w:w="3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9"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MATADOR RESOURCES COMPANY</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2019 LONG-TERM INCENTIVE PLAN</w:t>
      </w:r>
    </w:p>
    <w:p>
      <w:pPr>
        <w:spacing w:after="0" w:line="200" w:lineRule="exact"/>
        <w:rPr>
          <w:sz w:val="20"/>
          <w:szCs w:val="20"/>
          <w:color w:val="auto"/>
        </w:rPr>
      </w:pPr>
    </w:p>
    <w:p>
      <w:pPr>
        <w:spacing w:after="0" w:line="256" w:lineRule="exact"/>
        <w:rPr>
          <w:sz w:val="20"/>
          <w:szCs w:val="20"/>
          <w:color w:val="auto"/>
        </w:rPr>
      </w:pPr>
    </w:p>
    <w:p>
      <w:pPr>
        <w:ind w:right="20" w:firstLine="656"/>
        <w:spacing w:after="0" w:line="289" w:lineRule="auto"/>
        <w:tabs>
          <w:tab w:leader="none" w:pos="1445"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Award of Restricted Stock Units</w:t>
      </w:r>
      <w:r>
        <w:rPr>
          <w:rFonts w:ascii="Arial" w:cs="Arial" w:eastAsia="Arial" w:hAnsi="Arial"/>
          <w:sz w:val="20"/>
          <w:szCs w:val="20"/>
          <w:color w:val="auto"/>
        </w:rPr>
        <w:t>. Pursuant to the Matador Resources Company 2019 Long-Term Incentive Plan (as the same may be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Matador Resources Company, a Texas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[NAME]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an Outside Director of the Company, an Award under the Plan of </w:t>
      </w:r>
      <w:r>
        <w:rPr>
          <w:rFonts w:ascii="Arial" w:cs="Arial" w:eastAsia="Arial" w:hAnsi="Arial"/>
          <w:sz w:val="20"/>
          <w:szCs w:val="20"/>
          <w:b w:val="1"/>
          <w:bCs w:val="1"/>
          <w:color w:val="auto"/>
        </w:rPr>
        <w:t>[NUMBER]</w:t>
      </w:r>
      <w:r>
        <w:rPr>
          <w:rFonts w:ascii="Arial" w:cs="Arial" w:eastAsia="Arial" w:hAnsi="Arial"/>
          <w:sz w:val="20"/>
          <w:szCs w:val="20"/>
          <w:color w:val="auto"/>
        </w:rPr>
        <w:t xml:space="preserve"> Restricted Stock Units (the “</w:t>
      </w:r>
      <w:r>
        <w:rPr>
          <w:rFonts w:ascii="Arial" w:cs="Arial" w:eastAsia="Arial" w:hAnsi="Arial"/>
          <w:sz w:val="20"/>
          <w:szCs w:val="20"/>
          <w:b w:val="1"/>
          <w:bCs w:val="1"/>
          <w:i w:val="1"/>
          <w:iCs w:val="1"/>
          <w:color w:val="auto"/>
        </w:rPr>
        <w:t>Awarded Units</w:t>
      </w:r>
      <w:r>
        <w:rPr>
          <w:rFonts w:ascii="Arial" w:cs="Arial" w:eastAsia="Arial" w:hAnsi="Arial"/>
          <w:sz w:val="20"/>
          <w:szCs w:val="20"/>
          <w:color w:val="auto"/>
        </w:rPr>
        <w:t>”), which may be converted into a number of shares of Common Stock of the Company equal to the number of Awarded Units, subject to the terms and conditions of the Plan and this Restricted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xml:space="preserve">” of this Restricted Stock Unit Award is </w:t>
      </w:r>
      <w:r>
        <w:rPr>
          <w:rFonts w:ascii="Arial" w:cs="Arial" w:eastAsia="Arial" w:hAnsi="Arial"/>
          <w:sz w:val="20"/>
          <w:szCs w:val="20"/>
          <w:b w:val="1"/>
          <w:bCs w:val="1"/>
          <w:color w:val="auto"/>
        </w:rPr>
        <w:t>[DATE]</w:t>
      </w:r>
      <w:r>
        <w:rPr>
          <w:rFonts w:ascii="Arial" w:cs="Arial" w:eastAsia="Arial" w:hAnsi="Arial"/>
          <w:sz w:val="20"/>
          <w:szCs w:val="20"/>
          <w:color w:val="auto"/>
        </w:rPr>
        <w:t>. Each Awarded Unit shall be a notional share of Common Stock, with the value of each Awarded Unit being equal to the Fair Market Value of a share of Common Stock at any time. Capitalized terms used in this Agreement that are defined in the Plan shall have the same meanings assigned to them in the Plan.</w:t>
      </w:r>
    </w:p>
    <w:p>
      <w:pPr>
        <w:spacing w:after="0" w:line="218" w:lineRule="exact"/>
        <w:rPr>
          <w:sz w:val="20"/>
          <w:szCs w:val="20"/>
          <w:color w:val="auto"/>
        </w:rPr>
      </w:pPr>
    </w:p>
    <w:p>
      <w:pPr>
        <w:jc w:val="both"/>
        <w:ind w:firstLine="656"/>
        <w:spacing w:after="0" w:line="274" w:lineRule="auto"/>
        <w:tabs>
          <w:tab w:leader="none" w:pos="1445"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Subject to Plan</w:t>
      </w:r>
      <w:r>
        <w:rPr>
          <w:rFonts w:ascii="Arial" w:cs="Arial" w:eastAsia="Arial" w:hAnsi="Arial"/>
          <w:sz w:val="20"/>
          <w:szCs w:val="20"/>
          <w:color w:val="auto"/>
        </w:rPr>
        <w:t>. This Agreement is subject to the terms and conditions of the Plan. The terms of the Plan shall control to the extent such terms are not otherwise inconsistent with the provisions of this Agreement, and the terms of the Agreement shall control to the extent such terms are inconsistent with the provisions of the Plan. This Agreement is subject to any rules promulgated pursuant to the Plan by the Board or the Committee and communicated to the Participant in writing.</w:t>
      </w:r>
    </w:p>
    <w:p>
      <w:pPr>
        <w:spacing w:after="0" w:line="205" w:lineRule="exact"/>
        <w:rPr>
          <w:rFonts w:ascii="Arial" w:cs="Arial" w:eastAsia="Arial" w:hAnsi="Arial"/>
          <w:sz w:val="20"/>
          <w:szCs w:val="20"/>
          <w:color w:val="auto"/>
        </w:rPr>
      </w:pPr>
    </w:p>
    <w:p>
      <w:pPr>
        <w:ind w:firstLine="656"/>
        <w:spacing w:after="0" w:line="316" w:lineRule="auto"/>
        <w:tabs>
          <w:tab w:leader="none" w:pos="1445"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Vesting; Time of Delivery of Shares</w:t>
      </w:r>
      <w:r>
        <w:rPr>
          <w:rFonts w:ascii="Arial" w:cs="Arial" w:eastAsia="Arial" w:hAnsi="Arial"/>
          <w:sz w:val="19"/>
          <w:szCs w:val="19"/>
          <w:color w:val="auto"/>
        </w:rPr>
        <w:t xml:space="preserve">. Awarded Units that have become vested pursuant to the terms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collectively referred to herein as “</w:t>
      </w:r>
      <w:r>
        <w:rPr>
          <w:rFonts w:ascii="Arial" w:cs="Arial" w:eastAsia="Arial" w:hAnsi="Arial"/>
          <w:sz w:val="19"/>
          <w:szCs w:val="19"/>
          <w:b w:val="1"/>
          <w:bCs w:val="1"/>
          <w:i w:val="1"/>
          <w:iCs w:val="1"/>
          <w:color w:val="auto"/>
        </w:rPr>
        <w:t>Vested RSUs</w:t>
      </w:r>
      <w:r>
        <w:rPr>
          <w:rFonts w:ascii="Arial" w:cs="Arial" w:eastAsia="Arial" w:hAnsi="Arial"/>
          <w:sz w:val="19"/>
          <w:szCs w:val="19"/>
          <w:color w:val="auto"/>
        </w:rPr>
        <w:t>.” All other Awarded Units are collectively referred to herein as “</w:t>
      </w:r>
      <w:r>
        <w:rPr>
          <w:rFonts w:ascii="Arial" w:cs="Arial" w:eastAsia="Arial" w:hAnsi="Arial"/>
          <w:sz w:val="19"/>
          <w:szCs w:val="19"/>
          <w:b w:val="1"/>
          <w:bCs w:val="1"/>
          <w:i w:val="1"/>
          <w:iCs w:val="1"/>
          <w:color w:val="auto"/>
        </w:rPr>
        <w:t>Unvested RSUs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660" w:firstLine="645"/>
        <w:spacing w:after="0" w:line="260" w:lineRule="auto"/>
        <w:tabs>
          <w:tab w:leader="none" w:pos="1646" w:val="left"/>
        </w:tabs>
        <w:numPr>
          <w:ilvl w:val="1"/>
          <w:numId w:val="21"/>
        </w:numPr>
        <w:rPr>
          <w:rFonts w:ascii="Arial" w:cs="Arial" w:eastAsia="Arial" w:hAnsi="Arial"/>
          <w:sz w:val="20"/>
          <w:szCs w:val="20"/>
          <w:color w:val="auto"/>
        </w:rPr>
      </w:pPr>
      <w:r>
        <w:rPr>
          <w:rFonts w:ascii="Arial" w:cs="Arial" w:eastAsia="Arial" w:hAnsi="Arial"/>
          <w:sz w:val="20"/>
          <w:szCs w:val="20"/>
          <w:color w:val="auto"/>
        </w:rPr>
        <w:t>Except as specifically provided in this Agreement and subject to certain restrictions and conditions set forth in the Plan, the Awarded Units shall be vested as follows:</w:t>
      </w:r>
    </w:p>
    <w:p>
      <w:pPr>
        <w:spacing w:after="0" w:line="184" w:lineRule="exact"/>
        <w:rPr>
          <w:sz w:val="20"/>
          <w:szCs w:val="20"/>
          <w:color w:val="auto"/>
        </w:rPr>
      </w:pPr>
    </w:p>
    <w:p>
      <w:pPr>
        <w:jc w:val="both"/>
        <w:ind w:left="1300"/>
        <w:spacing w:after="0" w:line="273" w:lineRule="auto"/>
        <w:rPr>
          <w:sz w:val="20"/>
          <w:szCs w:val="20"/>
          <w:color w:val="auto"/>
        </w:rPr>
      </w:pPr>
      <w:r>
        <w:rPr>
          <w:rFonts w:ascii="Arial" w:cs="Arial" w:eastAsia="Arial" w:hAnsi="Arial"/>
          <w:sz w:val="19"/>
          <w:szCs w:val="19"/>
          <w:color w:val="auto"/>
        </w:rPr>
        <w:t xml:space="preserve">One hundred percent (100%) of the total Awarded Units shall vest and become Vested RSUs on </w:t>
      </w:r>
      <w:r>
        <w:rPr>
          <w:rFonts w:ascii="Arial" w:cs="Arial" w:eastAsia="Arial" w:hAnsi="Arial"/>
          <w:sz w:val="19"/>
          <w:szCs w:val="19"/>
          <w:b w:val="1"/>
          <w:bCs w:val="1"/>
          <w:color w:val="auto"/>
        </w:rPr>
        <w:t>[DATE]</w:t>
      </w:r>
      <w:r>
        <w:rPr>
          <w:rFonts w:ascii="Arial" w:cs="Arial" w:eastAsia="Arial" w:hAnsi="Arial"/>
          <w:sz w:val="19"/>
          <w:szCs w:val="19"/>
          <w:color w:val="auto"/>
        </w:rPr>
        <w:t xml:space="preserve">, or if sooner, immediately prior to the election of the nominees for director at the </w:t>
      </w:r>
      <w:r>
        <w:rPr>
          <w:rFonts w:ascii="Arial" w:cs="Arial" w:eastAsia="Arial" w:hAnsi="Arial"/>
          <w:sz w:val="19"/>
          <w:szCs w:val="19"/>
          <w:b w:val="1"/>
          <w:bCs w:val="1"/>
          <w:color w:val="auto"/>
        </w:rPr>
        <w:t>[YEAR]</w:t>
      </w:r>
      <w:r>
        <w:rPr>
          <w:rFonts w:ascii="Arial" w:cs="Arial" w:eastAsia="Arial" w:hAnsi="Arial"/>
          <w:sz w:val="19"/>
          <w:szCs w:val="19"/>
          <w:color w:val="auto"/>
        </w:rPr>
        <w:t xml:space="preserve"> annual meeting of shareholders of the Company, provided that the Participant does not experience a Termination of Service prior to such date.</w:t>
      </w:r>
    </w:p>
    <w:p>
      <w:pPr>
        <w:spacing w:after="0" w:line="17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Notwithstanding the foregoing, immediately prior to the occurrence of a Change in Control, all Unvested RSUs shall immediately vest and become Vested RSUs.</w:t>
      </w:r>
    </w:p>
    <w:p>
      <w:pPr>
        <w:spacing w:after="0" w:line="190" w:lineRule="exact"/>
        <w:rPr>
          <w:sz w:val="20"/>
          <w:szCs w:val="20"/>
          <w:color w:val="auto"/>
        </w:rPr>
      </w:pPr>
    </w:p>
    <w:p>
      <w:pPr>
        <w:jc w:val="both"/>
        <w:ind w:left="660" w:firstLine="645"/>
        <w:spacing w:after="0" w:line="260" w:lineRule="auto"/>
        <w:tabs>
          <w:tab w:leader="none" w:pos="173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Subject to the provisions of the Plan and this Agreement and provided that the Awarded Units have not been forfeited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 Vested RSUs shall be settled within thirty (30) days following the applicable vesting date of the Awarded Units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above. The Company shall convert such Awarded Units (to the extent such Awarded Units are Vested RSUs) into the number of whole shares of Common Stock equal to the number of Awarded Units converted and shall deliver to the Participant or the Participant’s personal representative such shares of Common Stock.</w:t>
      </w:r>
    </w:p>
    <w:p>
      <w:pPr>
        <w:spacing w:after="0" w:line="205" w:lineRule="exact"/>
        <w:rPr>
          <w:rFonts w:ascii="Arial" w:cs="Arial" w:eastAsia="Arial" w:hAnsi="Arial"/>
          <w:sz w:val="19"/>
          <w:szCs w:val="19"/>
          <w:color w:val="auto"/>
        </w:rPr>
      </w:pPr>
    </w:p>
    <w:p>
      <w:pPr>
        <w:ind w:left="5680" w:hanging="86"/>
        <w:spacing w:after="0"/>
        <w:tabs>
          <w:tab w:leader="none" w:pos="56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1 -</w:t>
      </w:r>
    </w:p>
    <w:p>
      <w:pPr>
        <w:sectPr>
          <w:pgSz w:w="11900" w:h="16838" w:orient="portrait"/>
          <w:cols w:equalWidth="0" w:num="1">
            <w:col w:w="11420"/>
          </w:cols>
          <w:pgMar w:left="240" w:top="148" w:right="239" w:bottom="1440" w:gutter="0" w:footer="0" w:header="0"/>
        </w:sectPr>
      </w:pPr>
    </w:p>
    <w:bookmarkStart w:id="49" w:name="page50"/>
    <w:bookmarkEnd w:id="49"/>
    <w:p>
      <w:pPr>
        <w:ind w:left="1460" w:hanging="804"/>
        <w:spacing w:after="0"/>
        <w:tabs>
          <w:tab w:leader="none" w:pos="146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Forfeiture of Awarded Units</w:t>
      </w:r>
      <w:r>
        <w:rPr>
          <w:rFonts w:ascii="Arial" w:cs="Arial" w:eastAsia="Arial" w:hAnsi="Arial"/>
          <w:sz w:val="19"/>
          <w:szCs w:val="19"/>
          <w:color w:val="auto"/>
        </w:rPr>
        <w:t>. The Participant shall immediately forfeit all of the Participant’s Unvested RSUs upon the</w:t>
      </w:r>
    </w:p>
    <w:p>
      <w:pPr>
        <w:spacing w:after="0" w:line="51" w:lineRule="exact"/>
        <w:rPr>
          <w:rFonts w:ascii="Arial" w:cs="Arial" w:eastAsia="Arial" w:hAnsi="Arial"/>
          <w:sz w:val="19"/>
          <w:szCs w:val="19"/>
          <w:color w:val="auto"/>
        </w:rPr>
      </w:pPr>
    </w:p>
    <w:p>
      <w:pPr>
        <w:jc w:val="both"/>
        <w:spacing w:after="0" w:line="322" w:lineRule="auto"/>
        <w:rPr>
          <w:rFonts w:ascii="Arial" w:cs="Arial" w:eastAsia="Arial" w:hAnsi="Arial"/>
          <w:sz w:val="19"/>
          <w:szCs w:val="19"/>
          <w:color w:val="auto"/>
        </w:rPr>
      </w:pPr>
      <w:r>
        <w:rPr>
          <w:rFonts w:ascii="Arial" w:cs="Arial" w:eastAsia="Arial" w:hAnsi="Arial"/>
          <w:sz w:val="18"/>
          <w:szCs w:val="18"/>
          <w:color w:val="auto"/>
        </w:rPr>
        <w:t>Participant’s Total and Permanent Disability, death or upon the Participant’s Termination of Service for any reason, without any action on the part of the Participant or the Company and without the payment of any consideration therefor. Upon forfeiture, all of the Participant’s rights with respect to the forfeited Unvested RSUs shall cease and terminate, without any further obligations on the part of the Company.</w:t>
      </w:r>
    </w:p>
    <w:p>
      <w:pPr>
        <w:spacing w:after="0" w:line="166" w:lineRule="exact"/>
        <w:rPr>
          <w:rFonts w:ascii="Arial" w:cs="Arial" w:eastAsia="Arial" w:hAnsi="Arial"/>
          <w:sz w:val="19"/>
          <w:szCs w:val="19"/>
          <w:color w:val="auto"/>
        </w:rPr>
      </w:pPr>
    </w:p>
    <w:p>
      <w:pPr>
        <w:jc w:val="both"/>
        <w:ind w:firstLine="656"/>
        <w:spacing w:after="0" w:line="273" w:lineRule="auto"/>
        <w:tabs>
          <w:tab w:leader="none" w:pos="144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Who May Receive Converted Awarded Units</w:t>
      </w:r>
      <w:r>
        <w:rPr>
          <w:rFonts w:ascii="Arial" w:cs="Arial" w:eastAsia="Arial" w:hAnsi="Arial"/>
          <w:sz w:val="20"/>
          <w:szCs w:val="20"/>
          <w:color w:val="auto"/>
        </w:rPr>
        <w:t>. During the lifetime of the Participant, the Common Stock received upon conversion of Awarded Units may only be received by the Participant or his or her legal representative. If the Participant dies after the time that his or her Awarded Units become vested but prior to the time his or her Awarded Units are converted into shares of Common Stock, the Common Stock relating to such converted Awarded Units may be received by any individual who is entitled to receive the property of the Participant pursuant to the applicable laws of descent and distribution.</w:t>
      </w:r>
    </w:p>
    <w:p>
      <w:pPr>
        <w:spacing w:after="0" w:line="204" w:lineRule="exact"/>
        <w:rPr>
          <w:rFonts w:ascii="Arial" w:cs="Arial" w:eastAsia="Arial" w:hAnsi="Arial"/>
          <w:sz w:val="20"/>
          <w:szCs w:val="20"/>
          <w:color w:val="auto"/>
        </w:rPr>
      </w:pPr>
    </w:p>
    <w:p>
      <w:pPr>
        <w:ind w:firstLine="656"/>
        <w:spacing w:after="0" w:line="289" w:lineRule="auto"/>
        <w:tabs>
          <w:tab w:leader="none" w:pos="144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No Fractional Shares</w:t>
      </w:r>
      <w:r>
        <w:rPr>
          <w:rFonts w:ascii="Arial" w:cs="Arial" w:eastAsia="Arial" w:hAnsi="Arial"/>
          <w:sz w:val="20"/>
          <w:szCs w:val="20"/>
          <w:color w:val="auto"/>
        </w:rPr>
        <w:t>. Awarded Units may be converted only with respect to full shares, and no fractional share of Common Stock shall be issued.</w:t>
      </w:r>
    </w:p>
    <w:p>
      <w:pPr>
        <w:spacing w:after="0" w:line="188" w:lineRule="exact"/>
        <w:rPr>
          <w:rFonts w:ascii="Arial" w:cs="Arial" w:eastAsia="Arial" w:hAnsi="Arial"/>
          <w:sz w:val="20"/>
          <w:szCs w:val="20"/>
          <w:color w:val="auto"/>
        </w:rPr>
      </w:pPr>
    </w:p>
    <w:p>
      <w:pPr>
        <w:jc w:val="both"/>
        <w:ind w:firstLine="656"/>
        <w:spacing w:after="0" w:line="304" w:lineRule="auto"/>
        <w:tabs>
          <w:tab w:leader="none" w:pos="144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The Awarded Units are not assignable or transferable by the Participant except (i) by will or by the laws of descent and distribution and (ii) the Participant may transfer, for no consideration, some or all of the Awarded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service with the Company or its Subsidiaries shall continue to relate to the Participant’s continued service.</w:t>
      </w:r>
    </w:p>
    <w:p>
      <w:pPr>
        <w:spacing w:after="0" w:line="184" w:lineRule="exact"/>
        <w:rPr>
          <w:rFonts w:ascii="Arial" w:cs="Arial" w:eastAsia="Arial" w:hAnsi="Arial"/>
          <w:sz w:val="18"/>
          <w:szCs w:val="18"/>
          <w:color w:val="auto"/>
        </w:rPr>
      </w:pPr>
    </w:p>
    <w:p>
      <w:pPr>
        <w:jc w:val="both"/>
        <w:ind w:firstLine="656"/>
        <w:spacing w:after="0" w:line="288" w:lineRule="auto"/>
        <w:tabs>
          <w:tab w:leader="none" w:pos="1445"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The Participant will have no rights as a shareholder with respect to any shares covered by this Agreement until the issuance of a certificate or certificates to the Participant or the registration of such shares in the Participant’s name for the shares of Common Stock. The Awarded Units shall be subject to the terms and conditions of this Agreement. Except as otherwise provided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no adjustment shall be made for dividends or other rights for which the record date is prior to the issuance of such shares of Common Stock. The Participant, by his or her execution of this Agreement, agrees to execute any documents requested by the Company in connection with the issuance of such shares of Common Stock.</w:t>
      </w:r>
    </w:p>
    <w:p>
      <w:pPr>
        <w:spacing w:after="0" w:line="196" w:lineRule="exact"/>
        <w:rPr>
          <w:rFonts w:ascii="Arial" w:cs="Arial" w:eastAsia="Arial" w:hAnsi="Arial"/>
          <w:sz w:val="19"/>
          <w:szCs w:val="19"/>
          <w:color w:val="auto"/>
        </w:rPr>
      </w:pPr>
    </w:p>
    <w:p>
      <w:pPr>
        <w:ind w:firstLine="656"/>
        <w:spacing w:after="0" w:line="289" w:lineRule="auto"/>
        <w:tabs>
          <w:tab w:leader="none" w:pos="144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Adjustment of Number of Awarded Units and Related Matters</w:t>
      </w:r>
      <w:r>
        <w:rPr>
          <w:rFonts w:ascii="Arial" w:cs="Arial" w:eastAsia="Arial" w:hAnsi="Arial"/>
          <w:sz w:val="20"/>
          <w:szCs w:val="20"/>
          <w:color w:val="auto"/>
        </w:rPr>
        <w:t xml:space="preserve">. The number of shares of Common Stock covered by the Awarded Units shall be subject to adjustment in accordance with </w:t>
      </w:r>
      <w:r>
        <w:rPr>
          <w:rFonts w:ascii="Arial" w:cs="Arial" w:eastAsia="Arial" w:hAnsi="Arial"/>
          <w:sz w:val="20"/>
          <w:szCs w:val="20"/>
          <w:u w:val="single" w:color="auto"/>
          <w:color w:val="auto"/>
        </w:rPr>
        <w:t>Articles 11-13</w:t>
      </w:r>
      <w:r>
        <w:rPr>
          <w:rFonts w:ascii="Arial" w:cs="Arial" w:eastAsia="Arial" w:hAnsi="Arial"/>
          <w:sz w:val="20"/>
          <w:szCs w:val="20"/>
          <w:color w:val="auto"/>
        </w:rPr>
        <w:t xml:space="preserve"> of the Plan.</w:t>
      </w:r>
    </w:p>
    <w:p>
      <w:pPr>
        <w:spacing w:after="0" w:line="188" w:lineRule="exact"/>
        <w:rPr>
          <w:rFonts w:ascii="Arial" w:cs="Arial" w:eastAsia="Arial" w:hAnsi="Arial"/>
          <w:sz w:val="20"/>
          <w:szCs w:val="20"/>
          <w:color w:val="auto"/>
        </w:rPr>
      </w:pPr>
    </w:p>
    <w:p>
      <w:pPr>
        <w:jc w:val="both"/>
        <w:ind w:firstLine="656"/>
        <w:spacing w:after="0" w:line="290" w:lineRule="auto"/>
        <w:tabs>
          <w:tab w:leader="none" w:pos="15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Participant’s Representations</w:t>
      </w:r>
      <w:r>
        <w:rPr>
          <w:rFonts w:ascii="Arial" w:cs="Arial" w:eastAsia="Arial" w:hAnsi="Arial"/>
          <w:sz w:val="19"/>
          <w:szCs w:val="19"/>
          <w:color w:val="auto"/>
        </w:rPr>
        <w:t>. Notwithstanding any of the provisions hereof, the Participant hereby agrees that the Company will not be obligated to issue any shares of Common Stock to the Participant hereunder if the issuance of such shares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Any determination in this connection by the</w:t>
      </w:r>
    </w:p>
    <w:p>
      <w:pPr>
        <w:spacing w:after="0" w:line="190" w:lineRule="exact"/>
        <w:rPr>
          <w:rFonts w:ascii="Arial" w:cs="Arial" w:eastAsia="Arial" w:hAnsi="Arial"/>
          <w:sz w:val="19"/>
          <w:szCs w:val="19"/>
          <w:color w:val="auto"/>
        </w:rPr>
      </w:pPr>
    </w:p>
    <w:p>
      <w:pPr>
        <w:ind w:left="5680" w:hanging="86"/>
        <w:spacing w:after="0"/>
        <w:tabs>
          <w:tab w:leader="none" w:pos="56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420"/>
          </w:cols>
          <w:pgMar w:left="240" w:top="609" w:right="23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20"/>
          <w:szCs w:val="20"/>
          <w:color w:val="auto"/>
        </w:rPr>
        <w:t>Company shall be final, binding, and conclusive. The obligations of the Company and the rights of the Participant are subject to all applicable laws, rules, and regulations.</w:t>
      </w:r>
    </w:p>
    <w:p>
      <w:pPr>
        <w:spacing w:after="0" w:line="189" w:lineRule="exact"/>
        <w:rPr>
          <w:sz w:val="20"/>
          <w:szCs w:val="20"/>
          <w:color w:val="auto"/>
        </w:rPr>
      </w:pPr>
    </w:p>
    <w:p>
      <w:pPr>
        <w:jc w:val="both"/>
        <w:ind w:firstLine="656"/>
        <w:spacing w:after="0" w:line="286" w:lineRule="auto"/>
        <w:tabs>
          <w:tab w:leader="none" w:pos="153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w:t>
      </w:r>
      <w:r>
        <w:rPr>
          <w:rFonts w:ascii="Arial" w:cs="Arial" w:eastAsia="Arial" w:hAnsi="Arial"/>
          <w:sz w:val="19"/>
          <w:szCs w:val="19"/>
          <w:color w:val="auto"/>
        </w:rPr>
        <w:t>. Unless the shares of Common Stock are issued to the Participant in a transaction registered under applicable federal and state securities laws, by his or her execution hereof, the Participant represents and warrants to the Company that all Common Stock which may be acquired hereunder will be acquired by the Participant for investment purposes for his or her own account and not with any intent for resale or distribution in violation of federal or state securities laws. Unless the Common Stock is issued to the Participant in a transaction registered under the applicable federal and state securities laws, all certificates issued with respect to the Common Stock shall bear an appropriate restrictive investment legend and shall be held indefinitely, unless they are subsequently registered under the applicable federal and state securities laws or the Participant obtains an opinion of counsel, in form and substance satisfactory to the Company and its counsel, that such registration is not required.</w:t>
      </w:r>
    </w:p>
    <w:p>
      <w:pPr>
        <w:spacing w:after="0" w:line="199" w:lineRule="exact"/>
        <w:rPr>
          <w:rFonts w:ascii="Arial" w:cs="Arial" w:eastAsia="Arial" w:hAnsi="Arial"/>
          <w:sz w:val="19"/>
          <w:szCs w:val="19"/>
          <w:color w:val="auto"/>
        </w:rPr>
      </w:pPr>
    </w:p>
    <w:p>
      <w:pPr>
        <w:jc w:val="both"/>
        <w:ind w:right="20" w:firstLine="656"/>
        <w:spacing w:after="0" w:line="314" w:lineRule="auto"/>
        <w:tabs>
          <w:tab w:leader="none" w:pos="15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Participant’s Acknowledgments</w:t>
      </w:r>
      <w:r>
        <w:rPr>
          <w:rFonts w:ascii="Arial" w:cs="Arial" w:eastAsia="Arial" w:hAnsi="Arial"/>
          <w:sz w:val="18"/>
          <w:szCs w:val="18"/>
          <w:color w:val="auto"/>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72" w:lineRule="exact"/>
        <w:rPr>
          <w:rFonts w:ascii="Arial" w:cs="Arial" w:eastAsia="Arial" w:hAnsi="Arial"/>
          <w:sz w:val="18"/>
          <w:szCs w:val="18"/>
          <w:color w:val="auto"/>
        </w:rPr>
      </w:pPr>
    </w:p>
    <w:p>
      <w:pPr>
        <w:jc w:val="both"/>
        <w:ind w:firstLine="656"/>
        <w:spacing w:after="0" w:line="278" w:lineRule="auto"/>
        <w:tabs>
          <w:tab w:leader="none" w:pos="154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00" w:lineRule="exact"/>
        <w:rPr>
          <w:rFonts w:ascii="Arial" w:cs="Arial" w:eastAsia="Arial" w:hAnsi="Arial"/>
          <w:sz w:val="20"/>
          <w:szCs w:val="20"/>
          <w:color w:val="auto"/>
        </w:rPr>
      </w:pPr>
    </w:p>
    <w:p>
      <w:pPr>
        <w:jc w:val="both"/>
        <w:ind w:firstLine="656"/>
        <w:spacing w:after="0" w:line="278" w:lineRule="auto"/>
        <w:tabs>
          <w:tab w:leader="none" w:pos="154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w:t>
      </w:r>
      <w:r>
        <w:rPr>
          <w:rFonts w:ascii="Arial" w:cs="Arial" w:eastAsia="Arial" w:hAnsi="Arial"/>
          <w:sz w:val="20"/>
          <w:szCs w:val="20"/>
          <w:color w:val="auto"/>
        </w:rPr>
        <w:t>. Nothing herein shall be construed to confer upon the Participant the right to continue to provide services to the Company or any Subsidiary, or interfere with or restrict in any way the right of the Company or any Subsidiary to discharge the Participant at any time.</w:t>
      </w:r>
    </w:p>
    <w:p>
      <w:pPr>
        <w:spacing w:after="0" w:line="200" w:lineRule="exact"/>
        <w:rPr>
          <w:rFonts w:ascii="Arial" w:cs="Arial" w:eastAsia="Arial" w:hAnsi="Arial"/>
          <w:sz w:val="20"/>
          <w:szCs w:val="20"/>
          <w:color w:val="auto"/>
        </w:rPr>
      </w:pPr>
    </w:p>
    <w:p>
      <w:pPr>
        <w:jc w:val="both"/>
        <w:ind w:firstLine="656"/>
        <w:spacing w:after="0" w:line="273" w:lineRule="auto"/>
        <w:tabs>
          <w:tab w:leader="none" w:pos="154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04" w:lineRule="exact"/>
        <w:rPr>
          <w:rFonts w:ascii="Arial" w:cs="Arial" w:eastAsia="Arial" w:hAnsi="Arial"/>
          <w:sz w:val="20"/>
          <w:szCs w:val="20"/>
          <w:color w:val="auto"/>
        </w:rPr>
      </w:pPr>
    </w:p>
    <w:p>
      <w:pPr>
        <w:jc w:val="both"/>
        <w:ind w:firstLine="656"/>
        <w:spacing w:after="0" w:line="293" w:lineRule="auto"/>
        <w:tabs>
          <w:tab w:leader="none" w:pos="15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Covenants and Agreements as Independent Agreements</w:t>
      </w:r>
      <w:r>
        <w:rPr>
          <w:rFonts w:ascii="Arial" w:cs="Arial" w:eastAsia="Arial" w:hAnsi="Arial"/>
          <w:sz w:val="19"/>
          <w:szCs w:val="19"/>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189" w:lineRule="exact"/>
        <w:rPr>
          <w:rFonts w:ascii="Arial" w:cs="Arial" w:eastAsia="Arial" w:hAnsi="Arial"/>
          <w:sz w:val="19"/>
          <w:szCs w:val="19"/>
          <w:color w:val="auto"/>
        </w:rPr>
      </w:pPr>
    </w:p>
    <w:p>
      <w:pPr>
        <w:jc w:val="both"/>
        <w:ind w:firstLine="656"/>
        <w:spacing w:after="0" w:line="288" w:lineRule="auto"/>
        <w:tabs>
          <w:tab w:leader="none" w:pos="15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w:t>
      </w:r>
    </w:p>
    <w:p>
      <w:pPr>
        <w:spacing w:after="0" w:line="194" w:lineRule="exact"/>
        <w:rPr>
          <w:rFonts w:ascii="Arial" w:cs="Arial" w:eastAsia="Arial" w:hAnsi="Arial"/>
          <w:sz w:val="19"/>
          <w:szCs w:val="19"/>
          <w:color w:val="auto"/>
        </w:rPr>
      </w:pPr>
    </w:p>
    <w:p>
      <w:pPr>
        <w:ind w:left="5680" w:hanging="86"/>
        <w:spacing w:after="0"/>
        <w:tabs>
          <w:tab w:leader="none" w:pos="56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20"/>
          </w:cols>
          <w:pgMar w:left="240" w:top="379" w:right="239" w:bottom="1440" w:gutter="0" w:footer="0" w:header="0"/>
        </w:sectPr>
      </w:pPr>
    </w:p>
    <w:bookmarkStart w:id="51" w:name="page52"/>
    <w:bookmarkEnd w:id="51"/>
    <w:p>
      <w:pPr>
        <w:spacing w:after="0" w:line="289" w:lineRule="auto"/>
        <w:rPr>
          <w:sz w:val="20"/>
          <w:szCs w:val="20"/>
          <w:color w:val="auto"/>
        </w:rPr>
      </w:pPr>
      <w:r>
        <w:rPr>
          <w:rFonts w:ascii="Arial" w:cs="Arial" w:eastAsia="Arial" w:hAnsi="Arial"/>
          <w:sz w:val="20"/>
          <w:szCs w:val="20"/>
          <w:color w:val="auto"/>
        </w:rPr>
        <w:t>in this Agreement or the Plan and that any agreement, statement or promise that is not contained in this Agreement or the Plan shall not be valid or binding or of any force or effect.</w:t>
      </w:r>
    </w:p>
    <w:p>
      <w:pPr>
        <w:spacing w:after="0" w:line="189" w:lineRule="exact"/>
        <w:rPr>
          <w:sz w:val="20"/>
          <w:szCs w:val="20"/>
          <w:color w:val="auto"/>
        </w:rPr>
      </w:pPr>
    </w:p>
    <w:p>
      <w:pPr>
        <w:jc w:val="both"/>
        <w:ind w:firstLine="656"/>
        <w:spacing w:after="0" w:line="273" w:lineRule="auto"/>
        <w:tabs>
          <w:tab w:leader="none" w:pos="154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Units without first executing and delivering an agreement in a form satisfactory to the Company making such person or entity subject to the restrictions on transfer contained herein.</w:t>
      </w:r>
    </w:p>
    <w:p>
      <w:pPr>
        <w:spacing w:after="0" w:line="204" w:lineRule="exact"/>
        <w:rPr>
          <w:rFonts w:ascii="Arial" w:cs="Arial" w:eastAsia="Arial" w:hAnsi="Arial"/>
          <w:sz w:val="20"/>
          <w:szCs w:val="20"/>
          <w:color w:val="auto"/>
        </w:rPr>
      </w:pPr>
    </w:p>
    <w:p>
      <w:pPr>
        <w:jc w:val="both"/>
        <w:ind w:firstLine="656"/>
        <w:spacing w:after="0" w:line="285" w:lineRule="auto"/>
        <w:tabs>
          <w:tab w:leader="none" w:pos="154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9"/>
          <w:szCs w:val="19"/>
          <w:u w:val="single" w:color="auto"/>
          <w:color w:val="auto"/>
        </w:rPr>
        <w:t>Section 19</w:t>
      </w:r>
      <w:r>
        <w:rPr>
          <w:rFonts w:ascii="Arial" w:cs="Arial" w:eastAsia="Arial" w:hAnsi="Arial"/>
          <w:sz w:val="19"/>
          <w:szCs w:val="19"/>
          <w:color w:val="auto"/>
        </w:rPr>
        <w:t>, the Company may amend the Plan to the extent permitted by the Plan.</w:t>
      </w:r>
    </w:p>
    <w:p>
      <w:pPr>
        <w:spacing w:after="0" w:line="201" w:lineRule="exact"/>
        <w:rPr>
          <w:rFonts w:ascii="Arial" w:cs="Arial" w:eastAsia="Arial" w:hAnsi="Arial"/>
          <w:sz w:val="19"/>
          <w:szCs w:val="19"/>
          <w:color w:val="auto"/>
        </w:rPr>
      </w:pPr>
    </w:p>
    <w:p>
      <w:pPr>
        <w:ind w:firstLine="656"/>
        <w:spacing w:after="0" w:line="289" w:lineRule="auto"/>
        <w:tabs>
          <w:tab w:leader="none" w:pos="154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188" w:lineRule="exact"/>
        <w:rPr>
          <w:rFonts w:ascii="Arial" w:cs="Arial" w:eastAsia="Arial" w:hAnsi="Arial"/>
          <w:sz w:val="20"/>
          <w:szCs w:val="20"/>
          <w:color w:val="auto"/>
        </w:rPr>
      </w:pPr>
    </w:p>
    <w:p>
      <w:pPr>
        <w:ind w:firstLine="656"/>
        <w:spacing w:after="0" w:line="316" w:lineRule="auto"/>
        <w:tabs>
          <w:tab w:leader="none" w:pos="154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67" w:lineRule="exact"/>
        <w:rPr>
          <w:rFonts w:ascii="Arial" w:cs="Arial" w:eastAsia="Arial" w:hAnsi="Arial"/>
          <w:sz w:val="19"/>
          <w:szCs w:val="19"/>
          <w:color w:val="auto"/>
        </w:rPr>
      </w:pPr>
    </w:p>
    <w:p>
      <w:pPr>
        <w:jc w:val="both"/>
        <w:ind w:firstLine="656"/>
        <w:spacing w:after="0" w:line="278" w:lineRule="auto"/>
        <w:tabs>
          <w:tab w:leader="none" w:pos="154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187" w:lineRule="exact"/>
        <w:rPr>
          <w:sz w:val="20"/>
          <w:szCs w:val="20"/>
          <w:color w:val="auto"/>
        </w:rPr>
      </w:pPr>
    </w:p>
    <w:p>
      <w:pPr>
        <w:ind w:left="1640" w:hanging="335"/>
        <w:spacing w:after="0"/>
        <w:tabs>
          <w:tab w:leader="none" w:pos="1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Matador Resources Company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5400 LBJ Fwy, Suite 1500</w:t>
      </w:r>
    </w:p>
    <w:p>
      <w:pPr>
        <w:ind w:left="1960"/>
        <w:spacing w:after="0"/>
        <w:rPr>
          <w:sz w:val="20"/>
          <w:szCs w:val="20"/>
          <w:color w:val="auto"/>
        </w:rPr>
      </w:pPr>
      <w:r>
        <w:rPr>
          <w:rFonts w:ascii="Arial" w:cs="Arial" w:eastAsia="Arial" w:hAnsi="Arial"/>
          <w:sz w:val="20"/>
          <w:szCs w:val="20"/>
          <w:color w:val="auto"/>
        </w:rPr>
        <w:t>Dallas, TX 75240</w:t>
      </w:r>
    </w:p>
    <w:p>
      <w:pPr>
        <w:ind w:left="1960"/>
        <w:spacing w:after="0"/>
        <w:rPr>
          <w:sz w:val="20"/>
          <w:szCs w:val="20"/>
          <w:color w:val="auto"/>
        </w:rPr>
      </w:pPr>
      <w:r>
        <w:rPr>
          <w:rFonts w:ascii="Arial" w:cs="Arial" w:eastAsia="Arial" w:hAnsi="Arial"/>
          <w:sz w:val="20"/>
          <w:szCs w:val="20"/>
          <w:color w:val="auto"/>
        </w:rPr>
        <w:t>Attn: General Counsel</w:t>
      </w:r>
    </w:p>
    <w:p>
      <w:pPr>
        <w:ind w:left="1960"/>
        <w:spacing w:after="0"/>
        <w:rPr>
          <w:sz w:val="20"/>
          <w:szCs w:val="20"/>
          <w:color w:val="auto"/>
        </w:rPr>
      </w:pPr>
      <w:r>
        <w:rPr>
          <w:rFonts w:ascii="Arial" w:cs="Arial" w:eastAsia="Arial" w:hAnsi="Arial"/>
          <w:sz w:val="20"/>
          <w:szCs w:val="20"/>
          <w:color w:val="auto"/>
        </w:rPr>
        <w:t>Facsimile: (972) 371-5201</w:t>
      </w:r>
    </w:p>
    <w:p>
      <w:pPr>
        <w:spacing w:after="0" w:line="200" w:lineRule="exact"/>
        <w:rPr>
          <w:sz w:val="20"/>
          <w:szCs w:val="20"/>
          <w:color w:val="auto"/>
        </w:rPr>
      </w:pPr>
    </w:p>
    <w:p>
      <w:pPr>
        <w:ind w:left="1660" w:hanging="355"/>
        <w:spacing w:after="0"/>
        <w:tabs>
          <w:tab w:leader="none" w:pos="1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Notice to the Participant shall be addressed and delivered as set forth on the signature page.</w:t>
      </w:r>
    </w:p>
    <w:p>
      <w:pPr>
        <w:spacing w:after="0" w:line="200" w:lineRule="exact"/>
        <w:rPr>
          <w:rFonts w:ascii="Arial" w:cs="Arial" w:eastAsia="Arial" w:hAnsi="Arial"/>
          <w:sz w:val="20"/>
          <w:szCs w:val="20"/>
          <w:color w:val="auto"/>
        </w:rPr>
      </w:pPr>
    </w:p>
    <w:p>
      <w:pPr>
        <w:spacing w:after="0" w:line="270" w:lineRule="exact"/>
        <w:rPr>
          <w:rFonts w:ascii="Arial" w:cs="Arial" w:eastAsia="Arial" w:hAnsi="Arial"/>
          <w:sz w:val="20"/>
          <w:szCs w:val="20"/>
          <w:color w:val="auto"/>
        </w:rPr>
      </w:pPr>
    </w:p>
    <w:p>
      <w:pPr>
        <w:ind w:left="5680" w:hanging="86"/>
        <w:spacing w:after="0"/>
        <w:tabs>
          <w:tab w:leader="none" w:pos="56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1420"/>
          </w:cols>
          <w:pgMar w:left="240" w:top="379" w:right="239" w:bottom="1440" w:gutter="0" w:footer="0" w:header="0"/>
        </w:sectPr>
      </w:pPr>
    </w:p>
    <w:bookmarkStart w:id="52" w:name="page53"/>
    <w:bookmarkEnd w:id="52"/>
    <w:p>
      <w:pPr>
        <w:jc w:val="both"/>
        <w:ind w:right="20" w:firstLine="656"/>
        <w:spacing w:after="0" w:line="299" w:lineRule="auto"/>
        <w:tabs>
          <w:tab w:leader="none" w:pos="154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Tax Requirements</w:t>
      </w:r>
      <w:r>
        <w:rPr>
          <w:rFonts w:ascii="Arial" w:cs="Arial" w:eastAsia="Arial" w:hAnsi="Arial"/>
          <w:sz w:val="19"/>
          <w:szCs w:val="19"/>
          <w:color w:val="auto"/>
        </w:rPr>
        <w:t>. The Participant is hereby advised to consult immediately with his or her own tax advisor regarding the tax consequences of this Agreement. The Participant, as an Outside Director, shall be solely responsible for withholding taxes or any necessary payments to any taxing authority in connection with the award, vesting and conversion of the Awarded Units.</w:t>
      </w:r>
    </w:p>
    <w:p>
      <w:pPr>
        <w:spacing w:after="0" w:line="182" w:lineRule="exact"/>
        <w:rPr>
          <w:rFonts w:ascii="Arial" w:cs="Arial" w:eastAsia="Arial" w:hAnsi="Arial"/>
          <w:sz w:val="19"/>
          <w:szCs w:val="19"/>
          <w:color w:val="auto"/>
        </w:rPr>
      </w:pPr>
    </w:p>
    <w:p>
      <w:pPr>
        <w:jc w:val="both"/>
        <w:ind w:firstLine="656"/>
        <w:spacing w:after="0" w:line="301" w:lineRule="auto"/>
        <w:tabs>
          <w:tab w:leader="none" w:pos="15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to the contrary and in the event the payments and benefits set forth herein are subject to Code Section 409A, (i) a Termination of Service shall not be deemed to have occurred for purposes of any provision of this Agreement unless such termination is also a “separation from service” within the meaning of Code Section 409A; and (ii) a Total and Permanent Disability shall not be deemed to have occurred for purposes of any provision of this Agreement unless such disability is also a “disability”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 (A)), shall be delayed and paid or provided to the Participant on the earlier of the date which immediately follows six (6) months after the Participant’s separation from service or, if earlier, the date of the Participant’s death.</w:t>
      </w:r>
    </w:p>
    <w:p>
      <w:pPr>
        <w:spacing w:after="0" w:line="177" w:lineRule="exact"/>
        <w:rPr>
          <w:rFonts w:ascii="Arial" w:cs="Arial" w:eastAsia="Arial" w:hAnsi="Arial"/>
          <w:sz w:val="18"/>
          <w:szCs w:val="18"/>
          <w:color w:val="auto"/>
        </w:rPr>
      </w:pPr>
    </w:p>
    <w:p>
      <w:pPr>
        <w:jc w:val="both"/>
        <w:ind w:firstLine="656"/>
        <w:spacing w:after="0" w:line="273" w:lineRule="auto"/>
        <w:tabs>
          <w:tab w:leader="none" w:pos="154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Restrictions on Resale</w:t>
      </w:r>
      <w:r>
        <w:rPr>
          <w:rFonts w:ascii="Arial" w:cs="Arial" w:eastAsia="Arial" w:hAnsi="Arial"/>
          <w:sz w:val="20"/>
          <w:szCs w:val="20"/>
          <w:color w:val="auto"/>
        </w:rPr>
        <w:t>. The Company may impose such restrictions, conditions or limitations as it determines appropriate as to the timing and manner of any resales by the Participant or other subsequent transfers by the Participant of any shares acquired under this Agreement, including without limitation (a) restrictions under an insider trading policy, (b) restrictions designed to delay and/or coordinate the timing and manner of sales by the Participant and other holders and (c) restrictions as to the use of a specified brokerage firm for such resales or other transfers.</w:t>
      </w:r>
    </w:p>
    <w:p>
      <w:pPr>
        <w:spacing w:after="0" w:line="191" w:lineRule="exact"/>
        <w:rPr>
          <w:rFonts w:ascii="Arial" w:cs="Arial" w:eastAsia="Arial" w:hAnsi="Arial"/>
          <w:sz w:val="20"/>
          <w:szCs w:val="20"/>
          <w:color w:val="auto"/>
        </w:rPr>
      </w:pPr>
    </w:p>
    <w:p>
      <w:pPr>
        <w:jc w:val="both"/>
        <w:ind w:right="20" w:firstLine="656"/>
        <w:spacing w:after="0" w:line="322" w:lineRule="auto"/>
        <w:tabs>
          <w:tab w:leader="none" w:pos="15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Units via Company web site or other electronic delivery.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420"/>
          </w:cols>
          <w:pgMar w:left="240" w:top="379" w:right="239" w:bottom="1440" w:gutter="0" w:footer="0" w:header="0"/>
        </w:sectPr>
      </w:pPr>
    </w:p>
    <w:bookmarkStart w:id="53" w:name="page54"/>
    <w:bookmarkEnd w:id="53"/>
    <w:p>
      <w:pPr>
        <w:jc w:val="both"/>
        <w:ind w:firstLine="648"/>
        <w:spacing w:after="0" w:line="250"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COMPANY:</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MATADOR RESOURCES COMPANY:</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By:__________________________________________</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Name: David E. Lancaster</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Executive Vice President</w:t>
      </w:r>
    </w:p>
    <w:p>
      <w:pPr>
        <w:spacing w:after="0" w:line="372"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auto"/>
        </w:rPr>
        <w:t>PARTICIPANT:</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_____________________________________________</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Signature</w:t>
      </w:r>
    </w:p>
    <w:p>
      <w:pPr>
        <w:spacing w:after="0" w:line="27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[NAME]</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 xml:space="preserve">Address: </w:t>
      </w:r>
      <w:r>
        <w:rPr>
          <w:rFonts w:ascii="Arial" w:cs="Arial" w:eastAsia="Arial" w:hAnsi="Arial"/>
          <w:sz w:val="20"/>
          <w:szCs w:val="20"/>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420"/>
          </w:cols>
          <w:pgMar w:left="240" w:top="36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9"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MATADOR RESOURCES COMPANY</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2019 LONG-TERM INCENTIVE PLAN</w:t>
      </w:r>
    </w:p>
    <w:p>
      <w:pPr>
        <w:spacing w:after="0" w:line="200" w:lineRule="exact"/>
        <w:rPr>
          <w:sz w:val="20"/>
          <w:szCs w:val="20"/>
          <w:color w:val="auto"/>
        </w:rPr>
      </w:pPr>
    </w:p>
    <w:p>
      <w:pPr>
        <w:spacing w:after="0" w:line="256" w:lineRule="exact"/>
        <w:rPr>
          <w:sz w:val="20"/>
          <w:szCs w:val="20"/>
          <w:color w:val="auto"/>
        </w:rPr>
      </w:pPr>
    </w:p>
    <w:p>
      <w:pPr>
        <w:ind w:right="20" w:firstLine="656"/>
        <w:spacing w:after="0" w:line="289" w:lineRule="auto"/>
        <w:tabs>
          <w:tab w:leader="none" w:pos="144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Award of Restricted Stock Units</w:t>
      </w:r>
      <w:r>
        <w:rPr>
          <w:rFonts w:ascii="Arial" w:cs="Arial" w:eastAsia="Arial" w:hAnsi="Arial"/>
          <w:sz w:val="20"/>
          <w:szCs w:val="20"/>
          <w:color w:val="auto"/>
        </w:rPr>
        <w:t>. Pursuant to the Matador Resources Company 2019 Long-Term Incentive Plan (as the same may be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Matador Resources Company, a Texas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[NAME]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 Outside Director of the Company, an Award under the Plan of </w:t>
      </w:r>
      <w:r>
        <w:rPr>
          <w:rFonts w:ascii="Arial" w:cs="Arial" w:eastAsia="Arial" w:hAnsi="Arial"/>
          <w:sz w:val="20"/>
          <w:szCs w:val="20"/>
          <w:b w:val="1"/>
          <w:bCs w:val="1"/>
          <w:color w:val="auto"/>
        </w:rPr>
        <w:t>[NUMBER]</w:t>
      </w:r>
      <w:r>
        <w:rPr>
          <w:rFonts w:ascii="Arial" w:cs="Arial" w:eastAsia="Arial" w:hAnsi="Arial"/>
          <w:sz w:val="20"/>
          <w:szCs w:val="20"/>
          <w:color w:val="auto"/>
        </w:rPr>
        <w:t xml:space="preserve"> Restricted Stock Units (the “</w:t>
      </w:r>
      <w:r>
        <w:rPr>
          <w:rFonts w:ascii="Arial" w:cs="Arial" w:eastAsia="Arial" w:hAnsi="Arial"/>
          <w:sz w:val="20"/>
          <w:szCs w:val="20"/>
          <w:b w:val="1"/>
          <w:bCs w:val="1"/>
          <w:i w:val="1"/>
          <w:iCs w:val="1"/>
          <w:color w:val="auto"/>
        </w:rPr>
        <w:t>Awarded Units</w:t>
      </w:r>
      <w:r>
        <w:rPr>
          <w:rFonts w:ascii="Arial" w:cs="Arial" w:eastAsia="Arial" w:hAnsi="Arial"/>
          <w:sz w:val="20"/>
          <w:szCs w:val="20"/>
          <w:color w:val="auto"/>
        </w:rPr>
        <w:t>”), which may be converted into a number of shares of Common Stock of the Company equal to the number of Awarded Units, subject to (i) the terms and conditions of the Plan and this Restricted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to the extent applicable, (ii) any deferral election validly made with respect to the Awarded Units (the “</w:t>
      </w:r>
      <w:r>
        <w:rPr>
          <w:rFonts w:ascii="Arial" w:cs="Arial" w:eastAsia="Arial" w:hAnsi="Arial"/>
          <w:sz w:val="20"/>
          <w:szCs w:val="20"/>
          <w:b w:val="1"/>
          <w:bCs w:val="1"/>
          <w:i w:val="1"/>
          <w:iCs w:val="1"/>
          <w:color w:val="auto"/>
        </w:rPr>
        <w:t>Election</w:t>
      </w:r>
      <w:r>
        <w:rPr>
          <w:rFonts w:ascii="Arial" w:cs="Arial" w:eastAsia="Arial" w:hAnsi="Arial"/>
          <w:sz w:val="20"/>
          <w:szCs w:val="20"/>
          <w:color w:val="auto"/>
        </w:rPr>
        <w:t>”) pursuant to the Matador Resources Company Nonqualified Deferred Compensation Plan for Non-Employee Directors (the “</w:t>
      </w:r>
      <w:r>
        <w:rPr>
          <w:rFonts w:ascii="Arial" w:cs="Arial" w:eastAsia="Arial" w:hAnsi="Arial"/>
          <w:sz w:val="20"/>
          <w:szCs w:val="20"/>
          <w:b w:val="1"/>
          <w:bCs w:val="1"/>
          <w:i w:val="1"/>
          <w:iCs w:val="1"/>
          <w:color w:val="auto"/>
        </w:rPr>
        <w:t>Deferral Plan</w:t>
      </w:r>
      <w:r>
        <w:rPr>
          <w:rFonts w:ascii="Arial" w:cs="Arial" w:eastAsia="Arial" w:hAnsi="Arial"/>
          <w:sz w:val="20"/>
          <w:szCs w:val="20"/>
          <w:color w:val="auto"/>
        </w:rPr>
        <w:t>”).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xml:space="preserve">” of this Restricted Stock Unit Award is </w:t>
      </w:r>
      <w:r>
        <w:rPr>
          <w:rFonts w:ascii="Arial" w:cs="Arial" w:eastAsia="Arial" w:hAnsi="Arial"/>
          <w:sz w:val="20"/>
          <w:szCs w:val="20"/>
          <w:b w:val="1"/>
          <w:bCs w:val="1"/>
          <w:color w:val="auto"/>
        </w:rPr>
        <w:t>[DATE]</w:t>
      </w:r>
      <w:r>
        <w:rPr>
          <w:rFonts w:ascii="Arial" w:cs="Arial" w:eastAsia="Arial" w:hAnsi="Arial"/>
          <w:sz w:val="20"/>
          <w:szCs w:val="20"/>
          <w:color w:val="auto"/>
        </w:rPr>
        <w:t>. Each Awarded Unit shall be a notional share of Common Stock, with the value of each Awarded Unit being equal to the Fair Market Value of a share of Common Stock at any time. Capitalized terms used in this Agreement that are defined in the Plan shall have the same meanings assigned to them in the Plan.</w:t>
      </w:r>
    </w:p>
    <w:p>
      <w:pPr>
        <w:spacing w:after="0" w:line="223" w:lineRule="exact"/>
        <w:rPr>
          <w:sz w:val="20"/>
          <w:szCs w:val="20"/>
          <w:color w:val="auto"/>
        </w:rPr>
      </w:pPr>
    </w:p>
    <w:p>
      <w:pPr>
        <w:jc w:val="both"/>
        <w:ind w:firstLine="656"/>
        <w:spacing w:after="0" w:line="285" w:lineRule="auto"/>
        <w:tabs>
          <w:tab w:leader="none" w:pos="144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Subject to Plan and Election</w:t>
      </w:r>
      <w:r>
        <w:rPr>
          <w:rFonts w:ascii="Arial" w:cs="Arial" w:eastAsia="Arial" w:hAnsi="Arial"/>
          <w:sz w:val="19"/>
          <w:szCs w:val="19"/>
          <w:color w:val="auto"/>
        </w:rPr>
        <w:t>. This Agreement is subject to the terms and conditions of the Plan and the Election. With respect to the Plan, (i) the terms of the Plan shall control to the extent such terms are not otherwise inconsistent with the provisions of this Agreement, and (ii) the terms of the Agreement shall control to the extent such terms are inconsistent with the provisions of the Plan. With respect to the Election, (x) the terms of this Agreement shall control to the extent such terms are not otherwise inconsistent with the provisions of the Election, and (y) the terms of the Election shall control to the extent such terms are inconsistent with the provisions of the Agreement. Except as otherwise provided herein, the Election shall be deemed to be part of this Agreement and references herein to this Agreement shall, when applicable, be deemed to include references to the Election. The Election shall be attached as an exhibit to this Agreement, provided that, failure to attach the Election to this Agreement shall in no way affect the validity and effect of the Election. This Agreement and the Election are subject to any rules promulgated pursuant to the Plan and the Deferral Plan, respectively, by the Board or the Committee and communicated to the Participant in writing.</w:t>
      </w:r>
    </w:p>
    <w:p>
      <w:pPr>
        <w:spacing w:after="0" w:line="201" w:lineRule="exact"/>
        <w:rPr>
          <w:rFonts w:ascii="Arial" w:cs="Arial" w:eastAsia="Arial" w:hAnsi="Arial"/>
          <w:sz w:val="19"/>
          <w:szCs w:val="19"/>
          <w:color w:val="auto"/>
        </w:rPr>
      </w:pPr>
    </w:p>
    <w:p>
      <w:pPr>
        <w:ind w:firstLine="656"/>
        <w:spacing w:after="0" w:line="316" w:lineRule="auto"/>
        <w:tabs>
          <w:tab w:leader="none" w:pos="144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Vesting; Time of Delivery of Shares</w:t>
      </w:r>
      <w:r>
        <w:rPr>
          <w:rFonts w:ascii="Arial" w:cs="Arial" w:eastAsia="Arial" w:hAnsi="Arial"/>
          <w:sz w:val="19"/>
          <w:szCs w:val="19"/>
          <w:color w:val="auto"/>
        </w:rPr>
        <w:t xml:space="preserve">. Awarded Units that have become vested pursuant to the terms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collectively referred to herein as “</w:t>
      </w:r>
      <w:r>
        <w:rPr>
          <w:rFonts w:ascii="Arial" w:cs="Arial" w:eastAsia="Arial" w:hAnsi="Arial"/>
          <w:sz w:val="19"/>
          <w:szCs w:val="19"/>
          <w:b w:val="1"/>
          <w:bCs w:val="1"/>
          <w:i w:val="1"/>
          <w:iCs w:val="1"/>
          <w:color w:val="auto"/>
        </w:rPr>
        <w:t>Vested RSUs</w:t>
      </w:r>
      <w:r>
        <w:rPr>
          <w:rFonts w:ascii="Arial" w:cs="Arial" w:eastAsia="Arial" w:hAnsi="Arial"/>
          <w:sz w:val="19"/>
          <w:szCs w:val="19"/>
          <w:color w:val="auto"/>
        </w:rPr>
        <w:t>.” All other Awarded Units are collectively referred to herein as “</w:t>
      </w:r>
      <w:r>
        <w:rPr>
          <w:rFonts w:ascii="Arial" w:cs="Arial" w:eastAsia="Arial" w:hAnsi="Arial"/>
          <w:sz w:val="19"/>
          <w:szCs w:val="19"/>
          <w:b w:val="1"/>
          <w:bCs w:val="1"/>
          <w:i w:val="1"/>
          <w:iCs w:val="1"/>
          <w:color w:val="auto"/>
        </w:rPr>
        <w:t>Unvested RSUs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660" w:firstLine="645"/>
        <w:spacing w:after="0" w:line="260" w:lineRule="auto"/>
        <w:tabs>
          <w:tab w:leader="none" w:pos="1646" w:val="left"/>
        </w:tabs>
        <w:numPr>
          <w:ilvl w:val="1"/>
          <w:numId w:val="30"/>
        </w:numPr>
        <w:rPr>
          <w:rFonts w:ascii="Arial" w:cs="Arial" w:eastAsia="Arial" w:hAnsi="Arial"/>
          <w:sz w:val="20"/>
          <w:szCs w:val="20"/>
          <w:color w:val="auto"/>
        </w:rPr>
      </w:pPr>
      <w:r>
        <w:rPr>
          <w:rFonts w:ascii="Arial" w:cs="Arial" w:eastAsia="Arial" w:hAnsi="Arial"/>
          <w:sz w:val="20"/>
          <w:szCs w:val="20"/>
          <w:color w:val="auto"/>
        </w:rPr>
        <w:t>Except as specifically provided in this Agreement and subject to certain restrictions and conditions set forth in the Plan, the Awarded Units shall be vested as follows:</w:t>
      </w:r>
    </w:p>
    <w:p>
      <w:pPr>
        <w:spacing w:after="0" w:line="184" w:lineRule="exact"/>
        <w:rPr>
          <w:sz w:val="20"/>
          <w:szCs w:val="20"/>
          <w:color w:val="auto"/>
        </w:rPr>
      </w:pPr>
    </w:p>
    <w:p>
      <w:pPr>
        <w:jc w:val="both"/>
        <w:ind w:left="1300"/>
        <w:spacing w:after="0" w:line="273" w:lineRule="auto"/>
        <w:rPr>
          <w:sz w:val="20"/>
          <w:szCs w:val="20"/>
          <w:color w:val="auto"/>
        </w:rPr>
      </w:pPr>
      <w:r>
        <w:rPr>
          <w:rFonts w:ascii="Arial" w:cs="Arial" w:eastAsia="Arial" w:hAnsi="Arial"/>
          <w:sz w:val="19"/>
          <w:szCs w:val="19"/>
          <w:color w:val="auto"/>
        </w:rPr>
        <w:t xml:space="preserve">One hundred percent (100%) of the total Awarded Units shall vest and become Vested RSUs on </w:t>
      </w:r>
      <w:r>
        <w:rPr>
          <w:rFonts w:ascii="Arial" w:cs="Arial" w:eastAsia="Arial" w:hAnsi="Arial"/>
          <w:sz w:val="19"/>
          <w:szCs w:val="19"/>
          <w:b w:val="1"/>
          <w:bCs w:val="1"/>
          <w:color w:val="auto"/>
        </w:rPr>
        <w:t>[DATE]</w:t>
      </w:r>
      <w:r>
        <w:rPr>
          <w:rFonts w:ascii="Arial" w:cs="Arial" w:eastAsia="Arial" w:hAnsi="Arial"/>
          <w:sz w:val="19"/>
          <w:szCs w:val="19"/>
          <w:color w:val="auto"/>
        </w:rPr>
        <w:t xml:space="preserve">, or if sooner, immediately prior to the election of the nominees for director at the </w:t>
      </w:r>
      <w:r>
        <w:rPr>
          <w:rFonts w:ascii="Arial" w:cs="Arial" w:eastAsia="Arial" w:hAnsi="Arial"/>
          <w:sz w:val="19"/>
          <w:szCs w:val="19"/>
          <w:b w:val="1"/>
          <w:bCs w:val="1"/>
          <w:color w:val="auto"/>
        </w:rPr>
        <w:t>[YEAR]</w:t>
      </w:r>
      <w:r>
        <w:rPr>
          <w:rFonts w:ascii="Arial" w:cs="Arial" w:eastAsia="Arial" w:hAnsi="Arial"/>
          <w:sz w:val="19"/>
          <w:szCs w:val="19"/>
          <w:color w:val="auto"/>
        </w:rPr>
        <w:t xml:space="preserve"> annual meeting of shareholders of the Company, provided that the Participant does not experience a Termination of Service prior to such date.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1420"/>
          </w:cols>
          <w:pgMar w:left="240" w:top="148" w:right="239" w:bottom="1440" w:gutter="0" w:footer="0" w:header="0"/>
        </w:sectPr>
      </w:pPr>
    </w:p>
    <w:bookmarkStart w:id="55" w:name="page56"/>
    <w:bookmarkEnd w:id="55"/>
    <w:p>
      <w:pPr>
        <w:ind w:left="4"/>
        <w:spacing w:after="0" w:line="260" w:lineRule="auto"/>
        <w:rPr>
          <w:sz w:val="20"/>
          <w:szCs w:val="20"/>
          <w:color w:val="auto"/>
        </w:rPr>
      </w:pPr>
      <w:r>
        <w:rPr>
          <w:rFonts w:ascii="Arial" w:cs="Arial" w:eastAsia="Arial" w:hAnsi="Arial"/>
          <w:sz w:val="20"/>
          <w:szCs w:val="20"/>
          <w:color w:val="auto"/>
        </w:rPr>
        <w:t>Notwithstanding the foregoing, immediately prior to the occurrence of a Change in Control, all Unvested RSUs shall immediately vest and become Vested RSUs.</w:t>
      </w:r>
    </w:p>
    <w:p>
      <w:pPr>
        <w:spacing w:after="0" w:line="190" w:lineRule="exact"/>
        <w:rPr>
          <w:sz w:val="20"/>
          <w:szCs w:val="20"/>
          <w:color w:val="auto"/>
        </w:rPr>
      </w:pPr>
    </w:p>
    <w:p>
      <w:pPr>
        <w:ind w:left="4" w:firstLine="645"/>
        <w:spacing w:after="0" w:line="260" w:lineRule="auto"/>
        <w:tabs>
          <w:tab w:leader="none" w:pos="1021"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Subject to the provisions of the Plan, the Election and this Agreement and provided that the Awarded Units have not been forfeited pursuant to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Vested RSUs shall be settled as follows:</w:t>
      </w:r>
    </w:p>
    <w:p>
      <w:pPr>
        <w:spacing w:after="0" w:line="203" w:lineRule="exact"/>
        <w:rPr>
          <w:rFonts w:ascii="Arial" w:cs="Arial" w:eastAsia="Arial" w:hAnsi="Arial"/>
          <w:sz w:val="20"/>
          <w:szCs w:val="20"/>
          <w:color w:val="auto"/>
        </w:rPr>
      </w:pPr>
    </w:p>
    <w:p>
      <w:pPr>
        <w:jc w:val="both"/>
        <w:ind w:left="644" w:firstLine="653"/>
        <w:spacing w:after="0" w:line="273" w:lineRule="auto"/>
        <w:tabs>
          <w:tab w:leader="none" w:pos="2045" w:val="left"/>
        </w:tabs>
        <w:numPr>
          <w:ilvl w:val="2"/>
          <w:numId w:val="31"/>
        </w:numPr>
        <w:rPr>
          <w:rFonts w:ascii="Arial" w:cs="Arial" w:eastAsia="Arial" w:hAnsi="Arial"/>
          <w:sz w:val="20"/>
          <w:szCs w:val="20"/>
          <w:color w:val="auto"/>
        </w:rPr>
      </w:pPr>
      <w:r>
        <w:rPr>
          <w:rFonts w:ascii="Arial" w:cs="Arial" w:eastAsia="Arial" w:hAnsi="Arial"/>
          <w:sz w:val="20"/>
          <w:szCs w:val="20"/>
          <w:color w:val="auto"/>
        </w:rPr>
        <w:t xml:space="preserve">With respect to any Awarded Units that are not subject to the Election, within thirty (30) days following the applicable vesting date of such Awarded Units in accordance with </w:t>
      </w: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above, the Company shall convert such Awarded Units (to the extent such Awarded Units are Vested RSUs) into the number of whole shares of Common Stock equal to the number of Awarded Units converted and shall deliver to the Participant or the Participant’s personal representative such shares of Common Stock.</w:t>
      </w:r>
    </w:p>
    <w:p>
      <w:pPr>
        <w:spacing w:after="0" w:line="204" w:lineRule="exact"/>
        <w:rPr>
          <w:rFonts w:ascii="Arial" w:cs="Arial" w:eastAsia="Arial" w:hAnsi="Arial"/>
          <w:sz w:val="20"/>
          <w:szCs w:val="20"/>
          <w:color w:val="auto"/>
        </w:rPr>
      </w:pPr>
    </w:p>
    <w:p>
      <w:pPr>
        <w:jc w:val="both"/>
        <w:ind w:left="644" w:firstLine="653"/>
        <w:spacing w:after="0" w:line="314" w:lineRule="auto"/>
        <w:tabs>
          <w:tab w:leader="none" w:pos="21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With respect to any Awarded Units that are subject to the Election, within thirty (30) days of the applicable payment date or other payment event set forth in the Election, the Company shall convert such Awarded Units (to the extent such Awarded Units are Vested RSUs) into the number of whole shares of Common Stock equal to the number of Awarded Units converted and shall deliver to the Participant or the Participant’s personal representative such shares of Common Stock.</w:t>
      </w:r>
    </w:p>
    <w:p>
      <w:pPr>
        <w:spacing w:after="0" w:line="172" w:lineRule="exact"/>
        <w:rPr>
          <w:rFonts w:ascii="Arial" w:cs="Arial" w:eastAsia="Arial" w:hAnsi="Arial"/>
          <w:sz w:val="18"/>
          <w:szCs w:val="18"/>
          <w:color w:val="auto"/>
        </w:rPr>
      </w:pPr>
    </w:p>
    <w:p>
      <w:pPr>
        <w:jc w:val="both"/>
        <w:ind w:left="-656" w:firstLine="656"/>
        <w:spacing w:after="0" w:line="314" w:lineRule="auto"/>
        <w:tabs>
          <w:tab w:leader="none" w:pos="78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Forfeiture of Awarded Units</w:t>
      </w:r>
      <w:r>
        <w:rPr>
          <w:rFonts w:ascii="Arial" w:cs="Arial" w:eastAsia="Arial" w:hAnsi="Arial"/>
          <w:sz w:val="18"/>
          <w:szCs w:val="18"/>
          <w:color w:val="auto"/>
        </w:rPr>
        <w:t>. The Participant shall immediately forfeit all of the Participant’s Unvested RSUs upon the Participant’s Total and Permanent Disability, death or upon the Participant’s Termination of Service for any reason, without any action on the part of the Participant or the Company and without the payment of any consideration therefor. Upon forfeiture, all of the Participant’s rights with respect to the forfeited Unvested RSUs shall cease and terminate, without any further obligations on the part of the Company.</w:t>
      </w:r>
    </w:p>
    <w:p>
      <w:pPr>
        <w:spacing w:after="0" w:line="172" w:lineRule="exact"/>
        <w:rPr>
          <w:rFonts w:ascii="Arial" w:cs="Arial" w:eastAsia="Arial" w:hAnsi="Arial"/>
          <w:sz w:val="18"/>
          <w:szCs w:val="18"/>
          <w:color w:val="auto"/>
        </w:rPr>
      </w:pPr>
    </w:p>
    <w:p>
      <w:pPr>
        <w:jc w:val="both"/>
        <w:ind w:left="-656" w:firstLine="656"/>
        <w:spacing w:after="0" w:line="273" w:lineRule="auto"/>
        <w:tabs>
          <w:tab w:leader="none" w:pos="789"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Who May Receive Converted Awarded Units</w:t>
      </w:r>
      <w:r>
        <w:rPr>
          <w:rFonts w:ascii="Arial" w:cs="Arial" w:eastAsia="Arial" w:hAnsi="Arial"/>
          <w:sz w:val="20"/>
          <w:szCs w:val="20"/>
          <w:color w:val="auto"/>
        </w:rPr>
        <w:t>. During the lifetime of the Participant, the Common Stock received upon conversion of Awarded Units may only be received by the Participant or his or her legal representative. If the Participant dies after the time that his or her Awarded Units become vested but prior to the time his or her Awarded Units are converted into shares of Common Stock, the Common Stock relating to such converted Awarded Units may be received by any individual who is entitled to receive the property of the Participant pursuant to the applicable laws of descent and distribution.</w:t>
      </w:r>
    </w:p>
    <w:p>
      <w:pPr>
        <w:spacing w:after="0" w:line="204" w:lineRule="exact"/>
        <w:rPr>
          <w:rFonts w:ascii="Arial" w:cs="Arial" w:eastAsia="Arial" w:hAnsi="Arial"/>
          <w:sz w:val="20"/>
          <w:szCs w:val="20"/>
          <w:color w:val="auto"/>
        </w:rPr>
      </w:pPr>
    </w:p>
    <w:p>
      <w:pPr>
        <w:ind w:left="-656" w:firstLine="656"/>
        <w:spacing w:after="0" w:line="289" w:lineRule="auto"/>
        <w:tabs>
          <w:tab w:leader="none" w:pos="789"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Fractional Shares</w:t>
      </w:r>
      <w:r>
        <w:rPr>
          <w:rFonts w:ascii="Arial" w:cs="Arial" w:eastAsia="Arial" w:hAnsi="Arial"/>
          <w:sz w:val="20"/>
          <w:szCs w:val="20"/>
          <w:color w:val="auto"/>
        </w:rPr>
        <w:t>. Awarded Units may be converted only with respect to full shares, and no fractional share of Common Stock shall be issued.</w:t>
      </w:r>
    </w:p>
    <w:p>
      <w:pPr>
        <w:spacing w:after="0" w:line="188" w:lineRule="exact"/>
        <w:rPr>
          <w:rFonts w:ascii="Arial" w:cs="Arial" w:eastAsia="Arial" w:hAnsi="Arial"/>
          <w:sz w:val="20"/>
          <w:szCs w:val="20"/>
          <w:color w:val="auto"/>
        </w:rPr>
      </w:pPr>
    </w:p>
    <w:p>
      <w:pPr>
        <w:jc w:val="both"/>
        <w:ind w:left="-656" w:firstLine="656"/>
        <w:spacing w:after="0" w:line="303" w:lineRule="auto"/>
        <w:tabs>
          <w:tab w:leader="none" w:pos="78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The Awarded Units are not assignable or transferable by the Participant except (i) by will or by the laws of descent and distribution and (ii) the Participant may transfer, for no consideration, some or all of the Awarded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service with the Company or its Subsidiaries shall continue to relate to the Participant’s continued service and the actual issuance of Common Stock shall be subject to the issuance and distribution provisions of any Election in effect for the Awarded Units.</w:t>
      </w:r>
    </w:p>
    <w:p>
      <w:pPr>
        <w:spacing w:after="0" w:line="185" w:lineRule="exact"/>
        <w:rPr>
          <w:rFonts w:ascii="Arial" w:cs="Arial" w:eastAsia="Arial" w:hAnsi="Arial"/>
          <w:sz w:val="18"/>
          <w:szCs w:val="18"/>
          <w:color w:val="auto"/>
        </w:rPr>
      </w:pPr>
    </w:p>
    <w:p>
      <w:pPr>
        <w:ind w:left="5024" w:hanging="86"/>
        <w:spacing w:after="0"/>
        <w:tabs>
          <w:tab w:leader="none" w:pos="5024" w:val="left"/>
        </w:tabs>
        <w:numPr>
          <w:ilvl w:val="3"/>
          <w:numId w:val="32"/>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0764"/>
          </w:cols>
          <w:pgMar w:left="896" w:top="622" w:right="239" w:bottom="1440" w:gutter="0" w:footer="0" w:header="0"/>
        </w:sectPr>
      </w:pPr>
    </w:p>
    <w:bookmarkStart w:id="56" w:name="page57"/>
    <w:bookmarkEnd w:id="56"/>
    <w:p>
      <w:pPr>
        <w:jc w:val="both"/>
        <w:ind w:left="-656" w:firstLine="656"/>
        <w:spacing w:after="0" w:line="288" w:lineRule="auto"/>
        <w:tabs>
          <w:tab w:leader="none" w:pos="789"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The Participant will have no rights as a shareholder with respect to any shares covered by this Agreement until the issuance of a certificate or certificates to the Participant or the registration of such shares in the Participant’s name for the shares of Common Stock. The Awarded Units shall be subject to the terms and conditions of this Agreement. Except as otherwise provided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no adjustment shall be made for dividends or other rights for which the record date is prior to the issuance of such shares of Common Stock. The Participant, by his or her execution of this Agreement, agrees to execute any documents requested by the Company in connection with the issuance of such shares of Common Stock.</w:t>
      </w:r>
    </w:p>
    <w:p>
      <w:pPr>
        <w:spacing w:after="0" w:line="196" w:lineRule="exact"/>
        <w:rPr>
          <w:rFonts w:ascii="Arial" w:cs="Arial" w:eastAsia="Arial" w:hAnsi="Arial"/>
          <w:sz w:val="19"/>
          <w:szCs w:val="19"/>
          <w:color w:val="auto"/>
        </w:rPr>
      </w:pPr>
    </w:p>
    <w:p>
      <w:pPr>
        <w:ind w:left="-656" w:firstLine="656"/>
        <w:spacing w:after="0" w:line="289" w:lineRule="auto"/>
        <w:tabs>
          <w:tab w:leader="none" w:pos="789"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Adjustment of Number of Awarded Units and Related Matters</w:t>
      </w:r>
      <w:r>
        <w:rPr>
          <w:rFonts w:ascii="Arial" w:cs="Arial" w:eastAsia="Arial" w:hAnsi="Arial"/>
          <w:sz w:val="20"/>
          <w:szCs w:val="20"/>
          <w:color w:val="auto"/>
        </w:rPr>
        <w:t xml:space="preserve">. The number of shares of Common Stock covered by the Awarded Units shall be subject to adjustment in accordance with </w:t>
      </w:r>
      <w:r>
        <w:rPr>
          <w:rFonts w:ascii="Arial" w:cs="Arial" w:eastAsia="Arial" w:hAnsi="Arial"/>
          <w:sz w:val="20"/>
          <w:szCs w:val="20"/>
          <w:u w:val="single" w:color="auto"/>
          <w:color w:val="auto"/>
        </w:rPr>
        <w:t>Articles 11-13</w:t>
      </w:r>
      <w:r>
        <w:rPr>
          <w:rFonts w:ascii="Arial" w:cs="Arial" w:eastAsia="Arial" w:hAnsi="Arial"/>
          <w:sz w:val="20"/>
          <w:szCs w:val="20"/>
          <w:color w:val="auto"/>
        </w:rPr>
        <w:t xml:space="preserve"> of the Plan.</w:t>
      </w:r>
    </w:p>
    <w:p>
      <w:pPr>
        <w:spacing w:after="0" w:line="188" w:lineRule="exact"/>
        <w:rPr>
          <w:rFonts w:ascii="Arial" w:cs="Arial" w:eastAsia="Arial" w:hAnsi="Arial"/>
          <w:sz w:val="20"/>
          <w:szCs w:val="20"/>
          <w:color w:val="auto"/>
        </w:rPr>
      </w:pPr>
    </w:p>
    <w:p>
      <w:pPr>
        <w:jc w:val="both"/>
        <w:ind w:left="-656" w:firstLine="656"/>
        <w:spacing w:after="0" w:line="307" w:lineRule="auto"/>
        <w:tabs>
          <w:tab w:leader="none" w:pos="88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Notwithstanding any of the provisions hereof, the Participant hereby agrees that the Company will not be obligated to issue any shares of Common Stock to the Participant hereunder if the issuance of such shares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Any determination in this connection by the Company shall be final, binding, and conclusive. The obligations of the Company and the rights of the Participant are subject to all applicable laws, rules, and regulations.</w:t>
      </w:r>
    </w:p>
    <w:p>
      <w:pPr>
        <w:spacing w:after="0" w:line="180" w:lineRule="exact"/>
        <w:rPr>
          <w:rFonts w:ascii="Arial" w:cs="Arial" w:eastAsia="Arial" w:hAnsi="Arial"/>
          <w:sz w:val="18"/>
          <w:szCs w:val="18"/>
          <w:color w:val="auto"/>
        </w:rPr>
      </w:pPr>
    </w:p>
    <w:p>
      <w:pPr>
        <w:jc w:val="both"/>
        <w:ind w:left="-656" w:firstLine="656"/>
        <w:spacing w:after="0" w:line="286" w:lineRule="auto"/>
        <w:tabs>
          <w:tab w:leader="none" w:pos="88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w:t>
      </w:r>
      <w:r>
        <w:rPr>
          <w:rFonts w:ascii="Arial" w:cs="Arial" w:eastAsia="Arial" w:hAnsi="Arial"/>
          <w:sz w:val="19"/>
          <w:szCs w:val="19"/>
          <w:color w:val="auto"/>
        </w:rPr>
        <w:t>. Unless the shares of Common Stock are issued to the Participant in a transaction registered under applicable federal and state securities laws, by his or her execution hereof, the Participant represents and warrants to the Company that all Common Stock which may be acquired hereunder will be acquired by the Participant for investment purposes for his or her own account and not with any intent for resale or distribution in violation of federal or state securities laws. Unless the Common Stock is issued to the Participant in a transaction registered under the applicable federal and state securities laws, all certificates issued with respect to the Common Stock shall bear an appropriate restrictive investment legend and shall be held indefinitely, unless they are subsequently registered under the applicable federal and state securities laws or the Participant obtains an opinion of counsel, in form and substance satisfactory to the Company and its counsel, that such registration is not required.</w:t>
      </w:r>
    </w:p>
    <w:p>
      <w:pPr>
        <w:spacing w:after="0" w:line="199" w:lineRule="exact"/>
        <w:rPr>
          <w:rFonts w:ascii="Arial" w:cs="Arial" w:eastAsia="Arial" w:hAnsi="Arial"/>
          <w:sz w:val="19"/>
          <w:szCs w:val="19"/>
          <w:color w:val="auto"/>
        </w:rPr>
      </w:pPr>
    </w:p>
    <w:p>
      <w:pPr>
        <w:jc w:val="both"/>
        <w:ind w:left="-656" w:firstLine="656"/>
        <w:spacing w:after="0" w:line="273" w:lineRule="auto"/>
        <w:tabs>
          <w:tab w:leader="none" w:pos="88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Participant’s Acknowledgments</w:t>
      </w:r>
      <w:r>
        <w:rPr>
          <w:rFonts w:ascii="Arial" w:cs="Arial" w:eastAsia="Arial" w:hAnsi="Arial"/>
          <w:sz w:val="20"/>
          <w:szCs w:val="20"/>
          <w:color w:val="auto"/>
        </w:rPr>
        <w:t>. The Participant acknowledges that copies of the Plan and Deferral Plan have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the Deferral Plan or this Agreement.</w:t>
      </w:r>
    </w:p>
    <w:p>
      <w:pPr>
        <w:spacing w:after="0" w:line="204" w:lineRule="exact"/>
        <w:rPr>
          <w:rFonts w:ascii="Arial" w:cs="Arial" w:eastAsia="Arial" w:hAnsi="Arial"/>
          <w:sz w:val="20"/>
          <w:szCs w:val="20"/>
          <w:color w:val="auto"/>
        </w:rPr>
      </w:pPr>
    </w:p>
    <w:p>
      <w:pPr>
        <w:jc w:val="both"/>
        <w:ind w:left="-656" w:firstLine="656"/>
        <w:spacing w:after="0" w:line="278" w:lineRule="auto"/>
        <w:tabs>
          <w:tab w:leader="none" w:pos="88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Law Governing</w:t>
      </w:r>
      <w:r>
        <w:rPr>
          <w:rFonts w:ascii="Arial" w:cs="Arial" w:eastAsia="Arial" w:hAnsi="Arial"/>
          <w:sz w:val="20"/>
          <w:szCs w:val="20"/>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200" w:lineRule="exact"/>
        <w:rPr>
          <w:rFonts w:ascii="Arial" w:cs="Arial" w:eastAsia="Arial" w:hAnsi="Arial"/>
          <w:sz w:val="20"/>
          <w:szCs w:val="20"/>
          <w:color w:val="auto"/>
        </w:rPr>
      </w:pPr>
    </w:p>
    <w:p>
      <w:pPr>
        <w:jc w:val="both"/>
        <w:ind w:left="-656" w:firstLine="656"/>
        <w:spacing w:after="0" w:line="278" w:lineRule="auto"/>
        <w:tabs>
          <w:tab w:leader="none" w:pos="88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w:t>
      </w:r>
      <w:r>
        <w:rPr>
          <w:rFonts w:ascii="Arial" w:cs="Arial" w:eastAsia="Arial" w:hAnsi="Arial"/>
          <w:sz w:val="20"/>
          <w:szCs w:val="20"/>
          <w:color w:val="auto"/>
        </w:rPr>
        <w:t>. Nothing herein shall be construed to confer upon the Participant the right to continue to provide services to the Company or any Subsidiary, or interfere with or restrict in any way the right of the Company or any Subsidiary to discharge the Participant at any time.</w:t>
      </w: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024" w:hanging="86"/>
        <w:spacing w:after="0"/>
        <w:tabs>
          <w:tab w:leader="none" w:pos="5024" w:val="left"/>
        </w:tabs>
        <w:numPr>
          <w:ilvl w:val="1"/>
          <w:numId w:val="33"/>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0764"/>
          </w:cols>
          <w:pgMar w:left="896" w:top="865" w:right="239" w:bottom="1440" w:gutter="0" w:footer="0" w:header="0"/>
        </w:sectPr>
      </w:pPr>
    </w:p>
    <w:bookmarkStart w:id="57" w:name="page58"/>
    <w:bookmarkEnd w:id="57"/>
    <w:p>
      <w:pPr>
        <w:jc w:val="both"/>
        <w:ind w:left="-656" w:firstLine="656"/>
        <w:spacing w:after="0" w:line="273" w:lineRule="auto"/>
        <w:tabs>
          <w:tab w:leader="none" w:pos="88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Legal Construction.</w:t>
      </w:r>
      <w:r>
        <w:rPr>
          <w:rFonts w:ascii="Arial" w:cs="Arial" w:eastAsia="Arial" w:hAnsi="Arial"/>
          <w:sz w:val="20"/>
          <w:szCs w:val="20"/>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204" w:lineRule="exact"/>
        <w:rPr>
          <w:rFonts w:ascii="Arial" w:cs="Arial" w:eastAsia="Arial" w:hAnsi="Arial"/>
          <w:sz w:val="20"/>
          <w:szCs w:val="20"/>
          <w:color w:val="auto"/>
        </w:rPr>
      </w:pPr>
    </w:p>
    <w:p>
      <w:pPr>
        <w:jc w:val="both"/>
        <w:ind w:left="-656" w:firstLine="656"/>
        <w:spacing w:after="0" w:line="293" w:lineRule="auto"/>
        <w:tabs>
          <w:tab w:leader="none" w:pos="88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Covenants and Agreements as Independent Agreements</w:t>
      </w:r>
      <w:r>
        <w:rPr>
          <w:rFonts w:ascii="Arial" w:cs="Arial" w:eastAsia="Arial" w:hAnsi="Arial"/>
          <w:sz w:val="19"/>
          <w:szCs w:val="19"/>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189" w:lineRule="exact"/>
        <w:rPr>
          <w:rFonts w:ascii="Arial" w:cs="Arial" w:eastAsia="Arial" w:hAnsi="Arial"/>
          <w:sz w:val="19"/>
          <w:szCs w:val="19"/>
          <w:color w:val="auto"/>
        </w:rPr>
      </w:pPr>
    </w:p>
    <w:p>
      <w:pPr>
        <w:jc w:val="both"/>
        <w:ind w:left="-656" w:firstLine="656"/>
        <w:spacing w:after="0" w:line="287" w:lineRule="auto"/>
        <w:tabs>
          <w:tab w:leader="none" w:pos="88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196" w:lineRule="exact"/>
        <w:rPr>
          <w:rFonts w:ascii="Arial" w:cs="Arial" w:eastAsia="Arial" w:hAnsi="Arial"/>
          <w:sz w:val="19"/>
          <w:szCs w:val="19"/>
          <w:color w:val="auto"/>
        </w:rPr>
      </w:pPr>
    </w:p>
    <w:p>
      <w:pPr>
        <w:jc w:val="both"/>
        <w:ind w:left="-656" w:firstLine="656"/>
        <w:spacing w:after="0" w:line="273" w:lineRule="auto"/>
        <w:tabs>
          <w:tab w:leader="none" w:pos="88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Parties Bound</w:t>
      </w:r>
      <w:r>
        <w:rPr>
          <w:rFonts w:ascii="Arial" w:cs="Arial" w:eastAsia="Arial" w:hAnsi="Arial"/>
          <w:sz w:val="20"/>
          <w:szCs w:val="20"/>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Units without first executing and delivering an agreement in a form satisfactory to the Company making such person or entity subject to the restrictions on transfer contained herein.</w:t>
      </w:r>
    </w:p>
    <w:p>
      <w:pPr>
        <w:spacing w:after="0" w:line="204" w:lineRule="exact"/>
        <w:rPr>
          <w:rFonts w:ascii="Arial" w:cs="Arial" w:eastAsia="Arial" w:hAnsi="Arial"/>
          <w:sz w:val="20"/>
          <w:szCs w:val="20"/>
          <w:color w:val="auto"/>
        </w:rPr>
      </w:pPr>
    </w:p>
    <w:p>
      <w:pPr>
        <w:jc w:val="both"/>
        <w:ind w:left="-656" w:firstLine="656"/>
        <w:spacing w:after="0" w:line="285" w:lineRule="auto"/>
        <w:tabs>
          <w:tab w:leader="none" w:pos="88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9"/>
          <w:szCs w:val="19"/>
          <w:u w:val="single" w:color="auto"/>
          <w:color w:val="auto"/>
        </w:rPr>
        <w:t>Section 19</w:t>
      </w:r>
      <w:r>
        <w:rPr>
          <w:rFonts w:ascii="Arial" w:cs="Arial" w:eastAsia="Arial" w:hAnsi="Arial"/>
          <w:sz w:val="19"/>
          <w:szCs w:val="19"/>
          <w:color w:val="auto"/>
        </w:rPr>
        <w:t>, the Company may amend the Plan to the extent permitted by the Plan.</w:t>
      </w:r>
    </w:p>
    <w:p>
      <w:pPr>
        <w:spacing w:after="0" w:line="201" w:lineRule="exact"/>
        <w:rPr>
          <w:rFonts w:ascii="Arial" w:cs="Arial" w:eastAsia="Arial" w:hAnsi="Arial"/>
          <w:sz w:val="19"/>
          <w:szCs w:val="19"/>
          <w:color w:val="auto"/>
        </w:rPr>
      </w:pPr>
    </w:p>
    <w:p>
      <w:pPr>
        <w:ind w:left="-656" w:firstLine="656"/>
        <w:spacing w:after="0" w:line="289" w:lineRule="auto"/>
        <w:tabs>
          <w:tab w:leader="none" w:pos="88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that are used in this Agreement are used for reference and convenience purposes only and do not constitute substantive matters to be considered in construing the terms and provisions of this Agreement.</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ind w:left="5024" w:hanging="86"/>
        <w:spacing w:after="0"/>
        <w:tabs>
          <w:tab w:leader="none" w:pos="5024" w:val="left"/>
        </w:tabs>
        <w:numPr>
          <w:ilvl w:val="1"/>
          <w:numId w:val="34"/>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0764"/>
          </w:cols>
          <w:pgMar w:left="896" w:top="636" w:right="239" w:bottom="1440" w:gutter="0" w:footer="0" w:header="0"/>
        </w:sectPr>
      </w:pPr>
    </w:p>
    <w:bookmarkStart w:id="58" w:name="page59"/>
    <w:bookmarkEnd w:id="58"/>
    <w:p>
      <w:pPr>
        <w:ind w:left="-656" w:firstLine="656"/>
        <w:spacing w:after="0" w:line="316" w:lineRule="auto"/>
        <w:tabs>
          <w:tab w:leader="none" w:pos="88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Gender and Number</w:t>
      </w:r>
      <w:r>
        <w:rPr>
          <w:rFonts w:ascii="Arial" w:cs="Arial" w:eastAsia="Arial" w:hAnsi="Arial"/>
          <w:sz w:val="19"/>
          <w:szCs w:val="19"/>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67" w:lineRule="exact"/>
        <w:rPr>
          <w:rFonts w:ascii="Arial" w:cs="Arial" w:eastAsia="Arial" w:hAnsi="Arial"/>
          <w:sz w:val="19"/>
          <w:szCs w:val="19"/>
          <w:color w:val="auto"/>
        </w:rPr>
      </w:pPr>
    </w:p>
    <w:p>
      <w:pPr>
        <w:jc w:val="both"/>
        <w:ind w:left="-656" w:firstLine="656"/>
        <w:spacing w:after="0" w:line="278" w:lineRule="auto"/>
        <w:tabs>
          <w:tab w:leader="none" w:pos="88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187" w:lineRule="exact"/>
        <w:rPr>
          <w:sz w:val="20"/>
          <w:szCs w:val="20"/>
          <w:color w:val="auto"/>
        </w:rPr>
      </w:pPr>
    </w:p>
    <w:p>
      <w:pPr>
        <w:ind w:left="984" w:hanging="335"/>
        <w:spacing w:after="0"/>
        <w:tabs>
          <w:tab w:leader="none" w:pos="984" w:val="left"/>
        </w:tabs>
        <w:numPr>
          <w:ilvl w:val="0"/>
          <w:numId w:val="36"/>
        </w:numPr>
        <w:rPr>
          <w:rFonts w:ascii="Arial" w:cs="Arial" w:eastAsia="Arial" w:hAnsi="Arial"/>
          <w:sz w:val="20"/>
          <w:szCs w:val="20"/>
          <w:color w:val="auto"/>
        </w:rPr>
      </w:pPr>
      <w:r>
        <w:rPr>
          <w:rFonts w:ascii="Arial" w:cs="Arial" w:eastAsia="Arial" w:hAnsi="Arial"/>
          <w:sz w:val="20"/>
          <w:szCs w:val="20"/>
          <w:color w:val="auto"/>
        </w:rPr>
        <w:t>Notice to the Company shall be addressed and delivered as follows:</w:t>
      </w:r>
    </w:p>
    <w:p>
      <w:pPr>
        <w:spacing w:after="0" w:line="229"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Matador Resources Company</w:t>
      </w:r>
    </w:p>
    <w:p>
      <w:pPr>
        <w:spacing w:after="0" w:line="15"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5400 LBJ Fwy, Suite 1500</w:t>
      </w:r>
    </w:p>
    <w:p>
      <w:pPr>
        <w:ind w:left="1304"/>
        <w:spacing w:after="0"/>
        <w:rPr>
          <w:sz w:val="20"/>
          <w:szCs w:val="20"/>
          <w:color w:val="auto"/>
        </w:rPr>
      </w:pPr>
      <w:r>
        <w:rPr>
          <w:rFonts w:ascii="Arial" w:cs="Arial" w:eastAsia="Arial" w:hAnsi="Arial"/>
          <w:sz w:val="20"/>
          <w:szCs w:val="20"/>
          <w:color w:val="auto"/>
        </w:rPr>
        <w:t>Dallas, TX 75240</w:t>
      </w:r>
    </w:p>
    <w:p>
      <w:pPr>
        <w:ind w:left="1304"/>
        <w:spacing w:after="0"/>
        <w:rPr>
          <w:sz w:val="20"/>
          <w:szCs w:val="20"/>
          <w:color w:val="auto"/>
        </w:rPr>
      </w:pPr>
      <w:r>
        <w:rPr>
          <w:rFonts w:ascii="Arial" w:cs="Arial" w:eastAsia="Arial" w:hAnsi="Arial"/>
          <w:sz w:val="20"/>
          <w:szCs w:val="20"/>
          <w:color w:val="auto"/>
        </w:rPr>
        <w:t>Attn: General Counsel</w:t>
      </w:r>
    </w:p>
    <w:p>
      <w:pPr>
        <w:ind w:left="1304"/>
        <w:spacing w:after="0"/>
        <w:rPr>
          <w:sz w:val="20"/>
          <w:szCs w:val="20"/>
          <w:color w:val="auto"/>
        </w:rPr>
      </w:pPr>
      <w:r>
        <w:rPr>
          <w:rFonts w:ascii="Arial" w:cs="Arial" w:eastAsia="Arial" w:hAnsi="Arial"/>
          <w:sz w:val="20"/>
          <w:szCs w:val="20"/>
          <w:color w:val="auto"/>
        </w:rPr>
        <w:t>Facsimile: (972) 371-5201</w:t>
      </w:r>
    </w:p>
    <w:p>
      <w:pPr>
        <w:spacing w:after="0" w:line="200" w:lineRule="exact"/>
        <w:rPr>
          <w:sz w:val="20"/>
          <w:szCs w:val="20"/>
          <w:color w:val="auto"/>
        </w:rPr>
      </w:pPr>
    </w:p>
    <w:p>
      <w:pPr>
        <w:ind w:left="1004" w:hanging="355"/>
        <w:spacing w:after="0"/>
        <w:tabs>
          <w:tab w:leader="none" w:pos="1004" w:val="left"/>
        </w:tabs>
        <w:numPr>
          <w:ilvl w:val="1"/>
          <w:numId w:val="37"/>
        </w:numPr>
        <w:rPr>
          <w:rFonts w:ascii="Arial" w:cs="Arial" w:eastAsia="Arial" w:hAnsi="Arial"/>
          <w:sz w:val="20"/>
          <w:szCs w:val="20"/>
          <w:color w:val="auto"/>
        </w:rPr>
      </w:pPr>
      <w:r>
        <w:rPr>
          <w:rFonts w:ascii="Arial" w:cs="Arial" w:eastAsia="Arial" w:hAnsi="Arial"/>
          <w:sz w:val="20"/>
          <w:szCs w:val="20"/>
          <w:color w:val="auto"/>
        </w:rPr>
        <w:t>Notice to the Participant shall be addressed and delivered as set forth on the signature page.</w:t>
      </w:r>
    </w:p>
    <w:p>
      <w:pPr>
        <w:spacing w:after="0" w:line="242" w:lineRule="exact"/>
        <w:rPr>
          <w:rFonts w:ascii="Arial" w:cs="Arial" w:eastAsia="Arial" w:hAnsi="Arial"/>
          <w:sz w:val="20"/>
          <w:szCs w:val="20"/>
          <w:color w:val="auto"/>
        </w:rPr>
      </w:pPr>
    </w:p>
    <w:p>
      <w:pPr>
        <w:jc w:val="both"/>
        <w:ind w:left="-656" w:right="20" w:firstLine="656"/>
        <w:spacing w:after="0" w:line="299" w:lineRule="auto"/>
        <w:tabs>
          <w:tab w:leader="none" w:pos="88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Tax Requirements</w:t>
      </w:r>
      <w:r>
        <w:rPr>
          <w:rFonts w:ascii="Arial" w:cs="Arial" w:eastAsia="Arial" w:hAnsi="Arial"/>
          <w:sz w:val="19"/>
          <w:szCs w:val="19"/>
          <w:color w:val="auto"/>
        </w:rPr>
        <w:t>. The Participant is hereby advised to consult immediately with his or her own tax advisor regarding the tax consequences of this Agreement. The Participant, as an Outside Director, shall be solely responsible for withholding taxes or any necessary payments to any taxing authority in connection with the award, vesting and conversion of the Awarded Units.</w:t>
      </w:r>
    </w:p>
    <w:p>
      <w:pPr>
        <w:spacing w:after="0" w:line="182" w:lineRule="exact"/>
        <w:rPr>
          <w:rFonts w:ascii="Arial" w:cs="Arial" w:eastAsia="Arial" w:hAnsi="Arial"/>
          <w:sz w:val="19"/>
          <w:szCs w:val="19"/>
          <w:color w:val="auto"/>
        </w:rPr>
      </w:pPr>
    </w:p>
    <w:p>
      <w:pPr>
        <w:jc w:val="both"/>
        <w:ind w:left="-656" w:firstLine="656"/>
        <w:spacing w:after="0" w:line="301"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Agreement is intended to be interpreted and applied so that the payments and benefits set forth herein shall, as applicable, comply with or be exempt from the requirements of Code Section 409A, and, accordingly, to the maximum extent permitted, this Agreement shall be interpreted to the fullest extent possible to reflect and implement such intent. Notwithstanding anything in this Agreement to the contrary and to the extent the payments and benefits set forth herein are subject to Code Section 409A, (i) a Termination of Service shall not be deemed to have occurred for purposes of any provision of this Agreement unless such termination is also a “separation from service” within the meaning of Code Section 409A; and (ii) a Total and Permanent Disability shall not be deemed to have occurred for purposes of any provision of this Agreement unless such disability is also a “disability”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 paid or provided to the Participant on the earlier of the date which immediately follows six (6) months after the Participant’s separation from service or, if earlier, the date of the Participant’s death.</w:t>
      </w:r>
    </w:p>
    <w:p>
      <w:pPr>
        <w:spacing w:after="0" w:line="177" w:lineRule="exact"/>
        <w:rPr>
          <w:rFonts w:ascii="Arial" w:cs="Arial" w:eastAsia="Arial" w:hAnsi="Arial"/>
          <w:sz w:val="18"/>
          <w:szCs w:val="18"/>
          <w:color w:val="auto"/>
        </w:rPr>
      </w:pPr>
    </w:p>
    <w:p>
      <w:pPr>
        <w:jc w:val="both"/>
        <w:ind w:left="-656" w:firstLine="656"/>
        <w:spacing w:after="0" w:line="273" w:lineRule="auto"/>
        <w:tabs>
          <w:tab w:leader="none" w:pos="88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Restrictions on Resale</w:t>
      </w:r>
      <w:r>
        <w:rPr>
          <w:rFonts w:ascii="Arial" w:cs="Arial" w:eastAsia="Arial" w:hAnsi="Arial"/>
          <w:sz w:val="20"/>
          <w:szCs w:val="20"/>
          <w:color w:val="auto"/>
        </w:rPr>
        <w:t>. The Company may impose such restrictions, conditions or limitations as it determines appropriate as to the timing and manner of any resales by the Participant or other subsequent transfers by the Participant of any shares acquired under this Agreement, including without limitation (a) restrictions under an insider trading policy, (b) restrictions designed to delay and/or coordinate the timing and manner of sales by the Participant and other holders and (c) restrictions as to the use of a specified brokerage firm for such resales or other transfers.</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024" w:hanging="86"/>
        <w:spacing w:after="0"/>
        <w:tabs>
          <w:tab w:leader="none" w:pos="5024" w:val="left"/>
        </w:tabs>
        <w:numPr>
          <w:ilvl w:val="2"/>
          <w:numId w:val="38"/>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0764"/>
          </w:cols>
          <w:pgMar w:left="896" w:top="636" w:right="239" w:bottom="1440" w:gutter="0" w:footer="0" w:header="0"/>
        </w:sectPr>
      </w:pPr>
    </w:p>
    <w:bookmarkStart w:id="59" w:name="page60"/>
    <w:bookmarkEnd w:id="59"/>
    <w:p>
      <w:pPr>
        <w:jc w:val="both"/>
        <w:ind w:left="-20" w:firstLine="656"/>
        <w:spacing w:after="0" w:line="322" w:lineRule="auto"/>
        <w:tabs>
          <w:tab w:leader="none" w:pos="152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Units via Company web site or other electronic delivery.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jc w:val="center"/>
        <w:spacing w:after="0"/>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380"/>
          </w:cols>
          <w:pgMar w:left="260" w:top="636" w:right="259" w:bottom="1440" w:gutter="0" w:footer="0" w:header="0"/>
        </w:sectPr>
      </w:pPr>
    </w:p>
    <w:bookmarkStart w:id="60" w:name="page61"/>
    <w:bookmarkEnd w:id="60"/>
    <w:p>
      <w:pPr>
        <w:jc w:val="both"/>
        <w:ind w:firstLine="648"/>
        <w:spacing w:after="0" w:line="250" w:lineRule="auto"/>
        <w:rPr>
          <w:sz w:val="20"/>
          <w:szCs w:val="20"/>
          <w:color w:val="auto"/>
        </w:rPr>
      </w:pPr>
      <w:r>
        <w:rPr>
          <w:rFonts w:ascii="Arial" w:cs="Arial" w:eastAsia="Arial" w:hAnsi="Arial"/>
          <w:sz w:val="20"/>
          <w:szCs w:val="20"/>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w:t>
      </w: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COMPANY:</w:t>
      </w:r>
    </w:p>
    <w:p>
      <w:pPr>
        <w:spacing w:after="0" w:line="378"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MATADOR RESOURCES COMPANY:</w:t>
      </w:r>
    </w:p>
    <w:p>
      <w:pPr>
        <w:spacing w:after="0" w:line="38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By:________________________________________</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David E. Lancaster</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Title: Executive Vice President</w:t>
      </w: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PARTICIPANT:</w:t>
      </w:r>
    </w:p>
    <w:p>
      <w:pPr>
        <w:spacing w:after="0" w:line="35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___________________________________________</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Signature</w:t>
      </w:r>
    </w:p>
    <w:p>
      <w:pPr>
        <w:spacing w:after="0" w:line="26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[NAME]</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 xml:space="preserve">Address: </w:t>
      </w:r>
      <w:r>
        <w:rPr>
          <w:rFonts w:ascii="Arial" w:cs="Arial" w:eastAsia="Arial" w:hAnsi="Arial"/>
          <w:sz w:val="20"/>
          <w:szCs w:val="20"/>
          <w:b w:val="1"/>
          <w:bCs w:val="1"/>
          <w:color w:val="auto"/>
        </w:rPr>
        <w:t>[ADDRESS]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420"/>
          </w:cols>
          <w:pgMar w:left="240" w:top="622" w:right="2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20"/>
          <w:szCs w:val="20"/>
          <w:b w:val="1"/>
          <w:bCs w:val="1"/>
          <w:color w:val="auto"/>
        </w:rPr>
        <w:t>EXHIBIT</w:t>
      </w:r>
    </w:p>
    <w:p>
      <w:pPr>
        <w:sectPr>
          <w:pgSz w:w="11900" w:h="16838" w:orient="portrait"/>
          <w:cols w:equalWidth="0" w:num="1">
            <w:col w:w="9019"/>
          </w:cols>
          <w:pgMar w:left="1440" w:top="616" w:right="1440" w:bottom="1440" w:gutter="0" w:footer="0" w:header="0"/>
        </w:sect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- 8 -</w:t>
      </w:r>
    </w:p>
    <w:p>
      <w:pPr>
        <w:sectPr>
          <w:pgSz w:w="11900" w:h="16838" w:orient="portrait"/>
          <w:cols w:equalWidth="0" w:num="1">
            <w:col w:w="9019"/>
          </w:cols>
          <w:pgMar w:left="1440" w:top="616" w:right="1440"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First Amendment (the “</w:t>
      </w:r>
      <w:r>
        <w:rPr>
          <w:rFonts w:ascii="Arial" w:cs="Arial" w:eastAsia="Arial" w:hAnsi="Arial"/>
          <w:sz w:val="22"/>
          <w:szCs w:val="22"/>
          <w:u w:val="single" w:color="auto"/>
          <w:color w:val="auto"/>
        </w:rPr>
        <w:t>Amendment</w:t>
      </w:r>
      <w:r>
        <w:rPr>
          <w:rFonts w:ascii="Arial" w:cs="Arial" w:eastAsia="Arial" w:hAnsi="Arial"/>
          <w:sz w:val="22"/>
          <w:szCs w:val="22"/>
          <w:color w:val="auto"/>
        </w:rPr>
        <w:t>”) to that certain employment agreement between Matador Resources Company, a Texas corporation (“</w:t>
      </w:r>
      <w:r>
        <w:rPr>
          <w:rFonts w:ascii="Arial" w:cs="Arial" w:eastAsia="Arial" w:hAnsi="Arial"/>
          <w:sz w:val="22"/>
          <w:szCs w:val="22"/>
          <w:u w:val="single" w:color="auto"/>
          <w:color w:val="auto"/>
        </w:rPr>
        <w:t>Matador</w:t>
      </w:r>
      <w:r>
        <w:rPr>
          <w:rFonts w:ascii="Arial" w:cs="Arial" w:eastAsia="Arial" w:hAnsi="Arial"/>
          <w:sz w:val="22"/>
          <w:szCs w:val="22"/>
          <w:color w:val="auto"/>
        </w:rPr>
        <w:t>”), acting through its Board of Directors, and G. Gregg Krug (“</w:t>
      </w:r>
      <w:r>
        <w:rPr>
          <w:rFonts w:ascii="Arial" w:cs="Arial" w:eastAsia="Arial" w:hAnsi="Arial"/>
          <w:sz w:val="22"/>
          <w:szCs w:val="22"/>
          <w:u w:val="single" w:color="auto"/>
          <w:color w:val="auto"/>
        </w:rPr>
        <w:t>Employee</w:t>
      </w:r>
      <w:r>
        <w:rPr>
          <w:rFonts w:ascii="Arial" w:cs="Arial" w:eastAsia="Arial" w:hAnsi="Arial"/>
          <w:sz w:val="22"/>
          <w:szCs w:val="22"/>
          <w:color w:val="auto"/>
        </w:rPr>
        <w:t>”) dated February 19, 2016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and effective as of July 30,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Matador and Employee previously entered into the Agreement;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Matador and Employee desire to modify certain provisions of the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Matador and Employee hereby agree to amend the Agreement as follows, effective as of the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Section 9(a)(ii) of the Agreement is amended by replacing the words “twelve (12) months” with “twenty-four (24) months.”</w:t>
      </w:r>
    </w:p>
    <w:p>
      <w:pPr>
        <w:spacing w:after="0" w:line="254" w:lineRule="exact"/>
        <w:rPr>
          <w:rFonts w:ascii="Arial" w:cs="Arial" w:eastAsia="Arial" w:hAnsi="Arial"/>
          <w:sz w:val="19"/>
          <w:szCs w:val="19"/>
          <w:color w:val="auto"/>
        </w:rPr>
      </w:pPr>
    </w:p>
    <w:p>
      <w:pPr>
        <w:ind w:left="340" w:hanging="332"/>
        <w:spacing w:after="0"/>
        <w:tabs>
          <w:tab w:leader="none" w:pos="3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Section 14(b) of the Agreement is restated in its entirety to provide as follows:</w:t>
      </w:r>
    </w:p>
    <w:p>
      <w:pPr>
        <w:spacing w:after="0" w:line="219" w:lineRule="exact"/>
        <w:rPr>
          <w:rFonts w:ascii="Arial" w:cs="Arial" w:eastAsia="Arial" w:hAnsi="Arial"/>
          <w:sz w:val="22"/>
          <w:szCs w:val="22"/>
          <w:color w:val="auto"/>
        </w:rPr>
      </w:pPr>
    </w:p>
    <w:p>
      <w:pPr>
        <w:ind w:left="660" w:right="40" w:firstLine="645"/>
        <w:spacing w:after="0" w:line="250" w:lineRule="auto"/>
        <w:tabs>
          <w:tab w:leader="none" w:pos="1776" w:val="left"/>
        </w:tabs>
        <w:numPr>
          <w:ilvl w:val="1"/>
          <w:numId w:val="40"/>
        </w:numPr>
        <w:rPr>
          <w:rFonts w:ascii="Arial" w:cs="Arial" w:eastAsia="Arial" w:hAnsi="Arial"/>
          <w:sz w:val="21"/>
          <w:szCs w:val="21"/>
          <w:color w:val="auto"/>
        </w:rPr>
      </w:pPr>
      <w:r>
        <w:rPr>
          <w:rFonts w:ascii="Arial" w:cs="Arial" w:eastAsia="Arial" w:hAnsi="Arial"/>
          <w:sz w:val="21"/>
          <w:szCs w:val="21"/>
          <w:color w:val="auto"/>
        </w:rPr>
        <w:t>If Employee’s employment is terminated by the Company for a reason other than as described in Section 14(a) or (c), or is terminated by Employee for Good Reason pursuant to Section 12(g),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one and one half (1.5) times his then-current Base Salary as of the Date of Termination, plus an amount equal to one and one half (1.5) times the average annual amount of all bonuses paid to Employee with respect to the prior two (2) calendar years, in a lump sum, subject to Section 16(b),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of Termination. Employee shall have no obligation to seek other employment, and any income so earned shall not reduce the foregoing amounts.</w:t>
      </w:r>
    </w:p>
    <w:p>
      <w:pPr>
        <w:spacing w:after="0" w:line="189" w:lineRule="exact"/>
        <w:rPr>
          <w:rFonts w:ascii="Arial" w:cs="Arial" w:eastAsia="Arial" w:hAnsi="Arial"/>
          <w:sz w:val="21"/>
          <w:szCs w:val="21"/>
          <w:color w:val="auto"/>
        </w:rPr>
      </w:pPr>
    </w:p>
    <w:p>
      <w:pPr>
        <w:ind w:left="340" w:hanging="332"/>
        <w:spacing w:after="0"/>
        <w:tabs>
          <w:tab w:leader="none" w:pos="3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Section 14(c) of the Agreement is restated in its entirety to provide as follows:</w:t>
      </w:r>
    </w:p>
    <w:p>
      <w:pPr>
        <w:spacing w:after="0" w:line="219" w:lineRule="exact"/>
        <w:rPr>
          <w:rFonts w:ascii="Arial" w:cs="Arial" w:eastAsia="Arial" w:hAnsi="Arial"/>
          <w:sz w:val="22"/>
          <w:szCs w:val="22"/>
          <w:color w:val="auto"/>
        </w:rPr>
      </w:pPr>
    </w:p>
    <w:p>
      <w:pPr>
        <w:ind w:left="660" w:right="40" w:firstLine="645"/>
        <w:spacing w:after="0" w:line="289" w:lineRule="auto"/>
        <w:tabs>
          <w:tab w:leader="none" w:pos="1764"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in contemplation of or following a Change in Control pursuant to Section 12(i), Employee’s employment is terminated by the Company without Just Cause or is terminated by Employee with Good Reason,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three (3) times the then-current Base Salary as of the Date of Termination, plus an amount equal to three (3) times the average annual amount of all bonuses paid to Employee with respect to the prior two (2) calendar years, in a lump sum, (A) on the date which immediately follows six (6) months from the Date of Termination or, if earlier, (B) within thirty (30) days of Employee’s death, with the exact date of payment after Employee’s death to be determined by the Company. Immediately prior to</w:t>
      </w:r>
    </w:p>
    <w:p>
      <w:pPr>
        <w:sectPr>
          <w:pgSz w:w="11900" w:h="16838" w:orient="portrait"/>
          <w:cols w:equalWidth="0" w:num="1">
            <w:col w:w="11420"/>
          </w:cols>
          <w:pgMar w:left="240" w:top="148" w:right="239" w:bottom="1440" w:gutter="0" w:footer="0" w:header="0"/>
        </w:sectPr>
      </w:pPr>
    </w:p>
    <w:bookmarkStart w:id="63" w:name="page64"/>
    <w:bookmarkEnd w:id="63"/>
    <w:p>
      <w:pPr>
        <w:spacing w:after="0" w:line="250" w:lineRule="auto"/>
        <w:rPr>
          <w:sz w:val="20"/>
          <w:szCs w:val="20"/>
          <w:color w:val="auto"/>
        </w:rPr>
      </w:pPr>
      <w:r>
        <w:rPr>
          <w:rFonts w:ascii="Arial" w:cs="Arial" w:eastAsia="Arial" w:hAnsi="Arial"/>
          <w:sz w:val="22"/>
          <w:szCs w:val="22"/>
          <w:color w:val="auto"/>
        </w:rPr>
        <w:t>such termination of employment, as contemplated in the prior sentence, all unvested equity incentive awards held by Employee shall vest, and the forfeiture provisions with respect to any such awards that are subject to forfeiture will terminate. Employee shall have no obligation to seek other employment and any income so earned shall not reduce the foregoing amounts.</w:t>
      </w:r>
    </w:p>
    <w:p>
      <w:pPr>
        <w:spacing w:after="0" w:line="182"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900" w:top="631" w:right="739" w:bottom="1440" w:gutter="0" w:footer="0" w:header="0"/>
        </w:sectPr>
      </w:pPr>
    </w:p>
    <w:bookmarkStart w:id="64" w:name="page65"/>
    <w:bookmarkEnd w:id="64"/>
    <w:p>
      <w:pPr>
        <w:ind w:firstLine="648"/>
        <w:spacing w:after="0" w:line="263" w:lineRule="auto"/>
        <w:rPr>
          <w:sz w:val="20"/>
          <w:szCs w:val="20"/>
          <w:color w:val="auto"/>
        </w:rPr>
      </w:pPr>
      <w:r>
        <w:rPr>
          <w:rFonts w:ascii="Arial" w:cs="Arial" w:eastAsia="Arial" w:hAnsi="Arial"/>
          <w:sz w:val="22"/>
          <w:szCs w:val="22"/>
          <w:color w:val="auto"/>
        </w:rPr>
        <w:t>IN WITNESS WHEREOF, Matador and Employee have duly executed this Amendment to be effective as of the date set forth above.</w:t>
      </w:r>
    </w:p>
    <w:p>
      <w:pPr>
        <w:spacing w:after="0" w:line="32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MATADOR RESOURCES COMPANY</w:t>
      </w:r>
    </w:p>
    <w:p>
      <w:pPr>
        <w:spacing w:after="0" w:line="384"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20"/>
          <w:szCs w:val="20"/>
          <w:color w:val="auto"/>
        </w:rPr>
        <w:t>By:</w:t>
        <w:tab/>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27305</wp:posOffset>
            </wp:positionV>
            <wp:extent cx="2761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Joseph Wm. Foran</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Chairman of the Board and Chief Officer</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Executive Officer</w:t>
      </w:r>
    </w:p>
    <w:p>
      <w:pPr>
        <w:spacing w:after="0" w:line="37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EMPLOYEE</w:t>
      </w:r>
    </w:p>
    <w:p>
      <w:pPr>
        <w:spacing w:after="0" w:line="35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G. Gregg Krug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27305</wp:posOffset>
            </wp:positionV>
            <wp:extent cx="30873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4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G. Gregg Krug,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10.5</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First Amendment (the “</w:t>
      </w:r>
      <w:r>
        <w:rPr>
          <w:rFonts w:ascii="Arial" w:cs="Arial" w:eastAsia="Arial" w:hAnsi="Arial"/>
          <w:sz w:val="21"/>
          <w:szCs w:val="21"/>
          <w:u w:val="single" w:color="auto"/>
          <w:color w:val="auto"/>
        </w:rPr>
        <w:t>Amendment</w:t>
      </w:r>
      <w:r>
        <w:rPr>
          <w:rFonts w:ascii="Arial" w:cs="Arial" w:eastAsia="Arial" w:hAnsi="Arial"/>
          <w:sz w:val="21"/>
          <w:szCs w:val="21"/>
          <w:color w:val="auto"/>
        </w:rPr>
        <w:t>”) to that certain Amended and Restated Employment Agreement by and between Matador Resources Company, a Texas corporation (“</w:t>
      </w:r>
      <w:r>
        <w:rPr>
          <w:rFonts w:ascii="Arial" w:cs="Arial" w:eastAsia="Arial" w:hAnsi="Arial"/>
          <w:sz w:val="21"/>
          <w:szCs w:val="21"/>
          <w:u w:val="single" w:color="auto"/>
          <w:color w:val="auto"/>
        </w:rPr>
        <w:t>Matador</w:t>
      </w:r>
      <w:r>
        <w:rPr>
          <w:rFonts w:ascii="Arial" w:cs="Arial" w:eastAsia="Arial" w:hAnsi="Arial"/>
          <w:sz w:val="21"/>
          <w:szCs w:val="21"/>
          <w:color w:val="auto"/>
        </w:rPr>
        <w:t>”), acting through its Board of Directors, and Bradley M. Robinson (“</w:t>
      </w:r>
      <w:r>
        <w:rPr>
          <w:rFonts w:ascii="Arial" w:cs="Arial" w:eastAsia="Arial" w:hAnsi="Arial"/>
          <w:sz w:val="21"/>
          <w:szCs w:val="21"/>
          <w:u w:val="single" w:color="auto"/>
          <w:color w:val="auto"/>
        </w:rPr>
        <w:t>Employee</w:t>
      </w:r>
      <w:r>
        <w:rPr>
          <w:rFonts w:ascii="Arial" w:cs="Arial" w:eastAsia="Arial" w:hAnsi="Arial"/>
          <w:sz w:val="21"/>
          <w:szCs w:val="21"/>
          <w:color w:val="auto"/>
        </w:rPr>
        <w:t>”) effective August 1, 2018 (the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July 30, 2019.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Matador and Employee previously entered into the Agreement; and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28 of the Agreement provides that it may be amended at any time by the mutual consent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and Matador and Employee desire to modify certain provisions of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Matador and Employee hereby agree to amend the Agreement as follows, effective as of the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Section 3 of the Agreement is restated in its entirety to provide as follows:</w:t>
      </w:r>
    </w:p>
    <w:p>
      <w:pPr>
        <w:spacing w:after="0" w:line="219" w:lineRule="exact"/>
        <w:rPr>
          <w:rFonts w:ascii="Arial" w:cs="Arial" w:eastAsia="Arial" w:hAnsi="Arial"/>
          <w:sz w:val="22"/>
          <w:szCs w:val="22"/>
          <w:color w:val="auto"/>
        </w:rPr>
      </w:pPr>
    </w:p>
    <w:p>
      <w:pPr>
        <w:jc w:val="both"/>
        <w:ind w:left="980" w:hanging="324"/>
        <w:spacing w:after="0" w:line="260" w:lineRule="auto"/>
        <w:tabs>
          <w:tab w:leader="none" w:pos="980"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Employee’s employment shall be under the terms and conditions of this Agreement and shall expire on December 31, 2020 (the “</w:t>
      </w:r>
      <w:r>
        <w:rPr>
          <w:rFonts w:ascii="Arial" w:cs="Arial" w:eastAsia="Arial" w:hAnsi="Arial"/>
          <w:sz w:val="21"/>
          <w:szCs w:val="21"/>
          <w:u w:val="single" w:color="auto"/>
          <w:color w:val="auto"/>
        </w:rPr>
        <w:t>Term</w:t>
      </w:r>
      <w:r>
        <w:rPr>
          <w:rFonts w:ascii="Arial" w:cs="Arial" w:eastAsia="Arial" w:hAnsi="Arial"/>
          <w:sz w:val="21"/>
          <w:szCs w:val="21"/>
          <w:color w:val="auto"/>
        </w:rPr>
        <w:t>”), subject to earlier termination as provided herein. Employee acknowledges and agrees that if he remains employed hereunder immediately prior to expiration of the Term, his employment with the Company shall automatically terminate at 12:00 a.m. central time on the expiration of the Term, and he shall be entitled to receive from the Company only (a) those payments set forth in Section 14(a) of this Agreement, and (b) any vested benefits to which he may be entitled under the Company’s benefit plans and programs, which amounts shall be paid in accordance with the terms of such plans and programs.</w:t>
      </w:r>
    </w:p>
    <w:p>
      <w:pPr>
        <w:spacing w:after="0" w:line="181" w:lineRule="exact"/>
        <w:rPr>
          <w:rFonts w:ascii="Arial" w:cs="Arial" w:eastAsia="Arial" w:hAnsi="Arial"/>
          <w:sz w:val="21"/>
          <w:szCs w:val="21"/>
          <w:color w:val="auto"/>
        </w:rPr>
      </w:pPr>
    </w:p>
    <w:p>
      <w:pPr>
        <w:ind w:left="340" w:hanging="332"/>
        <w:spacing w:after="0"/>
        <w:tabs>
          <w:tab w:leader="none" w:pos="3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second sentence of Section 9(a) of the Agreement is restated in its entirety to provide as follows:</w:t>
      </w:r>
    </w:p>
    <w:p>
      <w:pPr>
        <w:spacing w:after="0" w:line="220"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Therefore, Employee hereby agrees that during Employee’s employment, and (i) if the Company terminates Employee’s employment for Total Disability, or if Employee terminates his employment for Good Reason, then for a period of six (6) months thereafter, or (ii) if the Company terminates Employee’s employment for Just Cause, Employee’s employment terminates upon expiration of the Term, Employee terminates his employment during the Term other than for Good Reason or Employee is entitled to severance pay pursuant to Section 14(b) or Section 14(c) (other than if Employee terminates his employment for Good Reason), then for a period of twenty-four (24) months thereafter (the period specified in clause (i) or (ii), as applicable, being referred to herein as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Employee shall not, without the Company’s prior written consent (which consent, in the event Employee terminates his employment for Good Reason, may not be unreasonably withheld, but in each other situation described in clauses (i) and (ii) above, may be</w:t>
      </w:r>
    </w:p>
    <w:p>
      <w:pPr>
        <w:sectPr>
          <w:pgSz w:w="11900" w:h="16838" w:orient="portrait"/>
          <w:cols w:equalWidth="0" w:num="1">
            <w:col w:w="11420"/>
          </w:cols>
          <w:pgMar w:left="240" w:top="148" w:right="2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22"/>
          <w:szCs w:val="22"/>
          <w:color w:val="auto"/>
        </w:rPr>
        <w:t>withheld in its sole discretion), directly or indirectly: (a) invest in (other than investments in publicly-owned companies which constitute not more than 1% of the voting securities of any such company) a Competing Business with Significant Assets in the Restricted Area (each as defined below), or (b) participate in a Competing Business as a manager, employee, director, officer, consultant, independent contractor, or other capacity or otherwise provide, directly or indirectly, services or assistance to a Competing Business in a position that involves input into or direction of the Competing Business’s decisions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631" w:right="239" w:bottom="1440" w:gutter="0" w:footer="0" w:header="0"/>
        </w:sectPr>
      </w:pPr>
    </w:p>
    <w:bookmarkStart w:id="67" w:name="page68"/>
    <w:bookmarkEnd w:id="67"/>
    <w:p>
      <w:pPr>
        <w:ind w:firstLine="648"/>
        <w:spacing w:after="0" w:line="263" w:lineRule="auto"/>
        <w:rPr>
          <w:sz w:val="20"/>
          <w:szCs w:val="20"/>
          <w:color w:val="auto"/>
        </w:rPr>
      </w:pPr>
      <w:r>
        <w:rPr>
          <w:rFonts w:ascii="Arial" w:cs="Arial" w:eastAsia="Arial" w:hAnsi="Arial"/>
          <w:sz w:val="22"/>
          <w:szCs w:val="22"/>
          <w:color w:val="auto"/>
        </w:rPr>
        <w:t>IN WITNESS WHEREOF, Matador and Employee have duly executed this Amendment to be effective as of the date set forth above.</w:t>
      </w:r>
    </w:p>
    <w:p>
      <w:pPr>
        <w:spacing w:after="0" w:line="32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MATADOR RESOURCES COMPANY</w:t>
      </w:r>
    </w:p>
    <w:p>
      <w:pPr>
        <w:spacing w:after="0" w:line="384"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20"/>
          <w:szCs w:val="20"/>
          <w:color w:val="auto"/>
        </w:rPr>
        <w:t>By:</w:t>
        <w:tab/>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27305</wp:posOffset>
            </wp:positionV>
            <wp:extent cx="2761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Joseph Wm. Foran</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Chairman of the Board and Chief Officer</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Executive Officer</w:t>
      </w:r>
    </w:p>
    <w:p>
      <w:pPr>
        <w:spacing w:after="0" w:line="37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EMPLOYEE</w:t>
      </w:r>
    </w:p>
    <w:p>
      <w:pPr>
        <w:spacing w:after="0" w:line="35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Bradley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27305</wp:posOffset>
            </wp:positionV>
            <wp:extent cx="30873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4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Bradley M. Robinson,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4900" w:val="left"/>
        </w:tabs>
        <w:rPr>
          <w:sz w:val="20"/>
          <w:szCs w:val="20"/>
          <w:color w:val="auto"/>
        </w:rPr>
      </w:pPr>
      <w:r>
        <w:rPr>
          <w:rFonts w:ascii="Arial" w:cs="Arial" w:eastAsia="Arial" w:hAnsi="Arial"/>
          <w:sz w:val="18"/>
          <w:szCs w:val="18"/>
          <w:color w:val="auto"/>
        </w:rPr>
        <w:t>August 2, 2019</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2400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2,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573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2019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8"/>
          <w:szCs w:val="18"/>
          <w:color w:val="auto"/>
        </w:rPr>
        <w:t>August 2, 2019</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2383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2019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August 2,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4701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378"/>
    </w:lvl>
  </w:abstractNum>
  <w:abstractNum w:abstractNumId="3">
    <w:nsid w:val="79838CB2"/>
    <w:multiLevelType w:val="hybridMultilevel"/>
    <w:lvl w:ilvl="0">
      <w:lvlJc w:val="left"/>
      <w:lvlText w:val="\emdash "/>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6"/>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0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lvl w:ilvl="1">
      <w:lvlJc w:val="left"/>
      <w:lvlText w:val="%2."/>
      <w:numFmt w:val="lowerLetter"/>
      <w:start w:val="1"/>
    </w:lvl>
  </w:abstractNum>
  <w:abstractNum w:abstractNumId="21">
    <w:nsid w:val="614FD4A1"/>
    <w:multiLevelType w:val="hybridMultilevel"/>
    <w:lvl w:ilvl="0">
      <w:lvlJc w:val="left"/>
      <w:lvlText w:val="%1."/>
      <w:numFmt w:val="lowerLetter"/>
      <w:start w:val="2"/>
    </w:lvl>
    <w:lvl w:ilvl="1">
      <w:lvlJc w:val="left"/>
      <w:lvlText w:val="-"/>
      <w:numFmt w:val="bullet"/>
      <w:start w:val="1"/>
    </w:lvl>
  </w:abstractNum>
  <w:abstractNum w:abstractNumId="22">
    <w:nsid w:val="419AC241"/>
    <w:multiLevelType w:val="hybridMultilevel"/>
    <w:lvl w:ilvl="0">
      <w:lvlJc w:val="left"/>
      <w:lvlText w:val="%1."/>
      <w:numFmt w:val="decimal"/>
      <w:start w:val="4"/>
    </w:lvl>
    <w:lvl w:ilvl="1">
      <w:lvlJc w:val="left"/>
      <w:lvlText w:val="-"/>
      <w:numFmt w:val="bullet"/>
      <w:start w:val="1"/>
    </w:lvl>
  </w:abstractNum>
  <w:abstractNum w:abstractNumId="23">
    <w:nsid w:val="5577F8E1"/>
    <w:multiLevelType w:val="hybridMultilevel"/>
    <w:lvl w:ilvl="0">
      <w:lvlJc w:val="left"/>
      <w:lvlText w:val="%1."/>
      <w:numFmt w:val="decimal"/>
      <w:start w:val="11"/>
    </w:lvl>
    <w:lvl w:ilvl="1">
      <w:lvlJc w:val="left"/>
      <w:lvlText w:val="-"/>
      <w:numFmt w:val="bullet"/>
      <w:start w:val="1"/>
    </w:lvl>
  </w:abstractNum>
  <w:abstractNum w:abstractNumId="24">
    <w:nsid w:val="440BADFC"/>
    <w:multiLevelType w:val="hybridMultilevel"/>
    <w:lvl w:ilvl="0">
      <w:lvlJc w:val="left"/>
      <w:lvlText w:val="%1."/>
      <w:numFmt w:val="decimal"/>
      <w:start w:val="18"/>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2"/>
    </w:lvl>
    <w:lvl w:ilvl="1">
      <w:lvlJc w:val="left"/>
      <w:lvlText w:val="-"/>
      <w:numFmt w:val="bullet"/>
      <w:start w:val="1"/>
    </w:lvl>
  </w:abstractNum>
  <w:abstractNum w:abstractNumId="27">
    <w:nsid w:val="77465F01"/>
    <w:multiLevelType w:val="hybridMultilevel"/>
    <w:lvl w:ilvl="0">
      <w:lvlJc w:val="left"/>
      <w:lvlText w:val="%1."/>
      <w:numFmt w:val="decimal"/>
      <w:start w:val="23"/>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2"/>
    </w:lvl>
    <w:lvl w:ilvl="1">
      <w:lvlJc w:val="left"/>
      <w:lvlText w:val="%2."/>
      <w:numFmt w:val="lowerLetter"/>
      <w:start w:val="1"/>
    </w:lvl>
  </w:abstractNum>
  <w:abstractNum w:abstractNumId="30">
    <w:nsid w:val="2463B9E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1">
    <w:nsid w:val="5E884A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2">
    <w:nsid w:val="51EAD36B"/>
    <w:multiLevelType w:val="hybridMultilevel"/>
    <w:lvl w:ilvl="0">
      <w:lvlJc w:val="left"/>
      <w:lvlText w:val="%1."/>
      <w:numFmt w:val="decimal"/>
      <w:start w:val="8"/>
    </w:lvl>
    <w:lvl w:ilvl="1">
      <w:lvlJc w:val="left"/>
      <w:lvlText w:val="-"/>
      <w:numFmt w:val="bullet"/>
      <w:start w:val="1"/>
    </w:lvl>
  </w:abstractNum>
  <w:abstractNum w:abstractNumId="33">
    <w:nsid w:val="2D517796"/>
    <w:multiLevelType w:val="hybridMultilevel"/>
    <w:lvl w:ilvl="0">
      <w:lvlJc w:val="left"/>
      <w:lvlText w:val="%1."/>
      <w:numFmt w:val="decimal"/>
      <w:start w:val="15"/>
    </w:lvl>
    <w:lvl w:ilvl="1">
      <w:lvlJc w:val="left"/>
      <w:lvlText w:val="-"/>
      <w:numFmt w:val="bullet"/>
      <w:start w:val="1"/>
    </w:lvl>
  </w:abstractNum>
  <w:abstractNum w:abstractNumId="34">
    <w:nsid w:val="580BD78F"/>
    <w:multiLevelType w:val="hybridMultilevel"/>
    <w:lvl w:ilvl="0">
      <w:lvlJc w:val="left"/>
      <w:lvlText w:val="%1."/>
      <w:numFmt w:val="decimal"/>
      <w:start w:val="2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7">
    <w:nsid w:val="70A64E2A"/>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38">
    <w:nsid w:val="6A2342EC"/>
    <w:multiLevelType w:val="hybridMultilevel"/>
    <w:lvl w:ilvl="0">
      <w:lvlJc w:val="left"/>
      <w:lvlText w:val="%1."/>
      <w:numFmt w:val="decimal"/>
      <w:start w:val="26"/>
    </w:lvl>
  </w:abstractNum>
  <w:abstractNum w:abstractNumId="39">
    <w:nsid w:val="2A487CB0"/>
    <w:multiLevelType w:val="hybridMultilevel"/>
    <w:lvl w:ilvl="0">
      <w:lvlJc w:val="left"/>
      <w:lvlText w:val="%1."/>
      <w:numFmt w:val="decimal"/>
      <w:start w:val="1"/>
    </w:lvl>
    <w:lvl w:ilvl="1">
      <w:lvlJc w:val="left"/>
      <w:lvlText w:val="(%2)"/>
      <w:numFmt w:val="lowerLetter"/>
      <w:start w:val="2"/>
    </w:lvl>
  </w:abstractNum>
  <w:abstractNum w:abstractNumId="40">
    <w:nsid w:val="1D4ED43B"/>
    <w:multiLevelType w:val="hybridMultilevel"/>
    <w:lvl w:ilvl="0">
      <w:lvlJc w:val="left"/>
      <w:lvlText w:val="%1"/>
      <w:numFmt w:val="decimal"/>
      <w:start w:val="1"/>
    </w:lvl>
    <w:lvl w:ilvl="1">
      <w:lvlJc w:val="left"/>
      <w:lvlText w:val="(%2)"/>
      <w:numFmt w:val="lowerLetter"/>
      <w:start w:val="3"/>
    </w:lvl>
  </w:abstractNum>
  <w:abstractNum w:abstractNumId="41">
    <w:nsid w:val="725A06FB"/>
    <w:multiLevelType w:val="hybridMultilevel"/>
    <w:lvl w:ilvl="0">
      <w:lvlJc w:val="left"/>
      <w:lvlText w:val="%1."/>
      <w:numFmt w:val="decimal"/>
      <w:start w:val="1"/>
    </w:lvl>
    <w:lvl w:ilvl="1">
      <w:lvlJc w:val="left"/>
      <w:lvlText w:val="%2."/>
      <w:numFmt w:val="decimal"/>
      <w:start w:val="3"/>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65" Type="http://schemas.openxmlformats.org/officeDocument/2006/relationships/hyperlink" Target="http://www.sec.gov/Archives/edgar/data/1520006/000152000617000188/a20170630mtdr10q-exhibit32.htm" TargetMode="External"/><Relationship Id="rId66" Type="http://schemas.openxmlformats.org/officeDocument/2006/relationships/hyperlink" Target="http://www.sec.gov/Archives/edgar/data/1520006/000152000617000188/a20170630mtdr10q-exhibit33.htm" TargetMode="External"/><Relationship Id="rId67" Type="http://schemas.openxmlformats.org/officeDocument/2006/relationships/hyperlink" Target="http://www.sec.gov/Archives/edgar/data/1520006/000152000617000188/a20170630mtdr10q-exhibit34.htm" TargetMode="External"/><Relationship Id="rId68" Type="http://schemas.openxmlformats.org/officeDocument/2006/relationships/hyperlink" Target="http://www.sec.gov/Archives/edgar/data/1520006/000152000618000051/a20171231mtdr8k-amendedbyl.htm" TargetMode="External"/><Relationship Id="rId69" Type="http://schemas.openxmlformats.org/officeDocument/2006/relationships/hyperlink" Target="http://www.sec.gov/Archives/edgar/data/1520006/000119312519167218/d76047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2019-12-28T09:20:54Z</dcterms:created>
  <dcterms:modified xsi:type="dcterms:W3CDTF">2019-12-28T09:20:54Z</dcterms:modified>
</cp:coreProperties>
</file>